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6652120.xml.htm"/>
      <w:bookmarkStart w:id="1" w:name="kswkform4_17066521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HOLTH KRISTIN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13135 DAIRY ASHFORD, SUITE 800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Noble Corp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9,498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(RSU) will vest one year from the date of grant. Upon vesting, the RSUs will become payable 60% in A Ordinary Shares on a 1 for 1 basis and 40% in cash based on the cash value of the underlying A Ordinary Shares on the date of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Jennie Howard,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6005" TargetMode="External"/><Relationship Id="rId4" Type="http://schemas.openxmlformats.org/officeDocument/2006/relationships/hyperlink" Target="http://www.sec.gov/cgi-bin/browse-edgar?action=getcompany&amp;CIK=00018952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3270</Characters>
  <CharactersWithSpaces>3822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