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89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898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720"/>
        <w:spacing w:after="0" w:line="250"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PACIFIC INVESTMENT</w:t>
        </w:r>
      </w:hyperlink>
      <w:r>
        <w:rPr>
          <w:rFonts w:ascii="Times New Roman" w:cs="Times New Roman" w:eastAsia="Times New Roman" w:hAnsi="Times New Roman"/>
          <w:sz w:val="21"/>
          <w:szCs w:val="21"/>
          <w:u w:val="single" w:color="auto"/>
          <w:color w:val="0000EE"/>
        </w:rPr>
        <w:t xml:space="preserve"> </w:t>
      </w:r>
      <w:hyperlink r:id="rId12">
        <w:r>
          <w:rPr>
            <w:rFonts w:ascii="Times New Roman" w:cs="Times New Roman" w:eastAsia="Times New Roman" w:hAnsi="Times New Roman"/>
            <w:sz w:val="21"/>
            <w:szCs w:val="21"/>
            <w:u w:val="single" w:color="auto"/>
            <w:color w:val="0000EE"/>
          </w:rPr>
          <w:t>MANAGEMENT CO LLC</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650 NEWPORT CENTER DRIVE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0"/>
          <w:szCs w:val="20"/>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Noble Corp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10/05/2022</w:t>
      </w:r>
    </w:p>
    <w:p>
      <w:pPr>
        <w:spacing w:after="0" w:line="20" w:lineRule="exact"/>
        <w:rPr>
          <w:sz w:val="20"/>
          <w:szCs w:val="20"/>
          <w:color w:val="auto"/>
        </w:rPr>
      </w:pPr>
      <w:r>
        <w:rPr>
          <w:sz w:val="20"/>
          <w:szCs w:val="20"/>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14" w:lineRule="exact"/>
        <w:rPr>
          <w:sz w:val="20"/>
          <w:szCs w:val="20"/>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2"/>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140" w:type="dxa"/>
            <w:vAlign w:val="bottom"/>
            <w:gridSpan w:val="10"/>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NEWPORT</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2"/>
                <w:szCs w:val="12"/>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92660</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4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54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gridSpan w:val="3"/>
            <w:vMerge w:val="restart"/>
          </w:tcPr>
          <w:p>
            <w:pPr>
              <w:ind w:left="780"/>
              <w:spacing w:after="0"/>
              <w:rPr>
                <w:sz w:val="20"/>
                <w:szCs w:val="20"/>
                <w:color w:val="auto"/>
              </w:rPr>
            </w:pPr>
            <w:r>
              <w:rPr>
                <w:rFonts w:ascii="Times New Roman" w:cs="Times New Roman" w:eastAsia="Times New Roman" w:hAnsi="Times New Roman"/>
                <w:sz w:val="17"/>
                <w:szCs w:val="17"/>
                <w:color w:val="0000FF"/>
              </w:rPr>
              <w:t>10/05/2022</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236,215</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30.35</w:t>
            </w:r>
          </w:p>
        </w:tc>
        <w:tc>
          <w:tcPr>
            <w:tcW w:w="40" w:type="dxa"/>
            <w:vAlign w:val="bottom"/>
          </w:tcPr>
          <w:p>
            <w:pPr>
              <w:spacing w:after="0"/>
              <w:rPr>
                <w:sz w:val="21"/>
                <w:szCs w:val="21"/>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0000FF"/>
              </w:rPr>
              <w:t>16,787,013</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6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gridSpan w:val="3"/>
            <w:vMerge w:val="restart"/>
          </w:tcPr>
          <w:p>
            <w:pPr>
              <w:ind w:left="780"/>
              <w:spacing w:after="0"/>
              <w:rPr>
                <w:sz w:val="20"/>
                <w:szCs w:val="20"/>
                <w:color w:val="auto"/>
              </w:rPr>
            </w:pPr>
            <w:r>
              <w:rPr>
                <w:rFonts w:ascii="Times New Roman" w:cs="Times New Roman" w:eastAsia="Times New Roman" w:hAnsi="Times New Roman"/>
                <w:sz w:val="17"/>
                <w:szCs w:val="17"/>
                <w:color w:val="0000FF"/>
              </w:rPr>
              <w:t>10/06/2022</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376,406</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30.01</w:t>
            </w:r>
          </w:p>
        </w:tc>
        <w:tc>
          <w:tcPr>
            <w:tcW w:w="40" w:type="dxa"/>
            <w:vAlign w:val="bottom"/>
          </w:tcPr>
          <w:p>
            <w:pPr>
              <w:spacing w:after="0"/>
              <w:rPr>
                <w:sz w:val="21"/>
                <w:szCs w:val="21"/>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0000FF"/>
              </w:rPr>
              <w:t>16,410,607</w:t>
            </w:r>
            <w:r>
              <w:rPr>
                <w:rFonts w:ascii="Times New Roman" w:cs="Times New Roman" w:eastAsia="Times New Roman" w:hAnsi="Times New Roman"/>
                <w:sz w:val="22"/>
                <w:szCs w:val="22"/>
                <w:color w:val="008000"/>
                <w:vertAlign w:val="superscript"/>
              </w:rPr>
              <w:t>(2)</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investment manager, advisor or sub-advisor to certain funds or accounts that sold the reported shares. The Reporting Person disclaims beneficial ownership in the shares reported in Column 5, except to the extent of its pecuniary interest therein.</w:t>
      </w:r>
    </w:p>
    <w:p>
      <w:pPr>
        <w:spacing w:after="0" w:line="7"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$29.9742 to $30.1075,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Curtis,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11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1186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President, Pacific Investment</w:t>
        <w:tab/>
        <w:t>10/07/2022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Management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64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63368" TargetMode="External"/><Relationship Id="rId13" Type="http://schemas.openxmlformats.org/officeDocument/2006/relationships/hyperlink" Target="http://www.sec.gov/cgi-bin/browse-edgar?action=getcompany&amp;CIK=00018952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2022-10-07T13:41:24Z</dcterms:created>
  <dcterms:modified xsi:type="dcterms:W3CDTF">2022-10-07T13:41:24Z</dcterms:modified>
</cp:coreProperties>
</file>