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NOBLE CORPORATION plc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4000" w:type="dxa"/>
            <w:vAlign w:val="bottom"/>
          </w:tcPr>
          <w:p>
            <w:pPr>
              <w:jc w:val="center"/>
              <w:ind w:right="2259"/>
              <w:spacing w:after="0"/>
              <w:rPr>
                <w:sz w:val="20"/>
                <w:szCs w:val="20"/>
                <w:color w:val="auto"/>
              </w:rPr>
            </w:pPr>
            <w:r>
              <w:rPr>
                <w:rFonts w:ascii="Arial" w:cs="Arial" w:eastAsia="Arial" w:hAnsi="Arial"/>
                <w:sz w:val="18"/>
                <w:szCs w:val="18"/>
                <w:b w:val="1"/>
                <w:bCs w:val="1"/>
                <w:color w:val="auto"/>
                <w:w w:val="90"/>
              </w:rPr>
              <w:t>England and Wales</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001-41520</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98-1644664</w:t>
            </w:r>
          </w:p>
        </w:tc>
      </w:tr>
      <w:tr>
        <w:trPr>
          <w:trHeight w:val="149"/>
        </w:trPr>
        <w:tc>
          <w:tcPr>
            <w:tcW w:w="4000" w:type="dxa"/>
            <w:vAlign w:val="bottom"/>
          </w:tcPr>
          <w:p>
            <w:pPr>
              <w:jc w:val="center"/>
              <w:ind w:right="22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00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4000" w:type="dxa"/>
            <w:vAlign w:val="bottom"/>
          </w:tcPr>
          <w:p>
            <w:pPr>
              <w:jc w:val="center"/>
              <w:ind w:left="1219"/>
              <w:spacing w:after="0"/>
              <w:rPr>
                <w:sz w:val="20"/>
                <w:szCs w:val="20"/>
                <w:color w:val="auto"/>
              </w:rPr>
            </w:pPr>
            <w:r>
              <w:rPr>
                <w:rFonts w:ascii="Arial" w:cs="Arial" w:eastAsia="Arial" w:hAnsi="Arial"/>
                <w:sz w:val="18"/>
                <w:szCs w:val="18"/>
                <w:b w:val="1"/>
                <w:bCs w:val="1"/>
                <w:color w:val="auto"/>
                <w:w w:val="91"/>
              </w:rPr>
              <w:t>13135 Dairy Ashford, Suite 800</w:t>
            </w:r>
          </w:p>
        </w:tc>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00" w:type="dxa"/>
            <w:vAlign w:val="bottom"/>
          </w:tcPr>
          <w:p>
            <w:pPr>
              <w:jc w:val="center"/>
              <w:ind w:left="1199"/>
              <w:spacing w:after="0"/>
              <w:rPr>
                <w:sz w:val="20"/>
                <w:szCs w:val="20"/>
                <w:color w:val="auto"/>
              </w:rPr>
            </w:pPr>
            <w:r>
              <w:rPr>
                <w:rFonts w:ascii="Arial" w:cs="Arial" w:eastAsia="Arial" w:hAnsi="Arial"/>
                <w:sz w:val="18"/>
                <w:szCs w:val="18"/>
                <w:b w:val="1"/>
                <w:bCs w:val="1"/>
                <w:color w:val="auto"/>
                <w:w w:val="89"/>
              </w:rPr>
              <w:t>Sugar Land, Texas</w:t>
            </w:r>
          </w:p>
        </w:tc>
        <w:tc>
          <w:tcPr>
            <w:tcW w:w="23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77478</w:t>
            </w:r>
          </w:p>
        </w:tc>
      </w:tr>
      <w:tr>
        <w:trPr>
          <w:trHeight w:val="186"/>
        </w:trPr>
        <w:tc>
          <w:tcPr>
            <w:tcW w:w="4000" w:type="dxa"/>
            <w:vAlign w:val="bottom"/>
          </w:tcPr>
          <w:p>
            <w:pPr>
              <w:jc w:val="center"/>
              <w:ind w:left="1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(281) 276-6100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A Ordinary Shares, par value $0.00001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previously disclosed in the Current Report on Form 8-K filed by Noble Corporation plc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on October 3, 2022 (the “</w:t>
      </w:r>
      <w:r>
        <w:rPr>
          <w:rFonts w:ascii="Arial" w:cs="Arial" w:eastAsia="Arial" w:hAnsi="Arial"/>
          <w:sz w:val="17"/>
          <w:szCs w:val="17"/>
          <w:b w:val="1"/>
          <w:bCs w:val="1"/>
          <w:i w:val="1"/>
          <w:iCs w:val="1"/>
          <w:color w:val="auto"/>
        </w:rPr>
        <w:t>Initial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Form 8-K</w:t>
      </w:r>
      <w:r>
        <w:rPr>
          <w:rFonts w:ascii="Arial" w:cs="Arial" w:eastAsia="Arial" w:hAnsi="Arial"/>
          <w:sz w:val="16"/>
          <w:szCs w:val="16"/>
          <w:color w:val="auto"/>
        </w:rPr>
        <w:t>”), the transactions contemplated by that certain business combination agreement, dated November 10, 2021 (as amended, the “</w:t>
      </w:r>
      <w:r>
        <w:rPr>
          <w:rFonts w:ascii="Arial" w:cs="Arial" w:eastAsia="Arial" w:hAnsi="Arial"/>
          <w:sz w:val="16"/>
          <w:szCs w:val="16"/>
          <w:b w:val="1"/>
          <w:bCs w:val="1"/>
          <w:i w:val="1"/>
          <w:iCs w:val="1"/>
          <w:color w:val="auto"/>
        </w:rPr>
        <w:t>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Combination Agreement</w:t>
      </w:r>
      <w:r>
        <w:rPr>
          <w:rFonts w:ascii="Arial" w:cs="Arial" w:eastAsia="Arial" w:hAnsi="Arial"/>
          <w:sz w:val="16"/>
          <w:szCs w:val="16"/>
          <w:color w:val="auto"/>
        </w:rPr>
        <w:t>”), by and among the Company, Noble Corporation, an exempted company incorporated in the Cayman Islands with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liability (“</w:t>
      </w:r>
      <w:r>
        <w:rPr>
          <w:rFonts w:ascii="Arial" w:cs="Arial" w:eastAsia="Arial" w:hAnsi="Arial"/>
          <w:sz w:val="16"/>
          <w:szCs w:val="16"/>
          <w:b w:val="1"/>
          <w:bCs w:val="1"/>
          <w:i w:val="1"/>
          <w:iCs w:val="1"/>
          <w:color w:val="auto"/>
        </w:rPr>
        <w:t>Noble Cayman</w:t>
      </w:r>
      <w:r>
        <w:rPr>
          <w:rFonts w:ascii="Arial" w:cs="Arial" w:eastAsia="Arial" w:hAnsi="Arial"/>
          <w:sz w:val="16"/>
          <w:szCs w:val="16"/>
          <w:color w:val="auto"/>
        </w:rPr>
        <w:t>”), Noble Newco Sub Limited, a Cayman Islands exempted company and a direct, wholly owned subsidiary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Merger Sub</w:t>
      </w:r>
      <w:r>
        <w:rPr>
          <w:rFonts w:ascii="Arial" w:cs="Arial" w:eastAsia="Arial" w:hAnsi="Arial"/>
          <w:sz w:val="17"/>
          <w:szCs w:val="17"/>
          <w:color w:val="auto"/>
        </w:rPr>
        <w:t>”), and The Drilling Company of 1972 A/S, a Danish public limited liability company (“</w:t>
      </w:r>
      <w:r>
        <w:rPr>
          <w:rFonts w:ascii="Arial" w:cs="Arial" w:eastAsia="Arial" w:hAnsi="Arial"/>
          <w:sz w:val="17"/>
          <w:szCs w:val="17"/>
          <w:b w:val="1"/>
          <w:bCs w:val="1"/>
          <w:i w:val="1"/>
          <w:iCs w:val="1"/>
          <w:color w:val="auto"/>
        </w:rPr>
        <w:t>Maersk Drilling</w:t>
      </w:r>
      <w:r>
        <w:rPr>
          <w:rFonts w:ascii="Arial" w:cs="Arial" w:eastAsia="Arial" w:hAnsi="Arial"/>
          <w:sz w:val="17"/>
          <w:szCs w:val="17"/>
          <w:color w:val="auto"/>
        </w:rPr>
        <w:t>”), were consummated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October 3, 2022. Pursuant to the Business Combination Agreement, among other things, (i) Noble Cayman merged with and into Merger Sub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with Merger Sub surviving the Merger as a wholly owned subsidiary of the Company, and (ii) the Company completed a voluntary tender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exchange offer to Maersk Drilling’s shareholders.</w:t>
      </w:r>
    </w:p>
    <w:p>
      <w:pPr>
        <w:spacing w:after="0" w:line="21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On October 19, 2022, the Company amended the Initial Form 8-K to include the financial statements required by Item 9.01(a) and the pro forma financial information required by Item 9.01(b).</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Current Report on Form 8-K includes the following additional financial information:</w:t>
      </w:r>
    </w:p>
    <w:p>
      <w:pPr>
        <w:spacing w:after="0" w:line="131" w:lineRule="exact"/>
        <w:rPr>
          <w:sz w:val="20"/>
          <w:szCs w:val="20"/>
          <w:color w:val="auto"/>
        </w:rPr>
      </w:pPr>
    </w:p>
    <w:p>
      <w:pPr>
        <w:ind w:left="960" w:right="26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unaudited interim consolidated financial statements of Maersk Drilling as of and for the nine months ended September 30, 2022 and 2021; and</w:t>
      </w:r>
    </w:p>
    <w:p>
      <w:pPr>
        <w:spacing w:after="0" w:line="75" w:lineRule="exact"/>
        <w:rPr>
          <w:rFonts w:ascii="Arial" w:cs="Arial" w:eastAsia="Arial" w:hAnsi="Arial"/>
          <w:sz w:val="18"/>
          <w:szCs w:val="18"/>
          <w:color w:val="auto"/>
        </w:rPr>
      </w:pPr>
    </w:p>
    <w:p>
      <w:pPr>
        <w:ind w:left="960" w:right="100" w:hanging="424"/>
        <w:spacing w:after="0" w:line="308"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unaudited pro forma condensed combined statement of operations of the Company for the year ended December 31, 2022, prepared to give effect to the Merger as if it had been consummated on January 1, 2022, and the notes related thereto.</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60" w:type="dxa"/>
            <w:vAlign w:val="bottom"/>
            <w:gridSpan w:val="7"/>
          </w:tcPr>
          <w:p>
            <w:pPr>
              <w:ind w:left="3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38"/>
        </w:trPr>
        <w:tc>
          <w:tcPr>
            <w:tcW w:w="840" w:type="dxa"/>
            <w:vAlign w:val="bottom"/>
            <w:gridSpan w:val="2"/>
          </w:tcPr>
          <w:p>
            <w:pPr>
              <w:ind w:left="420"/>
              <w:spacing w:after="0"/>
              <w:rPr>
                <w:sz w:val="20"/>
                <w:szCs w:val="20"/>
                <w:color w:val="auto"/>
              </w:rPr>
            </w:pPr>
            <w:r>
              <w:rPr>
                <w:rFonts w:ascii="Arial" w:cs="Arial" w:eastAsia="Arial" w:hAnsi="Arial"/>
                <w:sz w:val="18"/>
                <w:szCs w:val="18"/>
                <w:color w:val="auto"/>
              </w:rPr>
              <w:t>(d)</w:t>
            </w:r>
          </w:p>
        </w:tc>
        <w:tc>
          <w:tcPr>
            <w:tcW w:w="10160" w:type="dxa"/>
            <w:vAlign w:val="bottom"/>
            <w:gridSpan w:val="7"/>
          </w:tcPr>
          <w:p>
            <w:pPr>
              <w:ind w:left="120"/>
              <w:spacing w:after="0"/>
              <w:rPr>
                <w:sz w:val="20"/>
                <w:szCs w:val="20"/>
                <w:color w:val="auto"/>
              </w:rPr>
            </w:pPr>
            <w:r>
              <w:rPr>
                <w:rFonts w:ascii="Arial" w:cs="Arial" w:eastAsia="Arial" w:hAnsi="Arial"/>
                <w:sz w:val="18"/>
                <w:szCs w:val="18"/>
                <w:color w:val="auto"/>
              </w:rPr>
              <w:t>Exhibits</w:t>
            </w:r>
            <w:r>
              <w:rPr>
                <w:rFonts w:ascii="Arial" w:cs="Arial" w:eastAsia="Arial" w:hAnsi="Arial"/>
                <w:sz w:val="18"/>
                <w:szCs w:val="18"/>
                <w:i w:val="1"/>
                <w:iCs w:val="1"/>
                <w:color w:val="auto"/>
              </w:rPr>
              <w:t>.</w:t>
            </w:r>
          </w:p>
        </w:tc>
      </w:tr>
      <w:tr>
        <w:trPr>
          <w:trHeight w:val="373"/>
        </w:trPr>
        <w:tc>
          <w:tcPr>
            <w:tcW w:w="84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7"/>
        </w:trPr>
        <w:tc>
          <w:tcPr>
            <w:tcW w:w="620" w:type="dxa"/>
            <w:vAlign w:val="bottom"/>
          </w:tcPr>
          <w:p>
            <w:pPr>
              <w:spacing w:after="0"/>
              <w:rPr>
                <w:sz w:val="20"/>
                <w:szCs w:val="20"/>
                <w:color w:val="auto"/>
              </w:rPr>
            </w:pPr>
            <w:r>
              <w:rPr>
                <w:rFonts w:ascii="Arial" w:cs="Arial" w:eastAsia="Arial" w:hAnsi="Arial"/>
                <w:sz w:val="14"/>
                <w:szCs w:val="14"/>
                <w:color w:val="auto"/>
                <w:w w:val="98"/>
              </w:rPr>
              <w:t>NUMBER</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60" w:type="dxa"/>
            <w:vAlign w:val="bottom"/>
            <w:gridSpan w:val="4"/>
          </w:tcPr>
          <w:p>
            <w:pPr>
              <w:ind w:left="2820"/>
              <w:spacing w:after="0"/>
              <w:rPr>
                <w:sz w:val="20"/>
                <w:szCs w:val="20"/>
                <w:color w:val="auto"/>
              </w:rPr>
            </w:pPr>
            <w:r>
              <w:rPr>
                <w:rFonts w:ascii="Arial" w:cs="Arial" w:eastAsia="Arial" w:hAnsi="Arial"/>
                <w:sz w:val="14"/>
                <w:szCs w:val="14"/>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7"/>
        </w:trPr>
        <w:tc>
          <w:tcPr>
            <w:tcW w:w="62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10160" w:type="dxa"/>
            <w:vAlign w:val="bottom"/>
            <w:gridSpan w:val="7"/>
          </w:tcPr>
          <w:p>
            <w:pPr>
              <w:ind w:left="180"/>
              <w:spacing w:after="0"/>
              <w:rPr>
                <w:sz w:val="20"/>
                <w:szCs w:val="20"/>
                <w:color w:val="auto"/>
              </w:rPr>
            </w:pPr>
            <w:r>
              <w:rPr>
                <w:rFonts w:ascii="Arial" w:cs="Arial" w:eastAsia="Arial" w:hAnsi="Arial"/>
                <w:sz w:val="18"/>
                <w:szCs w:val="18"/>
                <w:color w:val="auto"/>
                <w:w w:val="91"/>
              </w:rPr>
              <w:t xml:space="preserve">—   </w:t>
            </w:r>
            <w:r>
              <w:rPr>
                <w:rFonts w:ascii="Arial" w:cs="Arial" w:eastAsia="Arial" w:hAnsi="Arial"/>
                <w:sz w:val="18"/>
                <w:szCs w:val="18"/>
                <w:color w:val="0000EE"/>
                <w:w w:val="91"/>
              </w:rPr>
              <w:t>Unaudited interim consolidated financial statements of Maersk Drilling as of and for the nine months ended September 30, 2022 and</w:t>
            </w:r>
          </w:p>
        </w:tc>
      </w:tr>
      <w:tr>
        <w:trPr>
          <w:trHeight w:val="196"/>
        </w:trPr>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2021.</w:t>
            </w:r>
          </w:p>
        </w:tc>
        <w:tc>
          <w:tcPr>
            <w:tcW w:w="1100" w:type="dxa"/>
            <w:vAlign w:val="bottom"/>
            <w:tcBorders>
              <w:top w:val="single" w:sz="8" w:color="0000EE"/>
            </w:tcBorders>
          </w:tcPr>
          <w:p>
            <w:pPr>
              <w:spacing w:after="0"/>
              <w:rPr>
                <w:sz w:val="17"/>
                <w:szCs w:val="17"/>
                <w:color w:val="auto"/>
              </w:rPr>
            </w:pPr>
          </w:p>
        </w:tc>
        <w:tc>
          <w:tcPr>
            <w:tcW w:w="28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39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24"/>
                <w:szCs w:val="24"/>
                <w:color w:val="auto"/>
              </w:rPr>
            </w:pPr>
          </w:p>
        </w:tc>
        <w:tc>
          <w:tcPr>
            <w:tcW w:w="10160" w:type="dxa"/>
            <w:vAlign w:val="bottom"/>
            <w:gridSpan w:val="7"/>
          </w:tcPr>
          <w:p>
            <w:pPr>
              <w:ind w:left="180"/>
              <w:spacing w:after="0"/>
              <w:rPr>
                <w:sz w:val="20"/>
                <w:szCs w:val="20"/>
                <w:color w:val="auto"/>
              </w:rPr>
            </w:pPr>
            <w:r>
              <w:rPr>
                <w:rFonts w:ascii="Arial" w:cs="Arial" w:eastAsia="Arial" w:hAnsi="Arial"/>
                <w:sz w:val="18"/>
                <w:szCs w:val="18"/>
                <w:color w:val="auto"/>
                <w:w w:val="94"/>
              </w:rPr>
              <w:t xml:space="preserve">—   </w:t>
            </w:r>
            <w:r>
              <w:rPr>
                <w:rFonts w:ascii="Arial" w:cs="Arial" w:eastAsia="Arial" w:hAnsi="Arial"/>
                <w:sz w:val="18"/>
                <w:szCs w:val="18"/>
                <w:color w:val="0000EE"/>
                <w:w w:val="94"/>
              </w:rPr>
              <w:t>Unaudited pro forma condensed combined financial information of the Company for the year ended December 31, 2022 and the</w:t>
            </w:r>
          </w:p>
        </w:tc>
      </w:tr>
      <w:tr>
        <w:trPr>
          <w:trHeight w:val="196"/>
        </w:trPr>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2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notes related thereto.</w:t>
            </w:r>
          </w:p>
        </w:tc>
        <w:tc>
          <w:tcPr>
            <w:tcW w:w="34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8060" w:type="dxa"/>
            <w:vAlign w:val="bottom"/>
            <w:gridSpan w:val="4"/>
          </w:tcPr>
          <w:p>
            <w:pPr>
              <w:spacing w:after="0" w:line="20" w:lineRule="exact"/>
              <w:rPr>
                <w:sz w:val="1"/>
                <w:szCs w:val="1"/>
                <w:color w:val="auto"/>
              </w:rPr>
            </w:pPr>
          </w:p>
        </w:tc>
      </w:tr>
      <w:tr>
        <w:trPr>
          <w:trHeight w:val="345"/>
        </w:trPr>
        <w:tc>
          <w:tcPr>
            <w:tcW w:w="62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10160" w:type="dxa"/>
            <w:vAlign w:val="bottom"/>
            <w:gridSpan w:val="7"/>
          </w:tcPr>
          <w:p>
            <w:pPr>
              <w:ind w:left="180"/>
              <w:spacing w:after="0"/>
              <w:rPr>
                <w:sz w:val="20"/>
                <w:szCs w:val="20"/>
                <w:color w:val="auto"/>
              </w:rPr>
            </w:pPr>
            <w:r>
              <w:rPr>
                <w:rFonts w:ascii="Arial" w:cs="Arial" w:eastAsia="Arial" w:hAnsi="Arial"/>
                <w:sz w:val="18"/>
                <w:szCs w:val="18"/>
                <w:color w:val="auto"/>
              </w:rPr>
              <w:t>—   Cover Page Interactive Data File – the cover page XBRL tags are embedded within the Inline XBRL document.</w:t>
            </w:r>
          </w:p>
        </w:tc>
      </w:tr>
    </w:tbl>
    <w:p>
      <w:pPr>
        <w:sectPr>
          <w:pgSz w:w="11900" w:h="16838" w:orient="portrait"/>
          <w:cols w:equalWidth="0" w:num="1">
            <w:col w:w="11000"/>
          </w:cols>
          <w:pgMar w:left="440" w:top="297" w:right="45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NOBLE CORPORATION plc</w:t>
      </w:r>
    </w:p>
    <w:p>
      <w:pPr>
        <w:spacing w:after="0" w:line="229" w:lineRule="exact"/>
        <w:rPr>
          <w:sz w:val="20"/>
          <w:szCs w:val="20"/>
          <w:color w:val="auto"/>
        </w:rPr>
      </w:pPr>
    </w:p>
    <w:p>
      <w:pPr>
        <w:ind w:left="80"/>
        <w:spacing w:after="0"/>
        <w:tabs>
          <w:tab w:leader="none" w:pos="5600" w:val="left"/>
          <w:tab w:leader="none" w:pos="6040" w:val="left"/>
        </w:tabs>
        <w:rPr>
          <w:sz w:val="20"/>
          <w:szCs w:val="20"/>
          <w:color w:val="auto"/>
        </w:rPr>
      </w:pPr>
      <w:r>
        <w:rPr>
          <w:rFonts w:ascii="Arial" w:cs="Arial" w:eastAsia="Arial" w:hAnsi="Arial"/>
          <w:sz w:val="18"/>
          <w:szCs w:val="18"/>
          <w:color w:val="auto"/>
        </w:rPr>
        <w:t>Date: March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E. Turcotte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William E. Turcotte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Senior Vice President, General Counsel and Corporate Secretary</w:t>
      </w:r>
    </w:p>
    <w:p>
      <w:pPr>
        <w:sectPr>
          <w:pgSz w:w="11900" w:h="16838" w:orient="portrait"/>
          <w:cols w:equalWidth="0" w:num="1">
            <w:col w:w="10820"/>
          </w:cols>
          <w:pgMar w:left="440" w:top="297" w:right="6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80" w:type="dxa"/>
            <w:vAlign w:val="bottom"/>
            <w:gridSpan w:val="3"/>
          </w:tcPr>
          <w:p>
            <w:pPr>
              <w:ind w:left="640"/>
              <w:spacing w:after="0"/>
              <w:rPr>
                <w:sz w:val="20"/>
                <w:szCs w:val="20"/>
                <w:color w:val="auto"/>
              </w:rPr>
            </w:pPr>
            <w:r>
              <w:rPr>
                <w:rFonts w:ascii="Arial" w:cs="Arial" w:eastAsia="Arial" w:hAnsi="Arial"/>
                <w:sz w:val="18"/>
                <w:szCs w:val="18"/>
                <w:b w:val="1"/>
                <w:bCs w:val="1"/>
                <w:color w:val="auto"/>
                <w:w w:val="91"/>
              </w:rPr>
              <w:t>Exhibit 99.1</w:t>
            </w:r>
          </w:p>
        </w:tc>
        <w:tc>
          <w:tcPr>
            <w:tcW w:w="0" w:type="dxa"/>
            <w:vAlign w:val="bottom"/>
          </w:tcPr>
          <w:p>
            <w:pPr>
              <w:spacing w:after="0"/>
              <w:rPr>
                <w:sz w:val="1"/>
                <w:szCs w:val="1"/>
                <w:color w:val="auto"/>
              </w:rPr>
            </w:pPr>
          </w:p>
        </w:tc>
      </w:tr>
      <w:tr>
        <w:trPr>
          <w:trHeight w:val="432"/>
        </w:trPr>
        <w:tc>
          <w:tcPr>
            <w:tcW w:w="9440" w:type="dxa"/>
            <w:vAlign w:val="bottom"/>
            <w:gridSpan w:val="7"/>
          </w:tcPr>
          <w:p>
            <w:pPr>
              <w:ind w:left="2220"/>
              <w:spacing w:after="0"/>
              <w:rPr>
                <w:sz w:val="20"/>
                <w:szCs w:val="20"/>
                <w:color w:val="auto"/>
              </w:rPr>
            </w:pPr>
            <w:r>
              <w:rPr>
                <w:rFonts w:ascii="Arial" w:cs="Arial" w:eastAsia="Arial" w:hAnsi="Arial"/>
                <w:sz w:val="18"/>
                <w:szCs w:val="18"/>
                <w:b w:val="1"/>
                <w:bCs w:val="1"/>
                <w:color w:val="auto"/>
              </w:rPr>
              <w:t>INDEX TO THE DRILLING COMPANY OF 1972 A/S FINANCIAL STATEMENTS</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Unaudited Interim Consolidated Financial Statements</w:t>
            </w:r>
          </w:p>
        </w:tc>
        <w:tc>
          <w:tcPr>
            <w:tcW w:w="1220" w:type="dxa"/>
            <w:vAlign w:val="bottom"/>
          </w:tcPr>
          <w:p>
            <w:pPr>
              <w:spacing w:after="0"/>
              <w:rPr>
                <w:sz w:val="24"/>
                <w:szCs w:val="2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9440" w:type="dxa"/>
            <w:vAlign w:val="bottom"/>
            <w:gridSpan w:val="7"/>
            <w:vMerge w:val="continue"/>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440" w:type="dxa"/>
            <w:vAlign w:val="bottom"/>
            <w:gridSpan w:val="7"/>
          </w:tcPr>
          <w:p>
            <w:pPr>
              <w:spacing w:after="0" w:line="190" w:lineRule="exact"/>
              <w:rPr>
                <w:sz w:val="20"/>
                <w:szCs w:val="20"/>
                <w:color w:val="auto"/>
              </w:rPr>
            </w:pPr>
            <w:r>
              <w:rPr>
                <w:rFonts w:ascii="Arial" w:cs="Arial" w:eastAsia="Arial" w:hAnsi="Arial"/>
                <w:sz w:val="18"/>
                <w:szCs w:val="18"/>
                <w:color w:val="0000EE"/>
              </w:rPr>
              <w:t>Consolidated Income Statements for the Nine Months Ended September 30, 2022 and 2021</w:t>
            </w:r>
          </w:p>
        </w:tc>
        <w:tc>
          <w:tcPr>
            <w:tcW w:w="1580" w:type="dxa"/>
            <w:vAlign w:val="bottom"/>
            <w:gridSpan w:val="3"/>
          </w:tcPr>
          <w:p>
            <w:pPr>
              <w:jc w:val="right"/>
              <w:ind w:right="60"/>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7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40" w:type="dxa"/>
            <w:vAlign w:val="bottom"/>
            <w:gridSpan w:val="7"/>
          </w:tcPr>
          <w:p>
            <w:pPr>
              <w:spacing w:after="0" w:line="196" w:lineRule="exact"/>
              <w:rPr>
                <w:sz w:val="20"/>
                <w:szCs w:val="20"/>
                <w:color w:val="auto"/>
              </w:rPr>
            </w:pPr>
            <w:r>
              <w:rPr>
                <w:rFonts w:ascii="Arial" w:cs="Arial" w:eastAsia="Arial" w:hAnsi="Arial"/>
                <w:sz w:val="18"/>
                <w:szCs w:val="18"/>
                <w:color w:val="0000EE"/>
              </w:rPr>
              <w:t>Consolidated Statements of Comprehensive Income for the Nine Months Ended September 30, 2022 and 2021</w:t>
            </w:r>
          </w:p>
        </w:tc>
        <w:tc>
          <w:tcPr>
            <w:tcW w:w="15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82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Consolidated Cash Flow Statements for the Nine Months Ended September 30, 2022 and 2021</w:t>
            </w:r>
          </w:p>
        </w:tc>
        <w:tc>
          <w:tcPr>
            <w:tcW w:w="1120" w:type="dxa"/>
            <w:vAlign w:val="bottom"/>
            <w:tcBorders>
              <w:top w:val="single" w:sz="8" w:color="0000EE"/>
            </w:tcBorders>
            <w:gridSpan w:val="2"/>
          </w:tcPr>
          <w:p>
            <w:pPr>
              <w:spacing w:after="0"/>
              <w:rPr>
                <w:sz w:val="17"/>
                <w:szCs w:val="17"/>
                <w:color w:val="auto"/>
              </w:rPr>
            </w:pPr>
          </w:p>
        </w:tc>
        <w:tc>
          <w:tcPr>
            <w:tcW w:w="1500" w:type="dxa"/>
            <w:vAlign w:val="bottom"/>
          </w:tcPr>
          <w:p>
            <w:pPr>
              <w:spacing w:after="0"/>
              <w:rPr>
                <w:sz w:val="17"/>
                <w:szCs w:val="17"/>
                <w:color w:val="auto"/>
              </w:rPr>
            </w:pPr>
          </w:p>
        </w:tc>
        <w:tc>
          <w:tcPr>
            <w:tcW w:w="15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Consolidated Balance Sheets as at September 30, 2022 and 2021</w:t>
            </w:r>
          </w:p>
        </w:tc>
        <w:tc>
          <w:tcPr>
            <w:tcW w:w="4780" w:type="dxa"/>
            <w:vAlign w:val="bottom"/>
            <w:gridSpan w:val="5"/>
          </w:tcPr>
          <w:p>
            <w:pPr>
              <w:spacing w:after="0"/>
              <w:rPr>
                <w:sz w:val="17"/>
                <w:szCs w:val="17"/>
                <w:color w:val="auto"/>
              </w:rPr>
            </w:pPr>
          </w:p>
        </w:tc>
        <w:tc>
          <w:tcPr>
            <w:tcW w:w="15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9440" w:type="dxa"/>
            <w:vAlign w:val="bottom"/>
            <w:gridSpan w:val="7"/>
          </w:tcPr>
          <w:p>
            <w:pPr>
              <w:spacing w:after="0" w:line="196" w:lineRule="exact"/>
              <w:rPr>
                <w:sz w:val="20"/>
                <w:szCs w:val="20"/>
                <w:color w:val="auto"/>
              </w:rPr>
            </w:pPr>
            <w:r>
              <w:rPr>
                <w:rFonts w:ascii="Arial" w:cs="Arial" w:eastAsia="Arial" w:hAnsi="Arial"/>
                <w:sz w:val="18"/>
                <w:szCs w:val="18"/>
                <w:color w:val="0000EE"/>
              </w:rPr>
              <w:t>Consolidated Statements of Changes in Equity for the Nine Months Ended September 30, 2022 and 2021</w:t>
            </w:r>
          </w:p>
        </w:tc>
        <w:tc>
          <w:tcPr>
            <w:tcW w:w="15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Notes to Interim Consolidated Financial Statements</w:t>
            </w:r>
          </w:p>
        </w:tc>
        <w:tc>
          <w:tcPr>
            <w:tcW w:w="3840" w:type="dxa"/>
            <w:vAlign w:val="bottom"/>
            <w:tcBorders>
              <w:top w:val="single" w:sz="8" w:color="0000EE"/>
            </w:tcBorders>
            <w:gridSpan w:val="4"/>
          </w:tcPr>
          <w:p>
            <w:pPr>
              <w:spacing w:after="0"/>
              <w:rPr>
                <w:sz w:val="17"/>
                <w:szCs w:val="17"/>
                <w:color w:val="auto"/>
              </w:rPr>
            </w:pPr>
          </w:p>
        </w:tc>
        <w:tc>
          <w:tcPr>
            <w:tcW w:w="1880" w:type="dxa"/>
            <w:vAlign w:val="bottom"/>
            <w:gridSpan w:val="2"/>
          </w:tcPr>
          <w:p>
            <w:pPr>
              <w:spacing w:after="0"/>
              <w:rPr>
                <w:sz w:val="17"/>
                <w:szCs w:val="17"/>
                <w:color w:val="auto"/>
              </w:rPr>
            </w:pPr>
          </w:p>
        </w:tc>
        <w:tc>
          <w:tcPr>
            <w:tcW w:w="15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85"/>
        </w:trPr>
        <w:tc>
          <w:tcPr>
            <w:tcW w:w="6620" w:type="dxa"/>
            <w:vAlign w:val="bottom"/>
            <w:gridSpan w:val="3"/>
          </w:tcPr>
          <w:p>
            <w:pPr>
              <w:ind w:left="54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DRILLING COMPANY OF 1972 A/S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INCOME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For the 9 months</w:t>
            </w:r>
          </w:p>
        </w:tc>
        <w:tc>
          <w:tcPr>
            <w:tcW w:w="0" w:type="dxa"/>
            <w:vAlign w:val="bottom"/>
          </w:tcPr>
          <w:p>
            <w:pPr>
              <w:spacing w:after="0"/>
              <w:rPr>
                <w:sz w:val="1"/>
                <w:szCs w:val="1"/>
                <w:color w:val="auto"/>
              </w:rPr>
            </w:pPr>
          </w:p>
        </w:tc>
      </w:tr>
      <w:tr>
        <w:trPr>
          <w:trHeight w:val="148"/>
        </w:trPr>
        <w:tc>
          <w:tcPr>
            <w:tcW w:w="9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71"/>
        </w:trPr>
        <w:tc>
          <w:tcPr>
            <w:tcW w:w="9040" w:type="dxa"/>
            <w:vAlign w:val="bottom"/>
          </w:tcPr>
          <w:p>
            <w:pPr>
              <w:spacing w:after="0"/>
              <w:rPr>
                <w:sz w:val="14"/>
                <w:szCs w:val="14"/>
                <w:color w:val="auto"/>
              </w:rPr>
            </w:pPr>
          </w:p>
        </w:tc>
        <w:tc>
          <w:tcPr>
            <w:tcW w:w="6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Notes</w:t>
            </w:r>
          </w:p>
        </w:tc>
        <w:tc>
          <w:tcPr>
            <w:tcW w:w="160" w:type="dxa"/>
            <w:vAlign w:val="bottom"/>
            <w:vMerge w:val="restart"/>
          </w:tcPr>
          <w:p>
            <w:pPr>
              <w:spacing w:after="0"/>
              <w:rPr>
                <w:sz w:val="14"/>
                <w:szCs w:val="14"/>
                <w:color w:val="auto"/>
              </w:rPr>
            </w:pPr>
          </w:p>
        </w:tc>
        <w:tc>
          <w:tcPr>
            <w:tcW w:w="12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9040" w:type="dxa"/>
            <w:vAlign w:val="bottom"/>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4"/>
              </w:rPr>
              <w:t>USD million</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1.1, 1.2</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Cost of sales (exclusive of depreciation and amortisation shown separately below)</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(657)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Special items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Depreciation and amortisation</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Impairment reversals (losses), net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Gain/(loss) on sale of non-current assets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Share of results in joint ventures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Arial" w:cs="Arial" w:eastAsia="Arial" w:hAnsi="Arial"/>
                <w:sz w:val="18"/>
                <w:szCs w:val="18"/>
                <w:b w:val="1"/>
                <w:bCs w:val="1"/>
                <w:color w:val="auto"/>
              </w:rPr>
              <w:t>Profit/loss before financial items</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(120)</w:t>
            </w:r>
          </w:p>
        </w:tc>
        <w:tc>
          <w:tcPr>
            <w:tcW w:w="2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Financial income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Profit/loss before tax</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(164)</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Tax</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Profit/loss for the period</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(186)</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8"/>
                <w:szCs w:val="18"/>
                <w:color w:val="auto"/>
              </w:rPr>
              <w:t>Earnings in USD per share of DKK 10 for the period</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1.6</w:t>
            </w: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40" w:type="dxa"/>
            <w:vAlign w:val="bottom"/>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in USD per share of DKK 10 for the period</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DRILLING COMPANY OF 1972 A/S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1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For the 9 months</w:t>
            </w:r>
          </w:p>
        </w:tc>
      </w:tr>
      <w:tr>
        <w:trPr>
          <w:trHeight w:val="148"/>
        </w:trPr>
        <w:tc>
          <w:tcPr>
            <w:tcW w:w="9700" w:type="dxa"/>
            <w:vAlign w:val="bottom"/>
          </w:tcPr>
          <w:p>
            <w:pPr>
              <w:spacing w:after="0"/>
              <w:rPr>
                <w:sz w:val="12"/>
                <w:szCs w:val="12"/>
                <w:color w:val="auto"/>
              </w:rPr>
            </w:pPr>
          </w:p>
        </w:tc>
        <w:tc>
          <w:tcPr>
            <w:tcW w:w="82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87"/>
              </w:rPr>
              <w:t>ended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9700" w:type="dxa"/>
            <w:vAlign w:val="bottom"/>
          </w:tcPr>
          <w:p>
            <w:pPr>
              <w:spacing w:after="0"/>
              <w:rPr>
                <w:sz w:val="14"/>
                <w:szCs w:val="14"/>
                <w:color w:val="auto"/>
              </w:rPr>
            </w:pPr>
          </w:p>
        </w:tc>
        <w:tc>
          <w:tcPr>
            <w:tcW w:w="1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97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55"/>
        </w:trPr>
        <w:tc>
          <w:tcPr>
            <w:tcW w:w="9700" w:type="dxa"/>
            <w:vAlign w:val="bottom"/>
          </w:tcPr>
          <w:p>
            <w:pPr>
              <w:spacing w:after="0"/>
              <w:rPr>
                <w:sz w:val="13"/>
                <w:szCs w:val="13"/>
                <w:color w:val="auto"/>
              </w:rPr>
            </w:pPr>
          </w:p>
        </w:tc>
        <w:tc>
          <w:tcPr>
            <w:tcW w:w="120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6"/>
              </w:rPr>
              <w:t>USD million</w:t>
            </w:r>
          </w:p>
        </w:tc>
        <w:tc>
          <w:tcPr>
            <w:tcW w:w="120" w:type="dxa"/>
            <w:vAlign w:val="bottom"/>
          </w:tcPr>
          <w:p>
            <w:pPr>
              <w:spacing w:after="0"/>
              <w:rPr>
                <w:sz w:val="13"/>
                <w:szCs w:val="13"/>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Profit/loss for the period</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Cash flow hedges:</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Value adjustment of hedges</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9700" w:type="dxa"/>
            <w:vAlign w:val="bottom"/>
          </w:tcPr>
          <w:p>
            <w:pPr>
              <w:ind w:left="360"/>
              <w:spacing w:after="0"/>
              <w:rPr>
                <w:sz w:val="20"/>
                <w:szCs w:val="20"/>
                <w:color w:val="auto"/>
              </w:rPr>
            </w:pPr>
            <w:r>
              <w:rPr>
                <w:rFonts w:ascii="Arial" w:cs="Arial" w:eastAsia="Arial" w:hAnsi="Arial"/>
                <w:sz w:val="18"/>
                <w:szCs w:val="18"/>
                <w:color w:val="auto"/>
              </w:rPr>
              <w:t>Reclassified to income 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r>
      <w:tr>
        <w:trPr>
          <w:trHeight w:val="27"/>
        </w:trPr>
        <w:tc>
          <w:tcPr>
            <w:tcW w:w="97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items that have or will be reclassified to the income statement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w:t>
            </w:r>
          </w:p>
        </w:tc>
      </w:tr>
      <w:tr>
        <w:trPr>
          <w:trHeight w:val="230"/>
        </w:trPr>
        <w:tc>
          <w:tcPr>
            <w:tcW w:w="970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34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0"/>
                <w:szCs w:val="20"/>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for the period</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(169)</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w:t>
            </w:r>
          </w:p>
        </w:tc>
      </w:tr>
      <w:tr>
        <w:trPr>
          <w:trHeight w:val="20"/>
        </w:trPr>
        <w:tc>
          <w:tcPr>
            <w:tcW w:w="97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DRILLING COMPANY OF 1972 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CASH FLOW STATEMENTS</w:t>
      </w:r>
    </w:p>
    <w:p>
      <w:pPr>
        <w:spacing w:after="0" w:line="248" w:lineRule="exact"/>
        <w:rPr>
          <w:sz w:val="20"/>
          <w:szCs w:val="20"/>
          <w:color w:val="auto"/>
        </w:rPr>
      </w:pPr>
    </w:p>
    <w:p>
      <w:pPr>
        <w:jc w:val="center"/>
        <w:ind w:left="9680"/>
        <w:spacing w:after="0"/>
        <w:rPr>
          <w:sz w:val="20"/>
          <w:szCs w:val="20"/>
          <w:color w:val="auto"/>
        </w:rPr>
      </w:pPr>
      <w:r>
        <w:rPr>
          <w:rFonts w:ascii="Arial" w:cs="Arial" w:eastAsia="Arial" w:hAnsi="Arial"/>
          <w:sz w:val="14"/>
          <w:szCs w:val="14"/>
          <w:b w:val="1"/>
          <w:bCs w:val="1"/>
          <w:color w:val="auto"/>
        </w:rPr>
        <w:t>For the 9 months</w:t>
      </w:r>
    </w:p>
    <w:p>
      <w:pPr>
        <w:jc w:val="center"/>
        <w:ind w:left="9680"/>
        <w:spacing w:after="0" w:line="226" w:lineRule="auto"/>
        <w:rPr>
          <w:sz w:val="20"/>
          <w:szCs w:val="20"/>
          <w:color w:val="auto"/>
        </w:rPr>
      </w:pPr>
      <w:r>
        <w:rPr>
          <w:rFonts w:ascii="Arial" w:cs="Arial" w:eastAsia="Arial" w:hAnsi="Arial"/>
          <w:sz w:val="14"/>
          <w:szCs w:val="14"/>
          <w:b w:val="1"/>
          <w:bCs w:val="1"/>
          <w:color w:val="auto"/>
        </w:rPr>
        <w:t>ended</w:t>
      </w:r>
    </w:p>
    <w:p>
      <w:pPr>
        <w:jc w:val="center"/>
        <w:ind w:left="9680"/>
        <w:spacing w:after="0" w:line="231"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80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55"/>
        </w:trPr>
        <w:tc>
          <w:tcPr>
            <w:tcW w:w="9800" w:type="dxa"/>
            <w:vAlign w:val="bottom"/>
          </w:tcPr>
          <w:p>
            <w:pPr>
              <w:spacing w:after="0"/>
              <w:rPr>
                <w:sz w:val="13"/>
                <w:szCs w:val="13"/>
                <w:color w:val="auto"/>
              </w:rPr>
            </w:pPr>
          </w:p>
        </w:tc>
        <w:tc>
          <w:tcPr>
            <w:tcW w:w="1100" w:type="dxa"/>
            <w:vAlign w:val="bottom"/>
            <w:gridSpan w:val="4"/>
          </w:tcPr>
          <w:p>
            <w:pPr>
              <w:jc w:val="right"/>
              <w:ind w:right="91"/>
              <w:spacing w:after="0" w:line="155" w:lineRule="exact"/>
              <w:rPr>
                <w:sz w:val="20"/>
                <w:szCs w:val="20"/>
                <w:color w:val="auto"/>
              </w:rPr>
            </w:pPr>
            <w:r>
              <w:rPr>
                <w:rFonts w:ascii="Arial" w:cs="Arial" w:eastAsia="Arial" w:hAnsi="Arial"/>
                <w:sz w:val="14"/>
                <w:szCs w:val="14"/>
                <w:b w:val="1"/>
                <w:bCs w:val="1"/>
                <w:color w:val="auto"/>
              </w:rPr>
              <w:t>USD million</w:t>
            </w:r>
          </w:p>
        </w:tc>
        <w:tc>
          <w:tcPr>
            <w:tcW w:w="120" w:type="dxa"/>
            <w:vAlign w:val="bottom"/>
          </w:tcPr>
          <w:p>
            <w:pPr>
              <w:spacing w:after="0"/>
              <w:rPr>
                <w:sz w:val="13"/>
                <w:szCs w:val="13"/>
                <w:color w:val="auto"/>
              </w:rPr>
            </w:pP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Profit/loss before financial items</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Depreciation, amortisation and impairment reversals (losses), net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Gain/loss on sale of non-current assets</w:t>
            </w: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Change in working capital</w:t>
            </w: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(56)</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Change in provisions</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Other non-cash items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Taxes paid</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30"/>
        </w:trPr>
        <w:tc>
          <w:tcPr>
            <w:tcW w:w="9800" w:type="dxa"/>
            <w:vAlign w:val="bottom"/>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w:t>
            </w:r>
          </w:p>
        </w:tc>
        <w:tc>
          <w:tcPr>
            <w:tcW w:w="120" w:type="dxa"/>
            <w:vAlign w:val="bottom"/>
          </w:tcPr>
          <w:p>
            <w:pPr>
              <w:spacing w:after="0"/>
              <w:rPr>
                <w:sz w:val="20"/>
                <w:szCs w:val="20"/>
                <w:color w:val="auto"/>
              </w:rPr>
            </w:pP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 and property, plant and equipment</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Sale of property, plant and equipment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investments</w:t>
            </w: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9800" w:type="dxa"/>
            <w:vAlign w:val="bottom"/>
          </w:tcPr>
          <w:p>
            <w:pPr>
              <w:spacing w:after="0"/>
              <w:rPr>
                <w:sz w:val="20"/>
                <w:szCs w:val="20"/>
                <w:color w:val="auto"/>
              </w:rPr>
            </w:pPr>
            <w:r>
              <w:rPr>
                <w:rFonts w:ascii="Arial" w:cs="Arial" w:eastAsia="Arial" w:hAnsi="Arial"/>
                <w:sz w:val="18"/>
                <w:szCs w:val="18"/>
                <w:b w:val="1"/>
                <w:bCs w:val="1"/>
                <w:color w:val="auto"/>
              </w:rPr>
              <w:t>Cash flow used for investing activities</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0"/>
                <w:szCs w:val="20"/>
                <w:color w:val="auto"/>
              </w:rPr>
            </w:pP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Interest paid</w:t>
            </w: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(30)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Repayment of borrowings</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r>
      <w:tr>
        <w:trPr>
          <w:trHeight w:val="230"/>
        </w:trPr>
        <w:tc>
          <w:tcPr>
            <w:tcW w:w="9800" w:type="dxa"/>
            <w:vAlign w:val="bottom"/>
          </w:tcPr>
          <w:p>
            <w:pPr>
              <w:spacing w:after="0"/>
              <w:rPr>
                <w:sz w:val="20"/>
                <w:szCs w:val="20"/>
                <w:color w:val="auto"/>
              </w:rPr>
            </w:pPr>
            <w:r>
              <w:rPr>
                <w:rFonts w:ascii="Arial" w:cs="Arial" w:eastAsia="Arial" w:hAnsi="Arial"/>
                <w:sz w:val="18"/>
                <w:szCs w:val="18"/>
                <w:b w:val="1"/>
                <w:bCs w:val="1"/>
                <w:color w:val="auto"/>
              </w:rPr>
              <w:t>Cash flow used for financing activities</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(358)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w:t>
            </w:r>
          </w:p>
        </w:tc>
        <w:tc>
          <w:tcPr>
            <w:tcW w:w="120" w:type="dxa"/>
            <w:vAlign w:val="bottom"/>
          </w:tcPr>
          <w:p>
            <w:pPr>
              <w:spacing w:after="0"/>
              <w:rPr>
                <w:sz w:val="20"/>
                <w:szCs w:val="20"/>
                <w:color w:val="auto"/>
              </w:rPr>
            </w:pP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 for the period</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(370)</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w:t>
            </w:r>
          </w:p>
        </w:tc>
      </w:tr>
      <w:tr>
        <w:trPr>
          <w:trHeight w:val="223"/>
        </w:trPr>
        <w:tc>
          <w:tcPr>
            <w:tcW w:w="9800" w:type="dxa"/>
            <w:vAlign w:val="bottom"/>
          </w:tcPr>
          <w:p>
            <w:pPr>
              <w:spacing w:after="0"/>
              <w:rPr>
                <w:sz w:val="20"/>
                <w:szCs w:val="20"/>
                <w:color w:val="auto"/>
              </w:rPr>
            </w:pPr>
            <w:r>
              <w:rPr>
                <w:rFonts w:ascii="Arial" w:cs="Arial" w:eastAsia="Arial" w:hAnsi="Arial"/>
                <w:sz w:val="18"/>
                <w:szCs w:val="18"/>
                <w:color w:val="auto"/>
              </w:rPr>
              <w:t>Cash and bank balances 1 January</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effect on cash and bank balances</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9800" w:type="dxa"/>
            <w:vAlign w:val="bottom"/>
          </w:tcPr>
          <w:p>
            <w:pPr>
              <w:spacing w:after="0"/>
              <w:rPr>
                <w:sz w:val="20"/>
                <w:szCs w:val="20"/>
                <w:color w:val="auto"/>
              </w:rPr>
            </w:pPr>
            <w:r>
              <w:rPr>
                <w:rFonts w:ascii="Arial" w:cs="Arial" w:eastAsia="Arial" w:hAnsi="Arial"/>
                <w:sz w:val="18"/>
                <w:szCs w:val="18"/>
                <w:b w:val="1"/>
                <w:bCs w:val="1"/>
                <w:color w:val="auto"/>
              </w:rPr>
              <w:t>Cash and bank balances, end of period</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w:t>
            </w:r>
          </w:p>
        </w:tc>
        <w:tc>
          <w:tcPr>
            <w:tcW w:w="120" w:type="dxa"/>
            <w:vAlign w:val="bottom"/>
          </w:tcPr>
          <w:p>
            <w:pPr>
              <w:spacing w:after="0"/>
              <w:rPr>
                <w:sz w:val="19"/>
                <w:szCs w:val="19"/>
                <w:color w:val="auto"/>
              </w:rPr>
            </w:pPr>
          </w:p>
        </w:tc>
      </w:tr>
    </w:tbl>
    <w:p>
      <w:pPr>
        <w:spacing w:after="0" w:line="107"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Cash and bank balances at September 30, 2022 include USD 20 million (September 30, 2021: USD 23 million) that relates to cash and bank balances in countries with exchange control or other restrictions. These funds are not readily available for general use by Maersk Drilling.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7" w:name="page8"/>
    <w:bookmarkEnd w:id="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DRILLING COMPANY OF 1972 A/S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CONSOLIDATED BALANCE SHEETS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942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Note</w:t>
            </w:r>
          </w:p>
        </w:tc>
        <w:tc>
          <w:tcPr>
            <w:tcW w:w="160" w:type="dxa"/>
            <w:vAlign w:val="bottom"/>
            <w:vMerge w:val="restart"/>
          </w:tcPr>
          <w:p>
            <w:pPr>
              <w:spacing w:after="0"/>
              <w:rPr>
                <w:sz w:val="14"/>
                <w:szCs w:val="14"/>
                <w:color w:val="auto"/>
              </w:rPr>
            </w:pPr>
          </w:p>
        </w:tc>
        <w:tc>
          <w:tcPr>
            <w:tcW w:w="1140" w:type="dxa"/>
            <w:vAlign w:val="bottom"/>
            <w:gridSpan w:val="5"/>
          </w:tcPr>
          <w:p>
            <w:pPr>
              <w:ind w:left="1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42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4"/>
          </w:tcPr>
          <w:p>
            <w:pPr>
              <w:jc w:val="right"/>
              <w:ind w:right="71"/>
              <w:spacing w:after="0" w:line="155" w:lineRule="exact"/>
              <w:rPr>
                <w:sz w:val="20"/>
                <w:szCs w:val="20"/>
                <w:color w:val="auto"/>
              </w:rPr>
            </w:pPr>
            <w:r>
              <w:rPr>
                <w:rFonts w:ascii="Arial" w:cs="Arial" w:eastAsia="Arial" w:hAnsi="Arial"/>
                <w:sz w:val="14"/>
                <w:szCs w:val="14"/>
                <w:b w:val="1"/>
                <w:bCs w:val="1"/>
                <w:color w:val="auto"/>
              </w:rPr>
              <w:t>USD million</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2,615</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2,812</w:t>
            </w: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Right-of-use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Financial non-current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Deferred tax</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2,684</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2,872</w:t>
            </w:r>
          </w:p>
        </w:tc>
        <w:tc>
          <w:tcPr>
            <w:tcW w:w="0" w:type="dxa"/>
            <w:vAlign w:val="bottom"/>
          </w:tcPr>
          <w:p>
            <w:pPr>
              <w:spacing w:after="0"/>
              <w:rPr>
                <w:sz w:val="1"/>
                <w:szCs w:val="1"/>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Trade receivables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Tax receivables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9420" w:type="dxa"/>
            <w:vAlign w:val="bottom"/>
          </w:tcPr>
          <w:p>
            <w:pPr>
              <w:spacing w:after="0"/>
              <w:rPr>
                <w:sz w:val="20"/>
                <w:szCs w:val="20"/>
                <w:color w:val="auto"/>
              </w:rPr>
            </w:pPr>
            <w:r>
              <w:rPr>
                <w:rFonts w:ascii="Arial" w:cs="Arial" w:eastAsia="Arial" w:hAnsi="Arial"/>
                <w:sz w:val="18"/>
                <w:szCs w:val="18"/>
                <w:b w:val="1"/>
                <w:bCs w:val="1"/>
                <w:color w:val="auto"/>
              </w:rPr>
              <w:t>Receivables, etc.</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Cash and bank balances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Assets held for sale</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531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764</w:t>
            </w:r>
          </w:p>
        </w:tc>
        <w:tc>
          <w:tcPr>
            <w:tcW w:w="0" w:type="dxa"/>
            <w:vAlign w:val="bottom"/>
          </w:tcPr>
          <w:p>
            <w:pPr>
              <w:spacing w:after="0"/>
              <w:rPr>
                <w:sz w:val="1"/>
                <w:szCs w:val="1"/>
                <w:color w:val="auto"/>
              </w:rPr>
            </w:pPr>
          </w:p>
        </w:tc>
      </w:tr>
      <w:tr>
        <w:trPr>
          <w:trHeight w:val="230"/>
        </w:trPr>
        <w:tc>
          <w:tcPr>
            <w:tcW w:w="94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3,215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3,636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Share capital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Reserves and retained earnings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2,092</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2,020</w:t>
            </w:r>
          </w:p>
        </w:tc>
        <w:tc>
          <w:tcPr>
            <w:tcW w:w="0" w:type="dxa"/>
            <w:vAlign w:val="bottom"/>
          </w:tcPr>
          <w:p>
            <w:pPr>
              <w:spacing w:after="0"/>
              <w:rPr>
                <w:sz w:val="1"/>
                <w:szCs w:val="1"/>
                <w:color w:val="auto"/>
              </w:rPr>
            </w:pPr>
          </w:p>
        </w:tc>
      </w:tr>
      <w:tr>
        <w:trPr>
          <w:trHeight w:val="230"/>
        </w:trPr>
        <w:tc>
          <w:tcPr>
            <w:tcW w:w="942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2,155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2,083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Borrowings, non-current</w:t>
            </w:r>
            <w:r>
              <w:rPr>
                <w:rFonts w:ascii="Arial" w:cs="Arial" w:eastAsia="Arial" w:hAnsi="Arial"/>
                <w:sz w:val="25"/>
                <w:szCs w:val="25"/>
                <w:b w:val="1"/>
                <w:bCs w:val="1"/>
                <w:color w:val="auto"/>
                <w:vertAlign w:val="superscript"/>
              </w:rPr>
              <w:t>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600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1,039</w:t>
            </w: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Provisions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9</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Derivatives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non-current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30"/>
        </w:trPr>
        <w:tc>
          <w:tcPr>
            <w:tcW w:w="942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Borrowings, current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136</w:t>
            </w: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Provisions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Tax payables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Deferred income</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current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336</w:t>
            </w:r>
          </w:p>
        </w:tc>
        <w:tc>
          <w:tcPr>
            <w:tcW w:w="0" w:type="dxa"/>
            <w:vAlign w:val="bottom"/>
          </w:tcPr>
          <w:p>
            <w:pPr>
              <w:spacing w:after="0"/>
              <w:rPr>
                <w:sz w:val="1"/>
                <w:szCs w:val="1"/>
                <w:color w:val="auto"/>
              </w:rPr>
            </w:pPr>
          </w:p>
        </w:tc>
      </w:tr>
      <w:tr>
        <w:trPr>
          <w:trHeight w:val="230"/>
        </w:trPr>
        <w:tc>
          <w:tcPr>
            <w:tcW w:w="94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1,060</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1,553</w:t>
            </w:r>
          </w:p>
        </w:tc>
        <w:tc>
          <w:tcPr>
            <w:tcW w:w="0" w:type="dxa"/>
            <w:vAlign w:val="bottom"/>
          </w:tcPr>
          <w:p>
            <w:pPr>
              <w:spacing w:after="0"/>
              <w:rPr>
                <w:sz w:val="1"/>
                <w:szCs w:val="1"/>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3,215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3,636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Maersk Drilling made a voluntary loan repayment of USD 226 million in March 2022.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0"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DRILLING COMPANY OF 1972 A/S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rPr>
              <w:t>Share</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Hedge</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Retained</w:t>
            </w: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r>
      <w:tr>
        <w:trPr>
          <w:trHeight w:val="171"/>
        </w:trPr>
        <w:tc>
          <w:tcPr>
            <w:tcW w:w="80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Capital</w:t>
            </w:r>
          </w:p>
        </w:tc>
        <w:tc>
          <w:tcPr>
            <w:tcW w:w="280" w:type="dxa"/>
            <w:vAlign w:val="bottom"/>
            <w:gridSpan w:val="2"/>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Reserve</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Earnings</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Equity</w:t>
            </w:r>
          </w:p>
        </w:tc>
      </w:tr>
      <w:tr>
        <w:trPr>
          <w:trHeight w:val="20"/>
        </w:trPr>
        <w:tc>
          <w:tcPr>
            <w:tcW w:w="80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8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3"/>
          </w:tcPr>
          <w:p>
            <w:pPr>
              <w:jc w:val="right"/>
              <w:ind w:right="192"/>
              <w:spacing w:after="0" w:line="155" w:lineRule="exact"/>
              <w:rPr>
                <w:sz w:val="20"/>
                <w:szCs w:val="20"/>
                <w:color w:val="auto"/>
              </w:rPr>
            </w:pPr>
            <w:r>
              <w:rPr>
                <w:rFonts w:ascii="Arial" w:cs="Arial" w:eastAsia="Arial" w:hAnsi="Arial"/>
                <w:sz w:val="14"/>
                <w:szCs w:val="14"/>
                <w:b w:val="1"/>
                <w:bCs w:val="1"/>
                <w:color w:val="auto"/>
              </w:rPr>
              <w:t>USD million</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Equity January 1, 2022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2,279</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2,320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7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7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color w:val="auto"/>
              </w:rPr>
              <w:t>Total comprehensive income for the period</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3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3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w:t>
            </w:r>
          </w:p>
        </w:tc>
        <w:tc>
          <w:tcPr>
            <w:tcW w:w="120" w:type="dxa"/>
            <w:vAlign w:val="bottom"/>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Value of share-based payments</w:t>
            </w:r>
          </w:p>
        </w:tc>
        <w:tc>
          <w:tcPr>
            <w:tcW w:w="7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color w:val="auto"/>
              </w:rPr>
              <w:t>Total transactions with shareholders</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3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September 30, 2022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63</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2,097</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2,155</w:t>
            </w: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Equity January 1, 2021</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2,017</w:t>
            </w:r>
          </w:p>
        </w:tc>
        <w:tc>
          <w:tcPr>
            <w:tcW w:w="120" w:type="dxa"/>
            <w:vAlign w:val="bottom"/>
          </w:tcPr>
          <w:p>
            <w:pPr>
              <w:spacing w:after="0"/>
              <w:rPr>
                <w:sz w:val="19"/>
                <w:szCs w:val="19"/>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7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Profit for the period</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r>
      <w:tr>
        <w:trPr>
          <w:trHeight w:val="27"/>
        </w:trPr>
        <w:tc>
          <w:tcPr>
            <w:tcW w:w="80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for the period</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60</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Value of share-based payments</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transactions with shareholders</w:t>
            </w:r>
          </w:p>
        </w:tc>
        <w:tc>
          <w:tcPr>
            <w:tcW w:w="74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w:t>
            </w:r>
          </w:p>
        </w:tc>
      </w:tr>
      <w:tr>
        <w:trPr>
          <w:trHeight w:val="223"/>
        </w:trPr>
        <w:tc>
          <w:tcPr>
            <w:tcW w:w="8000" w:type="dxa"/>
            <w:vAlign w:val="bottom"/>
          </w:tcPr>
          <w:p>
            <w:pPr>
              <w:spacing w:after="0"/>
              <w:rPr>
                <w:sz w:val="20"/>
                <w:szCs w:val="20"/>
                <w:color w:val="auto"/>
              </w:rPr>
            </w:pPr>
            <w:r>
              <w:rPr>
                <w:rFonts w:ascii="Arial" w:cs="Arial" w:eastAsia="Arial" w:hAnsi="Arial"/>
                <w:sz w:val="18"/>
                <w:szCs w:val="18"/>
                <w:b w:val="1"/>
                <w:bCs w:val="1"/>
                <w:color w:val="auto"/>
              </w:rPr>
              <w:t>Equity September 30, 2021</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2,047</w:t>
            </w: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2,083</w:t>
            </w:r>
          </w:p>
        </w:tc>
        <w:tc>
          <w:tcPr>
            <w:tcW w:w="120" w:type="dxa"/>
            <w:vAlign w:val="bottom"/>
          </w:tcPr>
          <w:p>
            <w:pPr>
              <w:spacing w:after="0"/>
              <w:rPr>
                <w:sz w:val="19"/>
                <w:szCs w:val="19"/>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9" w:name="page10"/>
    <w:bookmarkEnd w:id="9"/>
    <w:p>
      <w:pPr>
        <w:ind w:left="2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 Segment Information</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For the 9 months ended September 30,</w:t>
            </w: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2022</w:t>
            </w:r>
          </w:p>
        </w:tc>
        <w:tc>
          <w:tcPr>
            <w:tcW w:w="7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74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North</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International</w:t>
            </w:r>
          </w:p>
        </w:tc>
        <w:tc>
          <w:tcPr>
            <w:tcW w:w="260" w:type="dxa"/>
            <w:vAlign w:val="bottom"/>
            <w:vMerge w:val="restart"/>
          </w:tcPr>
          <w:p>
            <w:pPr>
              <w:spacing w:after="0"/>
              <w:rPr>
                <w:sz w:val="10"/>
                <w:szCs w:val="10"/>
                <w:color w:val="auto"/>
              </w:rPr>
            </w:pPr>
          </w:p>
        </w:tc>
        <w:tc>
          <w:tcPr>
            <w:tcW w:w="102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w w:val="97"/>
              </w:rPr>
              <w:t>Unallocated</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260" w:type="dxa"/>
            <w:vAlign w:val="bottom"/>
            <w:vMerge w:val="restart"/>
          </w:tcPr>
          <w:p>
            <w:pPr>
              <w:spacing w:after="0"/>
              <w:rPr>
                <w:sz w:val="10"/>
                <w:szCs w:val="10"/>
                <w:color w:val="auto"/>
              </w:rPr>
            </w:pPr>
          </w:p>
        </w:tc>
        <w:tc>
          <w:tcPr>
            <w:tcW w:w="7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North</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International</w:t>
            </w:r>
          </w:p>
        </w:tc>
        <w:tc>
          <w:tcPr>
            <w:tcW w:w="280" w:type="dxa"/>
            <w:vAlign w:val="bottom"/>
            <w:vMerge w:val="restart"/>
          </w:tcPr>
          <w:p>
            <w:pPr>
              <w:spacing w:after="0"/>
              <w:rPr>
                <w:sz w:val="10"/>
                <w:szCs w:val="10"/>
                <w:color w:val="auto"/>
              </w:rPr>
            </w:pPr>
          </w:p>
        </w:tc>
        <w:tc>
          <w:tcPr>
            <w:tcW w:w="100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7"/>
              </w:rPr>
              <w:t>Unallocated</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Sea</w:t>
            </w:r>
          </w:p>
        </w:tc>
        <w:tc>
          <w:tcPr>
            <w:tcW w:w="28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Activities</w:t>
            </w:r>
          </w:p>
        </w:tc>
        <w:tc>
          <w:tcPr>
            <w:tcW w:w="260" w:type="dxa"/>
            <w:vAlign w:val="bottom"/>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Sea</w:t>
            </w:r>
          </w:p>
        </w:tc>
        <w:tc>
          <w:tcPr>
            <w:tcW w:w="28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Activities</w:t>
            </w:r>
          </w:p>
        </w:tc>
        <w:tc>
          <w:tcPr>
            <w:tcW w:w="260" w:type="dxa"/>
            <w:vAlign w:val="bottom"/>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6"/>
              </w:rPr>
              <w:t>USD million</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451</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816</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496</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EBITDA before special items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66</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amortisation</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Impairment reversals (losses), net</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non-current assets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Non-current assets(1)</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1,578</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1,030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2,634</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1,615</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1,126</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83</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2,824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4" w:hanging="544"/>
        <w:spacing w:after="0"/>
        <w:tabs>
          <w:tab w:leader="none" w:pos="544"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Comprises intangible assets and property, plant and equipment.</w:t>
      </w:r>
    </w:p>
    <w:p>
      <w:pPr>
        <w:spacing w:after="0" w:line="117" w:lineRule="exact"/>
        <w:rPr>
          <w:sz w:val="20"/>
          <w:szCs w:val="20"/>
          <w:color w:val="auto"/>
        </w:rPr>
      </w:pPr>
    </w:p>
    <w:p>
      <w:pPr>
        <w:ind w:left="444" w:right="80" w:firstLine="423"/>
        <w:spacing w:after="0" w:line="293" w:lineRule="auto"/>
        <w:rPr>
          <w:sz w:val="20"/>
          <w:szCs w:val="20"/>
          <w:color w:val="auto"/>
        </w:rPr>
      </w:pPr>
      <w:r>
        <w:rPr>
          <w:rFonts w:ascii="Arial" w:cs="Arial" w:eastAsia="Arial" w:hAnsi="Arial"/>
          <w:sz w:val="16"/>
          <w:szCs w:val="16"/>
          <w:color w:val="auto"/>
        </w:rPr>
        <w:t>The allocation of business activities into segments is in line with the internal management reporting provided to the chief operating decision maker which is Executive Management. Management has organised its business around the North Sea segment which utilises Jack-up rigs and an International segment which utilises semi-submersible rigs and drillships. The organisation is based on differences in the requirements of the drilling equipment due to geographical conditions and regulatory considerations. In general, rigs will be deployed in the operating areas for which they are designed, we therefore typically refer to them as “two different operating segments”. Jack-up rigs and floaters typically form separate segments as they are used for drilling programmes at different water depths. No operating segments have been aggregated.</w:t>
      </w:r>
    </w:p>
    <w:p>
      <w:pPr>
        <w:spacing w:after="0" w:line="56" w:lineRule="exact"/>
        <w:rPr>
          <w:sz w:val="20"/>
          <w:szCs w:val="20"/>
          <w:color w:val="auto"/>
        </w:rPr>
      </w:pPr>
    </w:p>
    <w:p>
      <w:pPr>
        <w:ind w:left="864"/>
        <w:spacing w:after="0"/>
        <w:rPr>
          <w:sz w:val="20"/>
          <w:szCs w:val="20"/>
          <w:color w:val="auto"/>
        </w:rPr>
      </w:pPr>
      <w:r>
        <w:rPr>
          <w:rFonts w:ascii="Arial" w:cs="Arial" w:eastAsia="Arial" w:hAnsi="Arial"/>
          <w:sz w:val="18"/>
          <w:szCs w:val="18"/>
          <w:color w:val="auto"/>
        </w:rPr>
        <w:t>EBITDA before special items reconciles to the consolidated income statements as follows:</w:t>
      </w:r>
    </w:p>
    <w:p>
      <w:pPr>
        <w:spacing w:after="0" w:line="244"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For the 9 months</w:t>
      </w:r>
    </w:p>
    <w:p>
      <w:pPr>
        <w:jc w:val="center"/>
        <w:ind w:left="7040"/>
        <w:spacing w:after="0" w:line="226" w:lineRule="auto"/>
        <w:rPr>
          <w:sz w:val="20"/>
          <w:szCs w:val="20"/>
          <w:color w:val="auto"/>
        </w:rPr>
      </w:pPr>
      <w:r>
        <w:rPr>
          <w:rFonts w:ascii="Arial" w:cs="Arial" w:eastAsia="Arial" w:hAnsi="Arial"/>
          <w:sz w:val="14"/>
          <w:szCs w:val="14"/>
          <w:b w:val="1"/>
          <w:bCs w:val="1"/>
          <w:color w:val="auto"/>
        </w:rPr>
        <w:t>ended</w:t>
      </w:r>
    </w:p>
    <w:p>
      <w:pPr>
        <w:jc w:val="center"/>
        <w:ind w:left="7040"/>
        <w:spacing w:after="0" w:line="232" w:lineRule="auto"/>
        <w:rPr>
          <w:sz w:val="20"/>
          <w:szCs w:val="20"/>
          <w:color w:val="auto"/>
        </w:rPr>
      </w:pPr>
      <w:r>
        <w:rPr>
          <w:rFonts w:ascii="Arial" w:cs="Arial" w:eastAsia="Arial" w:hAnsi="Arial"/>
          <w:sz w:val="14"/>
          <w:szCs w:val="14"/>
          <w:b w:val="1"/>
          <w:bCs w:val="1"/>
          <w:color w:val="auto"/>
        </w:rPr>
        <w:t>September 30,</w:t>
      </w:r>
    </w:p>
    <w:tbl>
      <w:tblPr>
        <w:tblLayout w:type="fixed"/>
        <w:tblInd w:w="1324" w:type="dxa"/>
        <w:tblCellMar>
          <w:top w:w="0" w:type="dxa"/>
          <w:left w:w="0" w:type="dxa"/>
          <w:bottom w:w="0" w:type="dxa"/>
          <w:right w:w="0" w:type="dxa"/>
        </w:tblCellMar>
      </w:tblPr>
      <w:tr>
        <w:trPr>
          <w:trHeight w:val="142"/>
        </w:trPr>
        <w:tc>
          <w:tcPr>
            <w:tcW w:w="71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r>
      <w:tr>
        <w:trPr>
          <w:trHeight w:val="156"/>
        </w:trPr>
        <w:tc>
          <w:tcPr>
            <w:tcW w:w="7160" w:type="dxa"/>
            <w:vAlign w:val="bottom"/>
          </w:tcPr>
          <w:p>
            <w:pPr>
              <w:spacing w:after="0"/>
              <w:rPr>
                <w:sz w:val="13"/>
                <w:szCs w:val="13"/>
                <w:color w:val="auto"/>
              </w:rPr>
            </w:pPr>
          </w:p>
        </w:tc>
        <w:tc>
          <w:tcPr>
            <w:tcW w:w="1100" w:type="dxa"/>
            <w:vAlign w:val="bottom"/>
            <w:gridSpan w:val="3"/>
          </w:tcPr>
          <w:p>
            <w:pPr>
              <w:jc w:val="right"/>
              <w:ind w:right="92"/>
              <w:spacing w:after="0" w:line="155" w:lineRule="exact"/>
              <w:rPr>
                <w:sz w:val="20"/>
                <w:szCs w:val="20"/>
                <w:color w:val="auto"/>
              </w:rPr>
            </w:pPr>
            <w:r>
              <w:rPr>
                <w:rFonts w:ascii="Arial" w:cs="Arial" w:eastAsia="Arial" w:hAnsi="Arial"/>
                <w:sz w:val="14"/>
                <w:szCs w:val="14"/>
                <w:b w:val="1"/>
                <w:bCs w:val="1"/>
                <w:color w:val="auto"/>
              </w:rPr>
              <w:t>USD million</w:t>
            </w:r>
          </w:p>
        </w:tc>
        <w:tc>
          <w:tcPr>
            <w:tcW w:w="100" w:type="dxa"/>
            <w:vAlign w:val="bottom"/>
          </w:tcPr>
          <w:p>
            <w:pPr>
              <w:spacing w:after="0"/>
              <w:rPr>
                <w:sz w:val="13"/>
                <w:szCs w:val="13"/>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Profit/Loss for the period</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Adjustments: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Tax expenses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Financial expenses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Share of results in joint ventures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non-current assets</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Impairment reversals (losses), net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amortisation</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Special items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EBITDA from unallocated activities</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EBITDA before special items and unallocated activities</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w:t>
            </w:r>
          </w:p>
        </w:tc>
        <w:tc>
          <w:tcPr>
            <w:tcW w:w="100" w:type="dxa"/>
            <w:vAlign w:val="bottom"/>
          </w:tcPr>
          <w:p>
            <w:pPr>
              <w:spacing w:after="0"/>
              <w:rPr>
                <w:sz w:val="19"/>
                <w:szCs w:val="19"/>
                <w:color w:val="auto"/>
              </w:rPr>
            </w:pPr>
          </w:p>
        </w:tc>
      </w:tr>
      <w:tr>
        <w:trPr>
          <w:trHeight w:val="615"/>
        </w:trPr>
        <w:tc>
          <w:tcPr>
            <w:tcW w:w="7160" w:type="dxa"/>
            <w:vAlign w:val="bottom"/>
          </w:tcPr>
          <w:p>
            <w:pPr>
              <w:ind w:left="4140"/>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24"/>
          </w:cols>
          <w:pgMar w:left="436" w:top="270" w:right="439" w:bottom="1440" w:gutter="0" w:footer="0" w:header="0"/>
        </w:sectPr>
      </w:pPr>
    </w:p>
    <w:bookmarkStart w:id="10" w:name="page11"/>
    <w:bookmarkEnd w:id="10"/>
    <w:p>
      <w:pPr>
        <w:ind w:left="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 Revenue</w:t>
      </w:r>
    </w:p>
    <w:p>
      <w:pPr>
        <w:spacing w:after="0" w:line="12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Revenue from drilling activities typically comprise fixed amounts for each day the rig is under contract differentiated by the activities undertaken (“day rate revenue”) and other revenue components such as lump sum payments for rig mobilisation and demobilisation and payments for investments in equipment or rig upgrades required to meet the operational needs of the drilling campaign, both of which are amortised over the contract period; bonuses linked to performance in terms of time, efficiency or drilling outcome measures such as reservoir targeting; or payments for third-party services to be delivered by Maersk Drilling.</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revenue, geographical information is based on geographical location where earned. The geographical split and types of revenue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For the 9 months ended</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1"/>
              </w:rPr>
              <w:t>September 30, 2022</w:t>
            </w: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50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North</w:t>
            </w: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International</w:t>
            </w:r>
          </w:p>
        </w:tc>
        <w:tc>
          <w:tcPr>
            <w:tcW w:w="260" w:type="dxa"/>
            <w:vAlign w:val="bottom"/>
            <w:vMerge w:val="restart"/>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Other</w:t>
            </w:r>
          </w:p>
        </w:tc>
        <w:tc>
          <w:tcPr>
            <w:tcW w:w="280" w:type="dxa"/>
            <w:vAlign w:val="bottom"/>
            <w:vMerge w:val="restart"/>
          </w:tcPr>
          <w:p>
            <w:pPr>
              <w:spacing w:after="0"/>
              <w:rPr>
                <w:sz w:val="10"/>
                <w:szCs w:val="10"/>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Sea</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left="234"/>
              <w:spacing w:after="0" w:line="155" w:lineRule="exact"/>
              <w:rPr>
                <w:sz w:val="20"/>
                <w:szCs w:val="20"/>
                <w:color w:val="auto"/>
              </w:rPr>
            </w:pPr>
            <w:r>
              <w:rPr>
                <w:rFonts w:ascii="Arial" w:cs="Arial" w:eastAsia="Arial" w:hAnsi="Arial"/>
                <w:sz w:val="14"/>
                <w:szCs w:val="14"/>
                <w:b w:val="1"/>
                <w:bCs w:val="1"/>
                <w:color w:val="auto"/>
                <w:w w:val="96"/>
              </w:rPr>
              <w:t>USD million</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Geographical split</w:t>
            </w:r>
          </w:p>
        </w:tc>
        <w:tc>
          <w:tcPr>
            <w:tcW w:w="4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Denmark</w:t>
            </w:r>
          </w:p>
        </w:tc>
        <w:tc>
          <w:tcPr>
            <w:tcW w:w="5100" w:type="dxa"/>
            <w:vAlign w:val="bottom"/>
            <w:gridSpan w:val="3"/>
          </w:tcPr>
          <w:p>
            <w:pPr>
              <w:jc w:val="right"/>
              <w:ind w:right="12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Norway</w:t>
            </w:r>
          </w:p>
        </w:tc>
        <w:tc>
          <w:tcPr>
            <w:tcW w:w="5100" w:type="dxa"/>
            <w:vAlign w:val="bottom"/>
            <w:gridSpan w:val="3"/>
            <w:shd w:val="clear" w:color="auto" w:fill="CCEEFF"/>
          </w:tcPr>
          <w:p>
            <w:pPr>
              <w:ind w:left="4720"/>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229</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The Netherlands</w:t>
            </w:r>
          </w:p>
        </w:tc>
        <w:tc>
          <w:tcPr>
            <w:tcW w:w="5100" w:type="dxa"/>
            <w:vAlign w:val="bottom"/>
            <w:gridSpan w:val="3"/>
          </w:tcPr>
          <w:p>
            <w:pPr>
              <w:jc w:val="right"/>
              <w:ind w:right="12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Kingdom</w:t>
            </w:r>
          </w:p>
        </w:tc>
        <w:tc>
          <w:tcPr>
            <w:tcW w:w="5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Angola</w:t>
            </w:r>
          </w:p>
        </w:tc>
        <w:tc>
          <w:tcPr>
            <w:tcW w:w="460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Australia</w:t>
            </w:r>
          </w:p>
        </w:tc>
        <w:tc>
          <w:tcPr>
            <w:tcW w:w="4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93</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Brazil</w:t>
            </w:r>
          </w:p>
        </w:tc>
        <w:tc>
          <w:tcPr>
            <w:tcW w:w="460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41</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Ghana</w:t>
            </w:r>
          </w:p>
        </w:tc>
        <w:tc>
          <w:tcPr>
            <w:tcW w:w="4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76</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Guyana</w:t>
            </w:r>
          </w:p>
        </w:tc>
        <w:tc>
          <w:tcPr>
            <w:tcW w:w="460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12</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Malaysia</w:t>
            </w:r>
          </w:p>
        </w:tc>
        <w:tc>
          <w:tcPr>
            <w:tcW w:w="4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Namibia</w:t>
            </w:r>
          </w:p>
        </w:tc>
        <w:tc>
          <w:tcPr>
            <w:tcW w:w="460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13</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Sao Tome</w:t>
            </w:r>
          </w:p>
        </w:tc>
        <w:tc>
          <w:tcPr>
            <w:tcW w:w="4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Suriname</w:t>
            </w:r>
          </w:p>
        </w:tc>
        <w:tc>
          <w:tcPr>
            <w:tcW w:w="460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82</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Trinidad</w:t>
            </w:r>
          </w:p>
        </w:tc>
        <w:tc>
          <w:tcPr>
            <w:tcW w:w="4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Brunei</w:t>
            </w:r>
          </w:p>
        </w:tc>
        <w:tc>
          <w:tcPr>
            <w:tcW w:w="460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60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338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w:t>
            </w:r>
          </w:p>
        </w:tc>
        <w:tc>
          <w:tcPr>
            <w:tcW w:w="26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2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816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Composition of revenue</w:t>
            </w:r>
          </w:p>
        </w:tc>
        <w:tc>
          <w:tcPr>
            <w:tcW w:w="46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Day rate revenue</w:t>
            </w:r>
          </w:p>
        </w:tc>
        <w:tc>
          <w:tcPr>
            <w:tcW w:w="46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w w:val="79"/>
              </w:rPr>
              <w:t>279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661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w:t>
            </w:r>
          </w:p>
        </w:tc>
        <w:tc>
          <w:tcPr>
            <w:tcW w:w="5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89</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155</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600" w:type="dxa"/>
            <w:vAlign w:val="bottom"/>
          </w:tcPr>
          <w:p>
            <w:pPr>
              <w:spacing w:after="0"/>
              <w:rPr>
                <w:sz w:val="20"/>
                <w:szCs w:val="20"/>
                <w:color w:val="auto"/>
              </w:rPr>
            </w:pP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338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w:t>
            </w:r>
          </w:p>
        </w:tc>
        <w:tc>
          <w:tcPr>
            <w:tcW w:w="26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2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816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Type of revenue</w:t>
            </w:r>
          </w:p>
        </w:tc>
        <w:tc>
          <w:tcPr>
            <w:tcW w:w="46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Services component</w:t>
            </w:r>
          </w:p>
        </w:tc>
        <w:tc>
          <w:tcPr>
            <w:tcW w:w="46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w w:val="79"/>
              </w:rPr>
              <w:t>211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component</w:t>
            </w:r>
          </w:p>
        </w:tc>
        <w:tc>
          <w:tcPr>
            <w:tcW w:w="5100" w:type="dxa"/>
            <w:vAlign w:val="bottom"/>
            <w:gridSpan w:val="3"/>
            <w:shd w:val="clear" w:color="auto" w:fill="CCEEFF"/>
          </w:tcPr>
          <w:p>
            <w:pPr>
              <w:ind w:left="4720"/>
              <w:spacing w:after="0"/>
              <w:rPr>
                <w:sz w:val="20"/>
                <w:szCs w:val="20"/>
                <w:color w:val="auto"/>
              </w:rPr>
            </w:pPr>
            <w:r>
              <w:rPr>
                <w:rFonts w:ascii="Arial" w:cs="Arial" w:eastAsia="Arial" w:hAnsi="Arial"/>
                <w:sz w:val="18"/>
                <w:szCs w:val="18"/>
                <w:color w:val="auto"/>
              </w:rPr>
              <w:t>127</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113</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248</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60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338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816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3640" w:type="dxa"/>
            <w:vAlign w:val="bottom"/>
          </w:tcPr>
          <w:p>
            <w:pPr>
              <w:spacing w:after="0"/>
              <w:rPr>
                <w:sz w:val="24"/>
                <w:szCs w:val="24"/>
                <w:color w:val="auto"/>
              </w:rPr>
            </w:pPr>
          </w:p>
        </w:tc>
        <w:tc>
          <w:tcPr>
            <w:tcW w:w="4600" w:type="dxa"/>
            <w:vAlign w:val="bottom"/>
          </w:tcPr>
          <w:p>
            <w:pPr>
              <w:jc w:val="right"/>
              <w:ind w:right="261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For the 9 months ended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4"/>
                <w:szCs w:val="14"/>
                <w:b w:val="1"/>
                <w:bCs w:val="1"/>
                <w:color w:val="auto"/>
                <w:w w:val="91"/>
              </w:rPr>
              <w:t>September 30, 2021</w:t>
            </w:r>
          </w:p>
        </w:tc>
        <w:tc>
          <w:tcPr>
            <w:tcW w:w="3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8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North</w:t>
            </w:r>
          </w:p>
        </w:tc>
        <w:tc>
          <w:tcPr>
            <w:tcW w:w="1260" w:type="dxa"/>
            <w:vAlign w:val="bottom"/>
            <w:gridSpan w:val="2"/>
            <w:vMerge w:val="restart"/>
          </w:tcPr>
          <w:p>
            <w:pPr>
              <w:jc w:val="right"/>
              <w:ind w:right="368"/>
              <w:spacing w:after="0"/>
              <w:rPr>
                <w:sz w:val="20"/>
                <w:szCs w:val="20"/>
                <w:color w:val="auto"/>
              </w:rPr>
            </w:pPr>
            <w:r>
              <w:rPr>
                <w:rFonts w:ascii="Arial" w:cs="Arial" w:eastAsia="Arial" w:hAnsi="Arial"/>
                <w:sz w:val="14"/>
                <w:szCs w:val="14"/>
                <w:b w:val="1"/>
                <w:bCs w:val="1"/>
                <w:color w:val="auto"/>
                <w:w w:val="95"/>
              </w:rPr>
              <w:t>International</w:t>
            </w:r>
          </w:p>
        </w:tc>
        <w:tc>
          <w:tcPr>
            <w:tcW w:w="8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Sea</w:t>
            </w:r>
          </w:p>
        </w:tc>
        <w:tc>
          <w:tcPr>
            <w:tcW w:w="12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Borders>
              <w:top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USD</w:t>
            </w:r>
          </w:p>
        </w:tc>
        <w:tc>
          <w:tcPr>
            <w:tcW w:w="44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w w:val="75"/>
              </w:rPr>
              <w:t>million</w:t>
            </w:r>
          </w:p>
        </w:tc>
        <w:tc>
          <w:tcPr>
            <w:tcW w:w="3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Geographical split</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Denmark</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8"/>
                <w:szCs w:val="18"/>
                <w:color w:val="auto"/>
              </w:rPr>
            </w:pPr>
          </w:p>
        </w:tc>
        <w:tc>
          <w:tcPr>
            <w:tcW w:w="126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Norway</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6"/>
              </w:rPr>
              <w:t>372</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The Netherlands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126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United Kingdom</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Angola</w:t>
            </w:r>
          </w:p>
        </w:tc>
        <w:tc>
          <w:tcPr>
            <w:tcW w:w="8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8"/>
              <w:spacing w:after="0"/>
              <w:rPr>
                <w:sz w:val="20"/>
                <w:szCs w:val="20"/>
                <w:color w:val="auto"/>
              </w:rPr>
            </w:pPr>
            <w:r>
              <w:rPr>
                <w:rFonts w:ascii="Arial" w:cs="Arial" w:eastAsia="Arial" w:hAnsi="Arial"/>
                <w:sz w:val="18"/>
                <w:szCs w:val="18"/>
                <w:color w:val="auto"/>
              </w:rPr>
              <w:t>67</w:t>
            </w:r>
          </w:p>
        </w:tc>
        <w:tc>
          <w:tcPr>
            <w:tcW w:w="80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Australia</w:t>
            </w:r>
          </w:p>
        </w:tc>
        <w:tc>
          <w:tcPr>
            <w:tcW w:w="8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75</w:t>
            </w:r>
          </w:p>
        </w:tc>
        <w:tc>
          <w:tcPr>
            <w:tcW w:w="8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Azerbaijan</w:t>
            </w:r>
          </w:p>
        </w:tc>
        <w:tc>
          <w:tcPr>
            <w:tcW w:w="8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8"/>
              <w:spacing w:after="0"/>
              <w:rPr>
                <w:sz w:val="20"/>
                <w:szCs w:val="20"/>
                <w:color w:val="auto"/>
              </w:rPr>
            </w:pPr>
            <w:r>
              <w:rPr>
                <w:rFonts w:ascii="Arial" w:cs="Arial" w:eastAsia="Arial" w:hAnsi="Arial"/>
                <w:sz w:val="18"/>
                <w:szCs w:val="18"/>
                <w:color w:val="auto"/>
              </w:rPr>
              <w:t>37</w:t>
            </w:r>
          </w:p>
        </w:tc>
        <w:tc>
          <w:tcPr>
            <w:tcW w:w="80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Brazil</w:t>
            </w:r>
          </w:p>
        </w:tc>
        <w:tc>
          <w:tcPr>
            <w:tcW w:w="8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Ghana</w:t>
            </w:r>
          </w:p>
        </w:tc>
        <w:tc>
          <w:tcPr>
            <w:tcW w:w="8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8"/>
              <w:spacing w:after="0"/>
              <w:rPr>
                <w:sz w:val="20"/>
                <w:szCs w:val="20"/>
                <w:color w:val="auto"/>
              </w:rPr>
            </w:pPr>
            <w:r>
              <w:rPr>
                <w:rFonts w:ascii="Arial" w:cs="Arial" w:eastAsia="Arial" w:hAnsi="Arial"/>
                <w:sz w:val="18"/>
                <w:szCs w:val="18"/>
                <w:color w:val="auto"/>
              </w:rPr>
              <w:t>44</w:t>
            </w:r>
          </w:p>
        </w:tc>
        <w:tc>
          <w:tcPr>
            <w:tcW w:w="80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Guyana</w:t>
            </w:r>
          </w:p>
        </w:tc>
        <w:tc>
          <w:tcPr>
            <w:tcW w:w="8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16</w:t>
            </w:r>
          </w:p>
        </w:tc>
        <w:tc>
          <w:tcPr>
            <w:tcW w:w="8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Suriname</w:t>
            </w:r>
          </w:p>
        </w:tc>
        <w:tc>
          <w:tcPr>
            <w:tcW w:w="8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8"/>
              <w:spacing w:after="0"/>
              <w:rPr>
                <w:sz w:val="20"/>
                <w:szCs w:val="20"/>
                <w:color w:val="auto"/>
              </w:rPr>
            </w:pPr>
            <w:r>
              <w:rPr>
                <w:rFonts w:ascii="Arial" w:cs="Arial" w:eastAsia="Arial" w:hAnsi="Arial"/>
                <w:sz w:val="18"/>
                <w:szCs w:val="18"/>
                <w:color w:val="auto"/>
              </w:rPr>
              <w:t>97</w:t>
            </w:r>
          </w:p>
        </w:tc>
        <w:tc>
          <w:tcPr>
            <w:tcW w:w="80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Trinidad</w:t>
            </w:r>
          </w:p>
        </w:tc>
        <w:tc>
          <w:tcPr>
            <w:tcW w:w="8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49</w:t>
            </w:r>
          </w:p>
        </w:tc>
        <w:tc>
          <w:tcPr>
            <w:tcW w:w="8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Brunei</w:t>
            </w:r>
          </w:p>
        </w:tc>
        <w:tc>
          <w:tcPr>
            <w:tcW w:w="8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8"/>
              <w:spacing w:after="0"/>
              <w:rPr>
                <w:sz w:val="20"/>
                <w:szCs w:val="20"/>
                <w:color w:val="auto"/>
              </w:rPr>
            </w:pPr>
            <w:r>
              <w:rPr>
                <w:rFonts w:ascii="Arial" w:cs="Arial" w:eastAsia="Arial" w:hAnsi="Arial"/>
                <w:sz w:val="18"/>
                <w:szCs w:val="18"/>
                <w:color w:val="auto"/>
              </w:rPr>
              <w:t>19</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19</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8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25</w:t>
            </w:r>
          </w:p>
        </w:tc>
        <w:tc>
          <w:tcPr>
            <w:tcW w:w="8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496</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w:t>
            </w:r>
          </w:p>
        </w:tc>
        <w:tc>
          <w:tcPr>
            <w:tcW w:w="44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4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Composition of revenue</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Day rate revenue</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w w:val="86"/>
              </w:rPr>
              <w:t>399</w:t>
            </w:r>
          </w:p>
        </w:tc>
        <w:tc>
          <w:tcPr>
            <w:tcW w:w="400" w:type="dxa"/>
            <w:vAlign w:val="bottom"/>
          </w:tcPr>
          <w:p>
            <w:pPr>
              <w:spacing w:after="0"/>
              <w:rPr>
                <w:sz w:val="18"/>
                <w:szCs w:val="18"/>
                <w:color w:val="auto"/>
              </w:rPr>
            </w:pPr>
          </w:p>
        </w:tc>
        <w:tc>
          <w:tcPr>
            <w:tcW w:w="1260" w:type="dxa"/>
            <w:vAlign w:val="bottom"/>
            <w:gridSpan w:val="2"/>
          </w:tcPr>
          <w:p>
            <w:pPr>
              <w:jc w:val="right"/>
              <w:ind w:right="368"/>
              <w:spacing w:after="0"/>
              <w:rPr>
                <w:sz w:val="20"/>
                <w:szCs w:val="20"/>
                <w:color w:val="auto"/>
              </w:rPr>
            </w:pPr>
            <w:r>
              <w:rPr>
                <w:rFonts w:ascii="Arial" w:cs="Arial" w:eastAsia="Arial" w:hAnsi="Arial"/>
                <w:sz w:val="18"/>
                <w:szCs w:val="18"/>
                <w:color w:val="auto"/>
              </w:rPr>
              <w:t>339</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19</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revenue</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90</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496</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w:t>
            </w:r>
          </w:p>
        </w:tc>
        <w:tc>
          <w:tcPr>
            <w:tcW w:w="44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4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Type of revenue</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Services component</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w w:val="86"/>
              </w:rPr>
              <w:t>260</w:t>
            </w:r>
          </w:p>
        </w:tc>
        <w:tc>
          <w:tcPr>
            <w:tcW w:w="400" w:type="dxa"/>
            <w:vAlign w:val="bottom"/>
          </w:tcPr>
          <w:p>
            <w:pPr>
              <w:spacing w:after="0"/>
              <w:rPr>
                <w:sz w:val="18"/>
                <w:szCs w:val="18"/>
                <w:color w:val="auto"/>
              </w:rPr>
            </w:pPr>
          </w:p>
        </w:tc>
        <w:tc>
          <w:tcPr>
            <w:tcW w:w="1260" w:type="dxa"/>
            <w:vAlign w:val="bottom"/>
            <w:gridSpan w:val="2"/>
          </w:tcPr>
          <w:p>
            <w:pPr>
              <w:jc w:val="right"/>
              <w:ind w:right="368"/>
              <w:spacing w:after="0"/>
              <w:rPr>
                <w:sz w:val="20"/>
                <w:szCs w:val="20"/>
                <w:color w:val="auto"/>
              </w:rPr>
            </w:pPr>
            <w:r>
              <w:rPr>
                <w:rFonts w:ascii="Arial" w:cs="Arial" w:eastAsia="Arial" w:hAnsi="Arial"/>
                <w:sz w:val="18"/>
                <w:szCs w:val="18"/>
                <w:color w:val="auto"/>
              </w:rPr>
              <w:t>296</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15</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component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6"/>
              </w:rPr>
              <w:t>236</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133</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496</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w:t>
            </w:r>
          </w:p>
        </w:tc>
        <w:tc>
          <w:tcPr>
            <w:tcW w:w="4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4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September 30, 2022, the revenue backlog of contracted future service and lease revenue amounted to USD 2.2 billion (December 31,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USD 1.9 billion).</w:t>
      </w: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1.3 Special items</w:t>
      </w:r>
    </w:p>
    <w:p>
      <w:pPr>
        <w:spacing w:after="0" w:line="126"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For the 9 months</w:t>
      </w:r>
    </w:p>
    <w:p>
      <w:pPr>
        <w:jc w:val="center"/>
        <w:ind w:left="7060"/>
        <w:spacing w:after="0" w:line="226" w:lineRule="auto"/>
        <w:rPr>
          <w:sz w:val="20"/>
          <w:szCs w:val="20"/>
          <w:color w:val="auto"/>
        </w:rPr>
      </w:pPr>
      <w:r>
        <w:rPr>
          <w:rFonts w:ascii="Arial" w:cs="Arial" w:eastAsia="Arial" w:hAnsi="Arial"/>
          <w:sz w:val="14"/>
          <w:szCs w:val="14"/>
          <w:b w:val="1"/>
          <w:bCs w:val="1"/>
          <w:color w:val="auto"/>
        </w:rPr>
        <w:t>ended</w:t>
      </w:r>
    </w:p>
    <w:p>
      <w:pPr>
        <w:jc w:val="center"/>
        <w:ind w:left="7060"/>
        <w:spacing w:after="0" w:line="232" w:lineRule="auto"/>
        <w:rPr>
          <w:sz w:val="20"/>
          <w:szCs w:val="20"/>
          <w:color w:val="auto"/>
        </w:rPr>
      </w:pPr>
      <w:r>
        <w:rPr>
          <w:rFonts w:ascii="Arial" w:cs="Arial" w:eastAsia="Arial" w:hAnsi="Arial"/>
          <w:sz w:val="14"/>
          <w:szCs w:val="14"/>
          <w:b w:val="1"/>
          <w:bCs w:val="1"/>
          <w:color w:val="auto"/>
        </w:rPr>
        <w:t>September 30,</w:t>
      </w:r>
    </w:p>
    <w:tbl>
      <w:tblPr>
        <w:tblLayout w:type="fixed"/>
        <w:tblInd w:w="1320" w:type="dxa"/>
        <w:tblCellMar>
          <w:top w:w="0" w:type="dxa"/>
          <w:left w:w="0" w:type="dxa"/>
          <w:bottom w:w="0" w:type="dxa"/>
          <w:right w:w="0" w:type="dxa"/>
        </w:tblCellMar>
      </w:tblPr>
      <w:tr>
        <w:trPr>
          <w:trHeight w:val="142"/>
        </w:trPr>
        <w:tc>
          <w:tcPr>
            <w:tcW w:w="71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r>
      <w:tr>
        <w:trPr>
          <w:trHeight w:val="155"/>
        </w:trPr>
        <w:tc>
          <w:tcPr>
            <w:tcW w:w="7140" w:type="dxa"/>
            <w:vAlign w:val="bottom"/>
          </w:tcPr>
          <w:p>
            <w:pPr>
              <w:spacing w:after="0"/>
              <w:rPr>
                <w:sz w:val="13"/>
                <w:szCs w:val="13"/>
                <w:color w:val="auto"/>
              </w:rPr>
            </w:pPr>
          </w:p>
        </w:tc>
        <w:tc>
          <w:tcPr>
            <w:tcW w:w="1180" w:type="dxa"/>
            <w:vAlign w:val="bottom"/>
            <w:gridSpan w:val="4"/>
          </w:tcPr>
          <w:p>
            <w:pPr>
              <w:jc w:val="right"/>
              <w:ind w:right="134"/>
              <w:spacing w:after="0" w:line="155" w:lineRule="exact"/>
              <w:rPr>
                <w:sz w:val="20"/>
                <w:szCs w:val="20"/>
                <w:color w:val="auto"/>
              </w:rPr>
            </w:pPr>
            <w:r>
              <w:rPr>
                <w:rFonts w:ascii="Arial" w:cs="Arial" w:eastAsia="Arial" w:hAnsi="Arial"/>
                <w:sz w:val="14"/>
                <w:szCs w:val="14"/>
                <w:b w:val="1"/>
                <w:bCs w:val="1"/>
                <w:color w:val="auto"/>
              </w:rPr>
              <w:t>USD million</w:t>
            </w:r>
          </w:p>
        </w:tc>
        <w:tc>
          <w:tcPr>
            <w:tcW w:w="40" w:type="dxa"/>
            <w:vAlign w:val="bottom"/>
          </w:tcPr>
          <w:p>
            <w:pPr>
              <w:spacing w:after="0"/>
              <w:rPr>
                <w:sz w:val="13"/>
                <w:szCs w:val="13"/>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Merger related costs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Transformation and restructuring costs</w:t>
            </w:r>
          </w:p>
        </w:tc>
        <w:tc>
          <w:tcPr>
            <w:tcW w:w="7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COVID-19 costs not recharged to customers</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23"/>
        </w:trPr>
        <w:tc>
          <w:tcPr>
            <w:tcW w:w="7140" w:type="dxa"/>
            <w:vAlign w:val="bottom"/>
          </w:tcPr>
          <w:p>
            <w:pPr>
              <w:spacing w:after="0"/>
              <w:rPr>
                <w:sz w:val="20"/>
                <w:szCs w:val="20"/>
                <w:color w:val="auto"/>
              </w:rPr>
            </w:pPr>
            <w:r>
              <w:rPr>
                <w:rFonts w:ascii="Arial" w:cs="Arial" w:eastAsia="Arial" w:hAnsi="Arial"/>
                <w:sz w:val="18"/>
                <w:szCs w:val="18"/>
                <w:b w:val="1"/>
                <w:bCs w:val="1"/>
                <w:color w:val="auto"/>
              </w:rPr>
              <w:t>Special items, costs</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40" w:type="dxa"/>
            <w:vAlign w:val="bottom"/>
          </w:tcPr>
          <w:p>
            <w:pPr>
              <w:spacing w:after="0"/>
              <w:rPr>
                <w:sz w:val="19"/>
                <w:szCs w:val="19"/>
                <w:color w:val="auto"/>
              </w:rPr>
            </w:pPr>
          </w:p>
        </w:tc>
      </w:tr>
    </w:tbl>
    <w:p>
      <w:pPr>
        <w:spacing w:after="0" w:line="21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Special items comprise income and expenses that are not considered to be part of Maersk Drilling’s ordinary operations such as merger related costs, major restructuring projects and COVID-19 related costs. COVID-19 related costs are defined as additional costs triggered by the COVID-19 pandemic in the form of costs incurred to comply with local travel and quarantine rules and customer requirements, additional costs incurred with procuring testing kits for crews operating rigs, additional crew change costs for quarantine hotels, charter flights, per diems as well as additional costs to reimburse subcontractors in instances where they need to comply with quarantine regulations.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53" w:right="499" w:bottom="1440" w:gutter="0" w:footer="0" w:header="0"/>
        </w:sectPr>
      </w:pPr>
    </w:p>
    <w:bookmarkStart w:id="12" w:name="page13"/>
    <w:bookmarkEnd w:id="12"/>
    <w:p>
      <w:pPr>
        <w:jc w:val="both"/>
        <w:ind w:right="6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Special items incurred in the first nine months of 2022 comprised USD 16 million merger related costs and USD 3 million of COVID-19 related costs not recharged to customers. Special items incurred in the first nine months of 2021 comprised redundancy costs from the establishment of virtual rig teams and a new technical hub in Gdansk of USD 1 million and net COVID-19 related costs of USD 13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Impairment test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2022</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Maersk Explorer was cold stacked in May 2022 due to lack of commercial outlook and therefore it was impaired to estimated scrapping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resulted in an impairment loss of USD 99 million.</w:t>
      </w:r>
    </w:p>
    <w:p>
      <w:pPr>
        <w:spacing w:after="0" w:line="103"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Apart from the USD 99 million impairment loss on Maersk Explorer and the USD 18 million impairment loss in connection with the sale of Maersk Convincer, no impairment triggers have been identified that would lead to an impairment test. Therefore, no further impairments were recognised in the first nine months ended September 30, 2022.</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2021</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the sale of Mærsk Gallant in May 2021, an impairment loss of USD 11 million has been reversed.</w:t>
      </w:r>
    </w:p>
    <w:p>
      <w:pPr>
        <w:spacing w:after="0" w:line="225"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In connection with the valuation of the Company in a contemplated business combination, Maersk Drilling’s net assets were assessed by the accounting acquirer as part of this transaction at values below their carrying amounts as at September 30, 2021 and Management concluded that an impairment test needed to be performed.</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An impairment test based on a value in use calculation was therefore performed, and the conclusion was that the impairment test did not lead to impairment or reversal of previously recognised impairments.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 of non-current assets</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2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For the 9 months</w:t>
            </w:r>
          </w:p>
        </w:tc>
      </w:tr>
      <w:tr>
        <w:trPr>
          <w:trHeight w:val="148"/>
        </w:trPr>
        <w:tc>
          <w:tcPr>
            <w:tcW w:w="7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71"/>
        </w:trPr>
        <w:tc>
          <w:tcPr>
            <w:tcW w:w="7080" w:type="dxa"/>
            <w:vAlign w:val="bottom"/>
          </w:tcPr>
          <w:p>
            <w:pPr>
              <w:spacing w:after="0"/>
              <w:rPr>
                <w:sz w:val="14"/>
                <w:szCs w:val="14"/>
                <w:color w:val="auto"/>
              </w:rPr>
            </w:pPr>
          </w:p>
        </w:tc>
        <w:tc>
          <w:tcPr>
            <w:tcW w:w="12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7080" w:type="dxa"/>
            <w:vAlign w:val="bottom"/>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r>
      <w:tr>
        <w:trPr>
          <w:trHeight w:val="155"/>
        </w:trPr>
        <w:tc>
          <w:tcPr>
            <w:tcW w:w="7080" w:type="dxa"/>
            <w:vAlign w:val="bottom"/>
          </w:tcPr>
          <w:p>
            <w:pPr>
              <w:spacing w:after="0"/>
              <w:rPr>
                <w:sz w:val="13"/>
                <w:szCs w:val="13"/>
                <w:color w:val="auto"/>
              </w:rPr>
            </w:pPr>
          </w:p>
        </w:tc>
        <w:tc>
          <w:tcPr>
            <w:tcW w:w="124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6"/>
              </w:rPr>
              <w:t>USD million</w:t>
            </w:r>
          </w:p>
        </w:tc>
        <w:tc>
          <w:tcPr>
            <w:tcW w:w="40" w:type="dxa"/>
            <w:vAlign w:val="bottom"/>
          </w:tcPr>
          <w:p>
            <w:pPr>
              <w:spacing w:after="0"/>
              <w:rPr>
                <w:sz w:val="13"/>
                <w:szCs w:val="13"/>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Gains</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7080" w:type="dxa"/>
            <w:vAlign w:val="bottom"/>
          </w:tcPr>
          <w:p>
            <w:pPr>
              <w:spacing w:after="0"/>
              <w:rPr>
                <w:sz w:val="20"/>
                <w:szCs w:val="20"/>
                <w:color w:val="auto"/>
              </w:rPr>
            </w:pPr>
            <w:r>
              <w:rPr>
                <w:rFonts w:ascii="Arial" w:cs="Arial" w:eastAsia="Arial" w:hAnsi="Arial"/>
                <w:sz w:val="18"/>
                <w:szCs w:val="18"/>
                <w:b w:val="1"/>
                <w:bCs w:val="1"/>
                <w:color w:val="auto"/>
              </w:rPr>
              <w:t>Gains/losses on sale of non-current assets, net</w:t>
            </w:r>
          </w:p>
        </w:tc>
        <w:tc>
          <w:tcPr>
            <w:tcW w:w="3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w w:val="88"/>
              </w:rPr>
              <w: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40" w:type="dxa"/>
            <w:vAlign w:val="bottom"/>
          </w:tcPr>
          <w:p>
            <w:pPr>
              <w:spacing w:after="0"/>
              <w:rPr>
                <w:sz w:val="20"/>
                <w:szCs w:val="20"/>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of non-current assets</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9"/>
              </w:rPr>
              <w:t>42</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Gain/loss on sale of non-current asset</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advance from sale of non-current assets</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Change in payables from the sale</w:t>
            </w:r>
          </w:p>
        </w:tc>
        <w:tc>
          <w:tcPr>
            <w:tcW w:w="3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sale of non-current assets</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89"/>
              </w:rPr>
              <w:t>42</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33</w:t>
            </w:r>
          </w:p>
        </w:tc>
      </w:tr>
      <w:tr>
        <w:trPr>
          <w:trHeight w:val="223"/>
        </w:trPr>
        <w:tc>
          <w:tcPr>
            <w:tcW w:w="7080" w:type="dxa"/>
            <w:vAlign w:val="bottom"/>
          </w:tcPr>
          <w:p>
            <w:pPr>
              <w:spacing w:after="0"/>
              <w:rPr>
                <w:sz w:val="20"/>
                <w:szCs w:val="20"/>
                <w:color w:val="auto"/>
              </w:rPr>
            </w:pPr>
            <w:r>
              <w:rPr>
                <w:rFonts w:ascii="Arial" w:cs="Arial" w:eastAsia="Arial" w:hAnsi="Arial"/>
                <w:sz w:val="18"/>
                <w:szCs w:val="18"/>
                <w:b w:val="1"/>
                <w:bCs w:val="1"/>
                <w:color w:val="auto"/>
              </w:rPr>
              <w:t>Carrying amount of assets held for sale</w:t>
            </w:r>
          </w:p>
        </w:tc>
        <w:tc>
          <w:tcPr>
            <w:tcW w:w="3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40" w:type="dxa"/>
            <w:vAlign w:val="bottom"/>
          </w:tcPr>
          <w:p>
            <w:pPr>
              <w:spacing w:after="0"/>
              <w:rPr>
                <w:sz w:val="19"/>
                <w:szCs w:val="19"/>
                <w:color w:val="auto"/>
              </w:rPr>
            </w:pPr>
          </w:p>
        </w:tc>
      </w:tr>
    </w:tbl>
    <w:p>
      <w:pPr>
        <w:spacing w:after="0" w:line="21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 April 2022, Maersk Drilling announced that it entered into an agreement to sell the jack-up rig Maersk Convincer to ADES Saudi Limited Company. The sales price was USD 42.5 million in an all cash transaction. Closing date was September 2022 after the completion of its current drilling programme with Brunei Shell Petroleum Company Sdn. Bhd. An impairment loss of USD 18 million was recognised after the sales agreement was announced and the rig was subsequently classified as asset held for sale.</w:t>
      </w:r>
    </w:p>
    <w:p>
      <w:pPr>
        <w:spacing w:after="0" w:line="187"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During the second quarter of 2021, Maersk Drilling completed the divestment of the jack-up rigs Maersk Guardian (now named Guardian) and Mærsk Gallant (now named Gallant) to New Fortress Energy. The total sales price for the two rigs was USD 31 million in all-cash transactions. Additionally, USD 2 million were collected from the sale of spare parts owned by Mærsk Gallant.</w:t>
      </w:r>
    </w:p>
    <w:p>
      <w:pPr>
        <w:spacing w:after="0" w:line="184" w:lineRule="exact"/>
        <w:rPr>
          <w:sz w:val="20"/>
          <w:szCs w:val="20"/>
          <w:color w:val="auto"/>
        </w:rPr>
      </w:pPr>
    </w:p>
    <w:p>
      <w:pPr>
        <w:ind w:right="300" w:firstLine="440"/>
        <w:spacing w:after="0" w:line="286" w:lineRule="auto"/>
        <w:rPr>
          <w:sz w:val="20"/>
          <w:szCs w:val="20"/>
          <w:color w:val="auto"/>
        </w:rPr>
      </w:pPr>
      <w:r>
        <w:rPr>
          <w:rFonts w:ascii="Arial" w:cs="Arial" w:eastAsia="Arial" w:hAnsi="Arial"/>
          <w:sz w:val="17"/>
          <w:szCs w:val="17"/>
          <w:color w:val="auto"/>
        </w:rPr>
        <w:t>In May 2021, Maersk Drilling further announced that it entered into an agreement to divest the combined drilling and production unit Mærsk Inspirer to Havila Sirius for a price of USD 373 million in an all-cash transaction. In connection with the sale announcement, Mærsk Inspirer was classified as held for sale and depreciation of the asset was ceased. The sale was completed in 2021.</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440" w:top="274" w:right="5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1.6 Share capital and earnings per share</w:t>
      </w:r>
    </w:p>
    <w:p>
      <w:pPr>
        <w:spacing w:after="0" w:line="121"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The share capital comprises 41,532,112 shares of DKK 10 each. At September 30, 2022, the Company holds 140,451 treasury shares (September 30, 2021: 241,397) and the average number of shares in circulation during the first half of 2022 was 41,341,188 (September 30, 2021: 41,289,832).</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Earnings per share amounted to USD -4.5 (USD 1.5) and diluted earnings per share USD -4.5 (USD 1.4).</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Earnings per share is equal to profit/loss for the period divided by the average number of shares in circulation or the average diluted number of shares in circulation.</w:t>
      </w:r>
    </w:p>
    <w:p>
      <w:pPr>
        <w:spacing w:after="0" w:line="170"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At September 30, 2022 a potential dilution effect from 296,080 shares (September 30, 2021: 293,027 shares) outstanding under the long-term incentive programme are excluded in the calculation of diluted earnings per share as the inclusion would have resulted in a reduction in the loss per share, while in 2021 it was included.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Capital commitments</w:t>
      </w:r>
    </w:p>
    <w:p>
      <w:pPr>
        <w:spacing w:after="0" w:line="12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At September 30, 2022, capital commitments relating to rig upgrades and special periodic surveys amounted to USD 38 million (December 31, 2021: USD 38 million). Maersk Drilling does not have capital commitments related to new buildings.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Noble and Maersk Drilling entered into a business combination agreement (the “Business Combination Agreement), which was announced on November 10, 2021, on August 8, 2022 and Noble published an offer document setting out the full terms and conditions to the voluntary public share exchange offer to be made to the shareholders of Maersk Drilling. The offer period commenced on August 10, 2022 and expired on September 8, 2022.</w:t>
      </w:r>
    </w:p>
    <w:p>
      <w:pPr>
        <w:spacing w:after="0" w:line="149"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On October 3, 2022 (the “Closing Date”), pursuant to the Business Combination Agreement, Noble completed a voluntary tender exchange offer to Maersk Drilling’s shareholders and because Noble acquired more than 90% of the issued and outstanding shares of Maersk Drilling Noble redeemed all remaining Maersk Drilling shares not exchanged in the offer for, at the election of the holder, either ordinary shares of Noble or cash (or, for those holders that did not make an election, only cash), under Danish law by way of a compulsory purchase (the “Compulsory Purchase”), which was completed in early November 2022. Upon completion of the Compulsory Purchase, Maersk Drilling became a wholly owned subsidiary of Noble and Noble delisted Maersk Drilling from Nasdaq Copenhagen.</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 other events have occurred after the balance sheet date which are expected to have a material impact on the consolidated financial statements.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Basis of preparation</w:t>
      </w:r>
    </w:p>
    <w:p>
      <w:pPr>
        <w:spacing w:after="0" w:line="12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These interim consolidated financial statements reflect the consolidated figures for The Drilling Company of 1972 A/S (the “Company”) and its subsidiaries (the “Group” or “Maersk Drilling”). All amounts in these interim consolidated financial statements are stated in United States Dollars (USD) and rounded to the nearest million.</w:t>
      </w: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440" w:top="270" w:right="559" w:bottom="1440" w:gutter="0" w:footer="0" w:header="0"/>
        </w:sectPr>
      </w:pPr>
    </w:p>
    <w:bookmarkStart w:id="14" w:name="page15"/>
    <w:bookmarkEnd w:id="14"/>
    <w:p>
      <w:pPr>
        <w:ind w:left="2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Accounting policies</w:t>
      </w:r>
    </w:p>
    <w:p>
      <w:pPr>
        <w:spacing w:after="0" w:line="11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accounting policies, areas of judgement and areas of significant estimates are consistent with those set out in the notes to Maersk Drilling’s consolidated financial statements for 2021.</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New reporting requirements</w:t>
      </w:r>
    </w:p>
    <w:p>
      <w:pPr>
        <w:spacing w:after="0" w:line="117"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New standards and amendments effective for the financial years 2022 and 2021 have not had any material impact on the accounting policies applied.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standards, amendments and interpretations adopted in 2022 include:</w:t>
      </w:r>
    </w:p>
    <w:p>
      <w:pPr>
        <w:spacing w:after="0" w:line="131" w:lineRule="exact"/>
        <w:rPr>
          <w:sz w:val="20"/>
          <w:szCs w:val="20"/>
          <w:color w:val="auto"/>
        </w:rPr>
      </w:pPr>
    </w:p>
    <w:p>
      <w:pPr>
        <w:ind w:left="960" w:right="120" w:hanging="424"/>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IAS 16, Property, Plant and Equipment—Proceeds before intended use. The amendment prohibits deducting from the cost of an item of property, plant and equipment any proceeds from selling items produced while bringing that asset to the location and condition necessary for it to be capable of operating in the manner intended by management.</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IAS 37, Onerous Contracts: The amendment clarifies which costs to include when determining whether a contract in onerous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IFRS 3, Business Combinations: The amendment includes updates to references to follow the new Conceptual Framework.</w:t>
      </w:r>
    </w:p>
    <w:p>
      <w:pPr>
        <w:spacing w:after="0" w:line="130"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Improvements to IFRS Standards 2018–2020: These improvements relate to clarifications and reliefs within IFRS 1, IFRS 9, IFRS 16 and IAS 41.</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standards, amendments and interpretations adopted in 2021 include:</w:t>
      </w:r>
    </w:p>
    <w:p>
      <w:pPr>
        <w:spacing w:after="0" w:line="131" w:lineRule="exact"/>
        <w:rPr>
          <w:sz w:val="20"/>
          <w:szCs w:val="20"/>
          <w:color w:val="auto"/>
        </w:rPr>
      </w:pPr>
    </w:p>
    <w:p>
      <w:pPr>
        <w:jc w:val="both"/>
        <w:ind w:left="960" w:right="140" w:hanging="424"/>
        <w:spacing w:after="0" w:line="26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IFRS 9, IAS 39, IFRS 7, IFRS 4 and IFRS 16: IBOR reform, phase 2. A number of amendments which provide relief from modification accounting arising from changes in contractual cash flows on debt instruments and lease contracts and redesignation of designated hedge relationships as a consequence of the IBOR reform.</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unaudited pro forma condensed combined financial information of Noble Corporation plc, a public limited company formed under the laws of England and Wales (“Noble”), and the accompanying footnotes (the “Pro Forma Financial Information”) reflects the impact of the following transactions:</w:t>
      </w:r>
    </w:p>
    <w:p>
      <w:pPr>
        <w:spacing w:after="0" w:line="89" w:lineRule="exact"/>
        <w:rPr>
          <w:sz w:val="20"/>
          <w:szCs w:val="20"/>
          <w:color w:val="auto"/>
        </w:rPr>
      </w:pPr>
    </w:p>
    <w:p>
      <w:pPr>
        <w:ind w:left="960" w:right="100" w:hanging="424"/>
        <w:spacing w:after="0" w:line="284"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Business Combination</w:t>
      </w:r>
      <w:r>
        <w:rPr>
          <w:rFonts w:ascii="Arial" w:cs="Arial" w:eastAsia="Arial" w:hAnsi="Arial"/>
          <w:sz w:val="16"/>
          <w:szCs w:val="16"/>
          <w:color w:val="auto"/>
        </w:rPr>
        <w:t>: On September 30, 2022, pursuant to a Business Combination Agreement, dated November 10, 2021 (as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the “Business Combination Agreement”), by and among Noble, Noble Corporation, an exempted company incorporated in the Cayman Islands with limited liability (“Noble Cayman”), Noble Newco Sub Limited, a Cayman Islands exempted company and a direct, wholly owned subsidiary of Noble (“Merger Sub”), and The Drilling Company of 1972 A/S, a Danish public limited liability company (“Maersk Drilling”), Noble Cayman merged with and into Merger Sub (the “Merger”), with Merger Sub surviving the Merger as a wholly owned subsidiary of Noble, and (i) each ordinary share, par value $0.00001 per share, of Noble Cayman (collectively, the “Noble Cayman Shares”) issued and outstanding prior to the effective time of the Merger (the “Merger Effective Time”) was converted into one newly and validly issued, fully paid and non-assessable A ordinary share, par value $0.00001 per share, of Noble (the “Ordinary Shares”) and</w:t>
      </w:r>
    </w:p>
    <w:p>
      <w:pPr>
        <w:ind w:left="960" w:right="40"/>
        <w:spacing w:after="0" w:line="284" w:lineRule="auto"/>
        <w:rPr>
          <w:rFonts w:ascii="Arial" w:cs="Arial" w:eastAsia="Arial" w:hAnsi="Arial"/>
          <w:sz w:val="16"/>
          <w:szCs w:val="16"/>
          <w:color w:val="auto"/>
        </w:rPr>
      </w:pPr>
      <w:r>
        <w:rPr>
          <w:rFonts w:ascii="Arial" w:cs="Arial" w:eastAsia="Arial" w:hAnsi="Arial"/>
          <w:sz w:val="16"/>
          <w:szCs w:val="16"/>
          <w:color w:val="auto"/>
        </w:rPr>
        <w:t>(ii) each warrant to purchase Noble Cayman Shares (collectively, the “Noble Cayman Warrants”) issued and outstanding immediately prior to the Merger Effective Time was converted automatically into a warrant to acquire a number of Ordinary Shares (collectively, the “Noble Warrants”) equal to the number of Noble Cayman Shares underlying such warrant, with the same terms as were in effect immediately prior to the Merger Effective Time under the terms of the applicable warrant agreements, consisting of (i) Tranche 1 Warrant Agreement, dated as of February 5, 2021, by and among Noble Cayman, Computershare Inc. and Computershare Trust Company, N.A. (together, “Computershare”), (ii) the Tranche 2 Warrant Agreement, dated as of February 5, 2021, by and among Noble Cayman and Computershare, and (iii) the Tranche 3 Warrant Agreement, dated as of February 5, 2021, by and among Noble Cayman and Computershare (collectively, the “Noble Cayman Warrant Agreements”). In addition, each award of restricted share units representing the right to receive Noble Cayman Shares, or value based on the value of Noble Cayman Shares (each, a “Noble Cayman RSU Award”), outstanding immediately prior to the Merger Effective Time ceased to represent a right to acquire Noble Cayman Shares (or value equivalent to Noble Cayman Shares) and was converted into the right to acquire, on the same terms and conditions as were applicable under the Noble Cayman RSU Award (including any vesting conditions), that number of Ordinary Shares equal to the number of Noble Cayman Shares subject to such Noble Cayman RSU Award immediately prior to the Merger Effective Time. As a result of the Merger, Noble became the ultimate parent of Noble Cayman and its respective subsidiaries effective as of the Merger Effective Time.</w:t>
      </w:r>
    </w:p>
    <w:p>
      <w:pPr>
        <w:spacing w:after="0" w:line="70" w:lineRule="exact"/>
        <w:rPr>
          <w:sz w:val="20"/>
          <w:szCs w:val="20"/>
          <w:color w:val="auto"/>
        </w:rPr>
      </w:pPr>
    </w:p>
    <w:p>
      <w:pPr>
        <w:ind w:left="980"/>
        <w:spacing w:after="0" w:line="254" w:lineRule="auto"/>
        <w:rPr>
          <w:sz w:val="20"/>
          <w:szCs w:val="20"/>
          <w:color w:val="auto"/>
        </w:rPr>
      </w:pPr>
      <w:r>
        <w:rPr>
          <w:rFonts w:ascii="Arial" w:cs="Arial" w:eastAsia="Arial" w:hAnsi="Arial"/>
          <w:sz w:val="18"/>
          <w:szCs w:val="18"/>
          <w:color w:val="auto"/>
        </w:rPr>
        <w:t>On October 3, 2022 (the “Closing Date”), pursuant to the Business Combination Agreement, Noble completed a voluntary tender exchange offer to Maersk Drilling’s shareholders (the “Offer” and, together with the Merger and the other transactions contemplated by the Business Combination Agreement, the “Business Combination”) and because Noble acquired more than 90% of the issued and outstanding shares of Maersk Drilling, nominal value Danish krone (“DKK”) 10 per share (“Maersk Drilling Shares”), Noble redeemed all remaining Maersk Drilling Shares not exchanged in the Offer for, at the election of the holder, either Ordinary Shares or cash (or, for those holders that did not make an election, only cash), under Danish law by way of a compulsory purchase (the “Compulsory Purchase”). The Compulsory Purchase was completed in early November 2022, at which time Maersk Drilling became a wholly owned subsidiary of Noble.</w:t>
      </w:r>
    </w:p>
    <w:p>
      <w:pPr>
        <w:spacing w:after="0" w:line="84" w:lineRule="exact"/>
        <w:rPr>
          <w:sz w:val="20"/>
          <w:szCs w:val="20"/>
          <w:color w:val="auto"/>
        </w:rPr>
      </w:pPr>
    </w:p>
    <w:p>
      <w:pPr>
        <w:ind w:left="980"/>
        <w:spacing w:after="0" w:line="253" w:lineRule="auto"/>
        <w:rPr>
          <w:sz w:val="20"/>
          <w:szCs w:val="20"/>
          <w:color w:val="auto"/>
        </w:rPr>
      </w:pPr>
      <w:r>
        <w:rPr>
          <w:rFonts w:ascii="Arial" w:cs="Arial" w:eastAsia="Arial" w:hAnsi="Arial"/>
          <w:sz w:val="18"/>
          <w:szCs w:val="18"/>
          <w:color w:val="auto"/>
        </w:rPr>
        <w:t>In connection with the Offer and the Compulsory Purchase, each Maersk Drilling Share was exchanged for either (i) 1.6137 newly and validly issued, fully paid and non-assessable Ordinary Shares (the “Exchange Ratio”), or (ii) cash consideration (payable in DKK). The Offer was subject to a cash consideration cap per Maersk Drilling shareholder of $1,000 and an aggregate cap on cash consideration payable to all Maersk Drilling shareholders of $50 million. Consequently, in relation to the Offer, Maersk Drilling shareholders who elected to receive cash consideration in the Offer received, as applicable, (a) $1,000 for the applicable portion of their Maersk Drilling Shares and the balance of Maersk Drilling Shares in Ordinary Shares in accordance with the Exchange Ratio, or (b) the amount corresponding to the total holding of their Maersk Drilling Shares if such holding of Maersk Drilling Shares represented a value equal to or less than $1,000 in the aggregate. The Compulsory Purchase was not subject to a cash consideration cap per holder or an aggregate cap for cash consideration.</w:t>
      </w:r>
    </w:p>
    <w:p>
      <w:pPr>
        <w:sectPr>
          <w:pgSz w:w="11900" w:h="16838" w:orient="portrait"/>
          <w:cols w:equalWidth="0" w:num="1">
            <w:col w:w="11020"/>
          </w:cols>
          <w:pgMar w:left="440" w:top="121" w:right="439" w:bottom="1440" w:gutter="0" w:footer="0" w:header="0"/>
        </w:sectPr>
      </w:pPr>
    </w:p>
    <w:bookmarkStart w:id="16" w:name="page17"/>
    <w:bookmarkEnd w:id="16"/>
    <w:p>
      <w:pPr>
        <w:ind w:left="540"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each Maersk Drilling restricted stock unit award (a “Maersk Drilling RSU Award”) that was outstanding immediately prior to the acceptance time of the Offer (the “Acceptance Time”) was exchanged, at the Acceptance Time, with the right to receive, on the same terms and conditions as were applicable under the Maersk Drilling RSU Long-Term Incentive Programme for Executive Management 2019 and the Maersk Drilling RSU Long-Term Incentive Programme 2019 (including any vesting conditions), that number of Ordinary Shares equal to the product of (1) the number of Maersk Drilling Shares subject to such Maersk Drilling RSU Award immediately prior to the Acceptance Time and (2) the Exchange Ratio, with any fractional Maersk Drilling Shares rounded to the nearest whole share. Upon such exchange, Maersk Drilling RSU Awards ceased to represent a right to receive Maersk Drilling Shares (or value equivalent to Maersk Drilling Shares).</w:t>
      </w:r>
    </w:p>
    <w:p>
      <w:pPr>
        <w:spacing w:after="0" w:line="84" w:lineRule="exact"/>
        <w:rPr>
          <w:sz w:val="20"/>
          <w:szCs w:val="20"/>
          <w:color w:val="auto"/>
        </w:rPr>
      </w:pPr>
    </w:p>
    <w:p>
      <w:pPr>
        <w:ind w:left="540" w:right="180"/>
        <w:spacing w:after="0" w:line="257" w:lineRule="auto"/>
        <w:rPr>
          <w:sz w:val="20"/>
          <w:szCs w:val="20"/>
          <w:color w:val="auto"/>
        </w:rPr>
      </w:pPr>
      <w:r>
        <w:rPr>
          <w:rFonts w:ascii="Arial" w:cs="Arial" w:eastAsia="Arial" w:hAnsi="Arial"/>
          <w:sz w:val="18"/>
          <w:szCs w:val="18"/>
          <w:color w:val="auto"/>
        </w:rPr>
        <w:t>In September 2021, eligible Maersk Drilling employees signed an addendum to their existing service agreements that provides for enhanced severance terms in the event of termination as well as a retention bonus (“Deal Completion Bonus”) to be paid irrespective of termination if a transaction with Noble were to close (the “Retention Addendum”). The Retention Addendum was entered into on September 20, 2021. The Deal Completion Bonus was paid on October 3, 2022 for five Maersk executives terminated immediately upon closing and on October 31, 2022 for all other eligible individuals.</w:t>
      </w:r>
    </w:p>
    <w:p>
      <w:pPr>
        <w:spacing w:after="0" w:line="80" w:lineRule="exact"/>
        <w:rPr>
          <w:sz w:val="20"/>
          <w:szCs w:val="20"/>
          <w:color w:val="auto"/>
        </w:rPr>
      </w:pPr>
    </w:p>
    <w:p>
      <w:pPr>
        <w:ind w:left="540" w:right="80"/>
        <w:spacing w:after="0" w:line="254" w:lineRule="auto"/>
        <w:rPr>
          <w:sz w:val="20"/>
          <w:szCs w:val="20"/>
          <w:color w:val="auto"/>
        </w:rPr>
      </w:pPr>
      <w:r>
        <w:rPr>
          <w:rFonts w:ascii="Arial" w:cs="Arial" w:eastAsia="Arial" w:hAnsi="Arial"/>
          <w:sz w:val="18"/>
          <w:szCs w:val="18"/>
          <w:color w:val="auto"/>
        </w:rPr>
        <w:t>The Business Combination has been accounted for using the acquisition method of accounting under Accounting Standards Codification Topic 805, Business Combinations, with Noble being treated as the accounting acquirer. Under the acquisition method of accounting, the assets and liabilities of Maersk Drilling and its subsidiaries were recorded at their respective fair values as of the Closing Date. Maersk Drilling’s operating results have been included in Noble’s consolidated statement of operations since the Closing Date. The purchase price allocation is based on preliminary estimates and assumptions, which are subject to change for up to one year after the Closing Date as Noble finalizes the valuation of the assets acquired, the liabilities assumed and the related tax balances as of the Closing Date. Such adjustments could be material.</w:t>
      </w:r>
    </w:p>
    <w:p>
      <w:pPr>
        <w:spacing w:after="0" w:line="100" w:lineRule="exact"/>
        <w:rPr>
          <w:sz w:val="20"/>
          <w:szCs w:val="20"/>
          <w:color w:val="auto"/>
        </w:rPr>
      </w:pPr>
    </w:p>
    <w:p>
      <w:pPr>
        <w:ind w:left="520" w:right="20" w:hanging="424"/>
        <w:spacing w:after="0" w:line="255"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Rig Transaction</w:t>
      </w:r>
      <w:r>
        <w:rPr>
          <w:rFonts w:ascii="Arial" w:cs="Arial" w:eastAsia="Arial" w:hAnsi="Arial"/>
          <w:sz w:val="18"/>
          <w:szCs w:val="18"/>
          <w:color w:val="auto"/>
        </w:rPr>
        <w:t>: On June 23, 2022, Noble and Shelf Drilling (North Sea), Ltd. and Shelf Drilling, Ltd. (together, “Shelf Drilling”) entered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into the sale by Noble and the purchase by Shelf Drilling (the “Rig Transaction”) of five jackup rigs known as the </w:t>
      </w:r>
      <w:r>
        <w:rPr>
          <w:rFonts w:ascii="Arial" w:cs="Arial" w:eastAsia="Arial" w:hAnsi="Arial"/>
          <w:sz w:val="18"/>
          <w:szCs w:val="18"/>
          <w:i w:val="1"/>
          <w:iCs w:val="1"/>
          <w:color w:val="auto"/>
        </w:rPr>
        <w:t>Noble Hans Deul</w:t>
      </w:r>
      <w:r>
        <w:rPr>
          <w:rFonts w:ascii="Arial" w:cs="Arial" w:eastAsia="Arial" w:hAnsi="Arial"/>
          <w:sz w:val="18"/>
          <w:szCs w:val="18"/>
          <w:color w:val="auto"/>
        </w:rPr>
        <w:t xml:space="preserve">, </w:t>
      </w:r>
      <w:r>
        <w:rPr>
          <w:rFonts w:ascii="Arial" w:cs="Arial" w:eastAsia="Arial" w:hAnsi="Arial"/>
          <w:sz w:val="18"/>
          <w:szCs w:val="18"/>
          <w:i w:val="1"/>
          <w:iCs w:val="1"/>
          <w:color w:val="auto"/>
        </w:rPr>
        <w:t>Noble</w:t>
      </w:r>
      <w:r>
        <w:rPr>
          <w:rFonts w:ascii="Arial" w:cs="Arial" w:eastAsia="Arial" w:hAnsi="Arial"/>
          <w:sz w:val="18"/>
          <w:szCs w:val="18"/>
          <w:color w:val="auto"/>
        </w:rPr>
        <w:t xml:space="preserve"> </w:t>
      </w:r>
      <w:r>
        <w:rPr>
          <w:rFonts w:ascii="Arial" w:cs="Arial" w:eastAsia="Arial" w:hAnsi="Arial"/>
          <w:sz w:val="18"/>
          <w:szCs w:val="18"/>
          <w:i w:val="1"/>
          <w:iCs w:val="1"/>
          <w:color w:val="auto"/>
        </w:rPr>
        <w:t>Houston Colbert</w:t>
      </w:r>
      <w:r>
        <w:rPr>
          <w:rFonts w:ascii="Arial" w:cs="Arial" w:eastAsia="Arial" w:hAnsi="Arial"/>
          <w:sz w:val="18"/>
          <w:szCs w:val="18"/>
          <w:color w:val="auto"/>
        </w:rPr>
        <w:t>,</w:t>
      </w:r>
      <w:r>
        <w:rPr>
          <w:rFonts w:ascii="Arial" w:cs="Arial" w:eastAsia="Arial" w:hAnsi="Arial"/>
          <w:sz w:val="18"/>
          <w:szCs w:val="18"/>
          <w:i w:val="1"/>
          <w:iCs w:val="1"/>
          <w:color w:val="auto"/>
        </w:rPr>
        <w:t xml:space="preserve"> Noble Lloyd Noble </w:t>
      </w:r>
      <w:r>
        <w:rPr>
          <w:rFonts w:ascii="Arial" w:cs="Arial" w:eastAsia="Arial" w:hAnsi="Arial"/>
          <w:sz w:val="18"/>
          <w:szCs w:val="18"/>
          <w:color w:val="auto"/>
        </w:rPr>
        <w:t>(the “NLN Rig”),</w:t>
      </w:r>
      <w:r>
        <w:rPr>
          <w:rFonts w:ascii="Arial" w:cs="Arial" w:eastAsia="Arial" w:hAnsi="Arial"/>
          <w:sz w:val="18"/>
          <w:szCs w:val="18"/>
          <w:i w:val="1"/>
          <w:iCs w:val="1"/>
          <w:color w:val="auto"/>
        </w:rPr>
        <w:t xml:space="preserve"> Noble Sam Hartley </w:t>
      </w:r>
      <w:r>
        <w:rPr>
          <w:rFonts w:ascii="Arial" w:cs="Arial" w:eastAsia="Arial" w:hAnsi="Arial"/>
          <w:sz w:val="18"/>
          <w:szCs w:val="18"/>
          <w:color w:val="auto"/>
        </w:rPr>
        <w:t>and</w:t>
      </w:r>
      <w:r>
        <w:rPr>
          <w:rFonts w:ascii="Arial" w:cs="Arial" w:eastAsia="Arial" w:hAnsi="Arial"/>
          <w:sz w:val="18"/>
          <w:szCs w:val="18"/>
          <w:i w:val="1"/>
          <w:iCs w:val="1"/>
          <w:color w:val="auto"/>
        </w:rPr>
        <w:t xml:space="preserve"> Noble Sam Turner </w:t>
      </w:r>
      <w:r>
        <w:rPr>
          <w:rFonts w:ascii="Arial" w:cs="Arial" w:eastAsia="Arial" w:hAnsi="Arial"/>
          <w:sz w:val="18"/>
          <w:szCs w:val="18"/>
          <w:color w:val="auto"/>
        </w:rPr>
        <w:t>and all related support and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and together with the related offshore and onshore personnel and related operations, the “Divestment Business”). The Rig Transaction addressed the potential concerns identified by the UK Competition and Markets Authority of the Business Combination and was approved by them in September 2022.</w:t>
      </w:r>
    </w:p>
    <w:p>
      <w:pPr>
        <w:spacing w:after="0" w:line="84" w:lineRule="exact"/>
        <w:rPr>
          <w:rFonts w:ascii="Arial" w:cs="Arial" w:eastAsia="Arial" w:hAnsi="Arial"/>
          <w:sz w:val="18"/>
          <w:szCs w:val="18"/>
          <w:color w:val="auto"/>
        </w:rPr>
      </w:pPr>
    </w:p>
    <w:p>
      <w:pPr>
        <w:ind w:left="540" w:right="120"/>
        <w:spacing w:after="0" w:line="286" w:lineRule="auto"/>
        <w:rPr>
          <w:rFonts w:ascii="Arial" w:cs="Arial" w:eastAsia="Arial" w:hAnsi="Arial"/>
          <w:sz w:val="18"/>
          <w:szCs w:val="18"/>
          <w:color w:val="auto"/>
        </w:rPr>
      </w:pPr>
      <w:r>
        <w:rPr>
          <w:rFonts w:ascii="Arial" w:cs="Arial" w:eastAsia="Arial" w:hAnsi="Arial"/>
          <w:sz w:val="17"/>
          <w:szCs w:val="17"/>
          <w:color w:val="auto"/>
        </w:rPr>
        <w:t>On October 5, 2022, Noble and Shelf Drilling completed the Rig Transaction as part of the Business Combination. In connection with the Rig Transaction, the Divestment Business was transferred by Noble to Shelf Drilling for a purchase price of $375 million in cash, which resulted in a gain of $85.1 million. As of the date of the Rig Transaction, Shelf Drilling gained control of the NLN Rig.</w:t>
      </w:r>
    </w:p>
    <w:p>
      <w:pPr>
        <w:spacing w:after="0" w:line="57" w:lineRule="exact"/>
        <w:rPr>
          <w:rFonts w:ascii="Arial" w:cs="Arial" w:eastAsia="Arial" w:hAnsi="Arial"/>
          <w:sz w:val="18"/>
          <w:szCs w:val="18"/>
          <w:color w:val="auto"/>
        </w:rPr>
      </w:pPr>
    </w:p>
    <w:p>
      <w:pPr>
        <w:ind w:left="540"/>
        <w:spacing w:after="0" w:line="257" w:lineRule="auto"/>
        <w:rPr>
          <w:rFonts w:ascii="Arial" w:cs="Arial" w:eastAsia="Arial" w:hAnsi="Arial"/>
          <w:sz w:val="18"/>
          <w:szCs w:val="18"/>
          <w:color w:val="auto"/>
        </w:rPr>
      </w:pPr>
      <w:r>
        <w:rPr>
          <w:rFonts w:ascii="Arial" w:cs="Arial" w:eastAsia="Arial" w:hAnsi="Arial"/>
          <w:sz w:val="18"/>
          <w:szCs w:val="18"/>
          <w:color w:val="auto"/>
        </w:rPr>
        <w:t>For a transition period following the completion of the Rig Transaction, Noble agreed to continue to operate the NLN Rig under operating agreements (the “NLN Charter Agreement”) with Shelf Drilling and to provide certain other transition services to Shelf Drilling. Under the operating agreements, Noble agreed to remit the collections from Noble’s customers under the associated drilling contracts to Shelf Drilling, and Shelf Drilling agreed to reimburse Noble for Noble’s direct costs and expenses incurred while operating the NLN Rig on behalf of Shelf Drilling (with certain exceptions).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Pro Forma Financial Information has been prepared under the following assumptions:</w:t>
      </w:r>
    </w:p>
    <w:p>
      <w:pPr>
        <w:spacing w:after="0" w:line="131" w:lineRule="exact"/>
        <w:rPr>
          <w:sz w:val="20"/>
          <w:szCs w:val="20"/>
          <w:color w:val="auto"/>
        </w:rPr>
      </w:pPr>
    </w:p>
    <w:p>
      <w:pPr>
        <w:ind w:left="520" w:right="200" w:hanging="424"/>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unaudited pro forma condensed combined statement of operations for the twelve months ended December 31, 2022 assumes that the Business Combination and Rig Transaction occurred on January 1, 2022.</w:t>
      </w:r>
    </w:p>
    <w:p>
      <w:pPr>
        <w:sectPr>
          <w:pgSz w:w="11900" w:h="16838" w:orient="portrait"/>
          <w:cols w:equalWidth="0" w:num="1">
            <w:col w:w="10580"/>
          </w:cols>
          <w:pgMar w:left="880" w:top="274" w:right="439" w:bottom="1440" w:gutter="0" w:footer="0" w:header="0"/>
        </w:sectPr>
      </w:pPr>
    </w:p>
    <w:bookmarkStart w:id="17" w:name="page18"/>
    <w:bookmarkEnd w:id="17"/>
    <w:p>
      <w:pPr>
        <w:ind w:left="960" w:right="10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unaudited pro forma condensed combined balance sheet as of December 31, 2022 has been omitted, as the Business Combination and Rig Transaction have been reflected in Noble’s consolidated balance sheet as of December 31, 2022.</w:t>
      </w:r>
    </w:p>
    <w:p>
      <w:pPr>
        <w:spacing w:after="0" w:line="170"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The Pro Forma Financial Information does not represent what the actual consolidated results of operations of Noble would have been had the Business Combination and Rig Transaction occurred on the dates assumed, nor are they necessarily indicative of future consolidated results of operations. The assumptions made by Noble underlying the pro forma adjustments are described in the accompanying notes to these unaudited pro forma condensed combined financial statements. Adjustments are based on information available to Noble’s management during the preparation of the Pro Forma Financial Information and assumptions that Noble’s management believes are reasonable and supportable. The pro forma adjustments, which are described in the accompanying notes, may be revised by Noble as additional information becomes available and is evaluated. Therefore, it is possible that the actual adjustments will differ from the pro forma adjustments, and it is possible the differences may be material.</w:t>
      </w:r>
    </w:p>
    <w:p>
      <w:pPr>
        <w:spacing w:after="0" w:line="166"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Noble’s management has not presented the effects of anticipated future costs or savings associated with certain restructuring, severance, termination related benefits, or other integration activities resulting from the Business Combination as the specificity of the timing and nature of such items is still under evaluation as of the date of this filing.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 Forma Financial Information should be read in conjunction with the following:</w:t>
      </w:r>
    </w:p>
    <w:p>
      <w:pPr>
        <w:spacing w:after="0" w:line="131" w:lineRule="exact"/>
        <w:rPr>
          <w:sz w:val="20"/>
          <w:szCs w:val="20"/>
          <w:color w:val="auto"/>
        </w:rPr>
      </w:pPr>
    </w:p>
    <w:p>
      <w:pPr>
        <w:ind w:left="960" w:right="1040" w:hanging="424"/>
        <w:spacing w:after="0" w:line="342"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audited consolidated financial statements and notes included in Noble’s Annual Report on Form 10-K for the year ended December 31, 2022, filed with the Securities and Exchange Commission on March 9, 2023 (“Noble’s 2022 Form 10-K”).</w:t>
      </w:r>
    </w:p>
    <w:p>
      <w:pPr>
        <w:spacing w:after="0" w:line="29" w:lineRule="exact"/>
        <w:rPr>
          <w:rFonts w:ascii="Arial" w:cs="Arial" w:eastAsia="Arial" w:hAnsi="Arial"/>
          <w:sz w:val="16"/>
          <w:szCs w:val="16"/>
          <w:color w:val="auto"/>
        </w:rPr>
      </w:pPr>
    </w:p>
    <w:p>
      <w:pPr>
        <w:ind w:left="960" w:right="240" w:hanging="424"/>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historical Maersk Drilling consolidated financial statements and notes for the period ended September 30, 2022, included elsewhere within this Current Report.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Twelve Months Ended December 31, 2022</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7"/>
              </w:rPr>
              <w:t>Maersk Drilling Historical</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jc w:val="center"/>
              <w:ind w:right="940"/>
              <w:spacing w:after="0"/>
              <w:rPr>
                <w:sz w:val="20"/>
                <w:szCs w:val="20"/>
                <w:color w:val="auto"/>
              </w:rPr>
            </w:pPr>
            <w:r>
              <w:rPr>
                <w:rFonts w:ascii="Arial" w:cs="Arial" w:eastAsia="Arial" w:hAnsi="Arial"/>
                <w:sz w:val="14"/>
                <w:szCs w:val="14"/>
                <w:b w:val="1"/>
                <w:bCs w:val="1"/>
                <w:color w:val="auto"/>
                <w:w w:val="83"/>
              </w:rPr>
              <w:t>Business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Maersk</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gridSpan w:val="2"/>
            <w:vMerge w:val="restart"/>
          </w:tcPr>
          <w:p>
            <w:pPr>
              <w:jc w:val="center"/>
              <w:ind w:right="820"/>
              <w:spacing w:after="0"/>
              <w:rPr>
                <w:sz w:val="20"/>
                <w:szCs w:val="20"/>
                <w:color w:val="auto"/>
              </w:rPr>
            </w:pPr>
            <w:r>
              <w:rPr>
                <w:rFonts w:ascii="Arial" w:cs="Arial" w:eastAsia="Arial" w:hAnsi="Arial"/>
                <w:sz w:val="14"/>
                <w:szCs w:val="14"/>
                <w:b w:val="1"/>
                <w:bCs w:val="1"/>
                <w:color w:val="auto"/>
                <w:w w:val="95"/>
              </w:rPr>
              <w:t>Maersk</w:t>
            </w:r>
          </w:p>
        </w:tc>
        <w:tc>
          <w:tcPr>
            <w:tcW w:w="100" w:type="dxa"/>
            <w:vAlign w:val="bottom"/>
          </w:tcPr>
          <w:p>
            <w:pPr>
              <w:spacing w:after="0"/>
              <w:rPr>
                <w:sz w:val="9"/>
                <w:szCs w:val="9"/>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Maersk</w:t>
            </w: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Noble Pro</w:t>
            </w:r>
          </w:p>
        </w:tc>
        <w:tc>
          <w:tcPr>
            <w:tcW w:w="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4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3"/>
              </w:rPr>
              <w:t>Combination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Drilling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9"/>
              </w:rPr>
              <w:t>Drilling</w:t>
            </w: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Drilling</w:t>
            </w:r>
          </w:p>
        </w:tc>
        <w:tc>
          <w:tcPr>
            <w:tcW w:w="164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Transaction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Forma</w:t>
            </w:r>
          </w:p>
        </w:tc>
        <w:tc>
          <w:tcPr>
            <w:tcW w:w="6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Historical</w:t>
            </w:r>
          </w:p>
        </w:tc>
        <w:tc>
          <w:tcPr>
            <w:tcW w:w="80" w:type="dxa"/>
            <w:vAlign w:val="bottom"/>
          </w:tcPr>
          <w:p>
            <w:pPr>
              <w:spacing w:after="0"/>
              <w:rPr>
                <w:sz w:val="12"/>
                <w:szCs w:val="12"/>
                <w:color w:val="auto"/>
              </w:rPr>
            </w:pPr>
          </w:p>
        </w:tc>
        <w:tc>
          <w:tcPr>
            <w:tcW w:w="16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9"/>
              </w:rPr>
              <w:t>IFRS-to-GAAP</w:t>
            </w: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Historical</w:t>
            </w:r>
          </w:p>
        </w:tc>
        <w:tc>
          <w:tcPr>
            <w:tcW w:w="164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3"/>
              </w:rPr>
              <w:t>Accounting</w:t>
            </w:r>
          </w:p>
        </w:tc>
        <w:tc>
          <w:tcPr>
            <w:tcW w:w="60" w:type="dxa"/>
            <w:vAlign w:val="bottom"/>
          </w:tcPr>
          <w:p>
            <w:pPr>
              <w:spacing w:after="0"/>
              <w:rPr>
                <w:sz w:val="12"/>
                <w:szCs w:val="12"/>
                <w:color w:val="auto"/>
              </w:rPr>
            </w:pPr>
          </w:p>
        </w:tc>
        <w:tc>
          <w:tcPr>
            <w:tcW w:w="138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Historical</w:t>
            </w:r>
          </w:p>
        </w:tc>
        <w:tc>
          <w:tcPr>
            <w:tcW w:w="6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(IFRS)</w:t>
            </w:r>
          </w:p>
        </w:tc>
        <w:tc>
          <w:tcPr>
            <w:tcW w:w="80" w:type="dxa"/>
            <w:vAlign w:val="bottom"/>
          </w:tcPr>
          <w:p>
            <w:pPr>
              <w:spacing w:after="0"/>
              <w:rPr>
                <w:sz w:val="12"/>
                <w:szCs w:val="12"/>
                <w:color w:val="auto"/>
              </w:rPr>
            </w:pPr>
          </w:p>
        </w:tc>
        <w:tc>
          <w:tcPr>
            <w:tcW w:w="162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Adjusted</w:t>
            </w:r>
          </w:p>
        </w:tc>
        <w:tc>
          <w:tcPr>
            <w:tcW w:w="164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4"/>
              </w:rPr>
              <w:t>Adjustments</w:t>
            </w:r>
          </w:p>
        </w:tc>
        <w:tc>
          <w:tcPr>
            <w:tcW w:w="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(Note 5)</w:t>
            </w:r>
          </w:p>
        </w:tc>
        <w:tc>
          <w:tcPr>
            <w:tcW w:w="6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(Note 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5"/>
              </w:rPr>
              <w:t>(Note 4)</w:t>
            </w: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(U.S. GAAP)</w:t>
            </w:r>
          </w:p>
        </w:tc>
        <w:tc>
          <w:tcPr>
            <w:tcW w:w="100" w:type="dxa"/>
            <w:vAlign w:val="bottom"/>
          </w:tcPr>
          <w:p>
            <w:pPr>
              <w:spacing w:after="0"/>
              <w:rPr>
                <w:sz w:val="14"/>
                <w:szCs w:val="14"/>
                <w:color w:val="auto"/>
              </w:rPr>
            </w:pPr>
          </w:p>
        </w:tc>
        <w:tc>
          <w:tcPr>
            <w:tcW w:w="15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2"/>
              </w:rPr>
              <w:t>(Note 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196"/>
        </w:trPr>
        <w:tc>
          <w:tcPr>
            <w:tcW w:w="3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Arial" w:cs="Arial" w:eastAsia="Arial" w:hAnsi="Arial"/>
                <w:sz w:val="18"/>
                <w:szCs w:val="18"/>
                <w:color w:val="auto"/>
              </w:rPr>
              <w:t>Contract drilling services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1,273,392</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$ 804,430</w:t>
            </w: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804,430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w w:val="99"/>
              </w:rPr>
              <w:t>36,872 (AA)(BB)</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2,114,694</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Reimbursables and other</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75,683</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11,172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11,172</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16,788 (CC)</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103,643</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1,349,075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815,602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815,602</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53,660</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2,218,337</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Arial" w:cs="Arial" w:eastAsia="Arial" w:hAnsi="Arial"/>
                <w:sz w:val="18"/>
                <w:szCs w:val="18"/>
                <w:color w:val="auto"/>
              </w:rPr>
              <w:t>Contract drilling services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837,683</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594,789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6,836 (A)(B)</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601,625</w:t>
            </w:r>
          </w:p>
        </w:tc>
        <w:tc>
          <w:tcPr>
            <w:tcW w:w="100" w:type="dxa"/>
            <w:vAlign w:val="bottom"/>
          </w:tcPr>
          <w:p>
            <w:pPr>
              <w:spacing w:after="0"/>
              <w:rPr>
                <w:sz w:val="18"/>
                <w:szCs w:val="18"/>
                <w:color w:val="auto"/>
              </w:rPr>
            </w:pPr>
          </w:p>
        </w:tc>
        <w:tc>
          <w:tcPr>
            <w:tcW w:w="1540" w:type="dxa"/>
            <w:vAlign w:val="bottom"/>
            <w:gridSpan w:val="2"/>
          </w:tcPr>
          <w:p>
            <w:pPr>
              <w:ind w:left="300"/>
              <w:spacing w:after="0"/>
              <w:rPr>
                <w:sz w:val="20"/>
                <w:szCs w:val="20"/>
                <w:color w:val="auto"/>
              </w:rPr>
            </w:pPr>
            <w:r>
              <w:rPr>
                <w:rFonts w:ascii="Arial" w:cs="Arial" w:eastAsia="Arial" w:hAnsi="Arial"/>
                <w:sz w:val="18"/>
                <w:szCs w:val="18"/>
                <w:color w:val="auto"/>
                <w:w w:val="96"/>
              </w:rPr>
              <w:t>6,579 (BB)(GG)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1,445,887</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Reimbursables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59,875</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16,788 (CC)</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81,563</w:t>
            </w: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130,863</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141,931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157,514 (A)(C)</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299,445</w:t>
            </w:r>
          </w:p>
        </w:tc>
        <w:tc>
          <w:tcPr>
            <w:tcW w:w="10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(155,689) (DD)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274,619</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82,177</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58,296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2,033 (A)</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60,329</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142,506</w:t>
            </w: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Arial" w:cs="Arial" w:eastAsia="Arial" w:hAnsi="Arial"/>
                <w:sz w:val="18"/>
                <w:szCs w:val="18"/>
                <w:color w:val="auto"/>
              </w:rPr>
              <w:t>Merger and integration costs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84,668</w:t>
            </w:r>
          </w:p>
        </w:tc>
        <w:tc>
          <w:tcPr>
            <w:tcW w:w="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15,429 (B)</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15,429</w:t>
            </w:r>
          </w:p>
        </w:tc>
        <w:tc>
          <w:tcPr>
            <w:tcW w:w="100" w:type="dxa"/>
            <w:vAlign w:val="bottom"/>
          </w:tcPr>
          <w:p>
            <w:pPr>
              <w:spacing w:after="0"/>
              <w:rPr>
                <w:sz w:val="18"/>
                <w:szCs w:val="18"/>
                <w:color w:val="auto"/>
              </w:rPr>
            </w:pPr>
          </w:p>
        </w:tc>
        <w:tc>
          <w:tcPr>
            <w:tcW w:w="1540" w:type="dxa"/>
            <w:vAlign w:val="bottom"/>
            <w:gridSpan w:val="2"/>
          </w:tcPr>
          <w:p>
            <w:pPr>
              <w:ind w:left="240"/>
              <w:spacing w:after="0"/>
              <w:rPr>
                <w:sz w:val="20"/>
                <w:szCs w:val="20"/>
                <w:color w:val="auto"/>
              </w:rPr>
            </w:pPr>
            <w:r>
              <w:rPr>
                <w:rFonts w:ascii="Arial" w:cs="Arial" w:eastAsia="Arial" w:hAnsi="Arial"/>
                <w:sz w:val="18"/>
                <w:szCs w:val="18"/>
                <w:color w:val="auto"/>
              </w:rPr>
              <w:t>(6,177) (EE)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93,920</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Gain on sale of operating assets, net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(90,230)</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(90,303)</w:t>
            </w: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Arial" w:cs="Arial" w:eastAsia="Arial" w:hAnsi="Arial"/>
                <w:sz w:val="18"/>
                <w:szCs w:val="18"/>
                <w:color w:val="auto"/>
              </w:rPr>
              <w:t>Hurricane losses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18,625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(18,625) (B)</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Arial" w:cs="Arial" w:eastAsia="Arial" w:hAnsi="Arial"/>
                <w:sz w:val="18"/>
                <w:szCs w:val="18"/>
                <w:color w:val="auto"/>
              </w:rPr>
              <w:t>Loss on impairment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116,409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72,139 (C)</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188,548</w:t>
            </w:r>
          </w:p>
        </w:tc>
        <w:tc>
          <w:tcPr>
            <w:tcW w:w="100" w:type="dxa"/>
            <w:vAlign w:val="bottom"/>
          </w:tcPr>
          <w:p>
            <w:pPr>
              <w:spacing w:after="0"/>
              <w:rPr>
                <w:sz w:val="18"/>
                <w:szCs w:val="18"/>
                <w:color w:val="auto"/>
              </w:rPr>
            </w:pPr>
          </w:p>
        </w:tc>
        <w:tc>
          <w:tcPr>
            <w:tcW w:w="154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188,548</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1,105,096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235,326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1,170,203</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5"/>
              </w:rPr>
              <w:t>(138,499)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2,136,800</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243,979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(119,275)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(235,326)</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(354,601)</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192,159</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81,537</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60" w:type="dxa"/>
            <w:vAlign w:val="bottom"/>
          </w:tcPr>
          <w:p>
            <w:pPr>
              <w:ind w:left="360"/>
              <w:spacing w:after="0" w:line="201" w:lineRule="exact"/>
              <w:rPr>
                <w:sz w:val="20"/>
                <w:szCs w:val="20"/>
                <w:color w:val="auto"/>
              </w:rPr>
            </w:pPr>
            <w:r>
              <w:rPr>
                <w:rFonts w:ascii="Arial" w:cs="Arial" w:eastAsia="Arial" w:hAnsi="Arial"/>
                <w:sz w:val="18"/>
                <w:szCs w:val="18"/>
                <w:color w:val="auto"/>
              </w:rPr>
              <w:t>Interest expense, net of amounts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540"/>
              <w:spacing w:after="0"/>
              <w:rPr>
                <w:sz w:val="20"/>
                <w:szCs w:val="20"/>
                <w:color w:val="auto"/>
              </w:rPr>
            </w:pPr>
            <w:r>
              <w:rPr>
                <w:rFonts w:ascii="Arial" w:cs="Arial" w:eastAsia="Arial" w:hAnsi="Arial"/>
                <w:sz w:val="18"/>
                <w:szCs w:val="18"/>
                <w:color w:val="auto"/>
              </w:rPr>
              <w:t>capitalized</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(42,722)</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(28,226)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599 (A)</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(27,627)</w:t>
            </w:r>
          </w:p>
        </w:tc>
        <w:tc>
          <w:tcPr>
            <w:tcW w:w="100" w:type="dxa"/>
            <w:vAlign w:val="bottom"/>
          </w:tcPr>
          <w:p>
            <w:pPr>
              <w:spacing w:after="0"/>
              <w:rPr>
                <w:sz w:val="20"/>
                <w:szCs w:val="20"/>
                <w:color w:val="auto"/>
              </w:rPr>
            </w:pPr>
          </w:p>
        </w:tc>
        <w:tc>
          <w:tcPr>
            <w:tcW w:w="1540" w:type="dxa"/>
            <w:vAlign w:val="bottom"/>
            <w:gridSpan w:val="2"/>
          </w:tcPr>
          <w:p>
            <w:pPr>
              <w:ind w:left="300"/>
              <w:spacing w:after="0"/>
              <w:rPr>
                <w:sz w:val="20"/>
                <w:szCs w:val="20"/>
                <w:color w:val="auto"/>
              </w:rPr>
            </w:pPr>
            <w:r>
              <w:rPr>
                <w:rFonts w:ascii="Arial" w:cs="Arial" w:eastAsia="Arial" w:hAnsi="Arial"/>
                <w:sz w:val="18"/>
                <w:szCs w:val="18"/>
                <w:color w:val="auto"/>
              </w:rPr>
              <w:t>4,317 (FF)</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(66,032)</w:t>
            </w:r>
          </w:p>
        </w:tc>
        <w:tc>
          <w:tcPr>
            <w:tcW w:w="0" w:type="dxa"/>
            <w:vAlign w:val="bottom"/>
          </w:tcPr>
          <w:p>
            <w:pPr>
              <w:spacing w:after="0"/>
              <w:rPr>
                <w:sz w:val="1"/>
                <w:szCs w:val="1"/>
                <w:color w:val="auto"/>
              </w:rPr>
            </w:pPr>
          </w:p>
        </w:tc>
      </w:tr>
      <w:tr>
        <w:trPr>
          <w:trHeight w:val="202"/>
        </w:trPr>
        <w:tc>
          <w:tcPr>
            <w:tcW w:w="32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Gain (loss) on extinguishment of debt,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(8,912)</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(8,912)</w:t>
            </w: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Arial" w:cs="Arial" w:eastAsia="Arial" w:hAnsi="Arial"/>
                <w:sz w:val="18"/>
                <w:szCs w:val="18"/>
                <w:color w:val="auto"/>
              </w:rPr>
              <w:t>Interest income and other,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14,365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(16,588)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(16,588)</w:t>
            </w:r>
          </w:p>
        </w:tc>
        <w:tc>
          <w:tcPr>
            <w:tcW w:w="100" w:type="dxa"/>
            <w:vAlign w:val="bottom"/>
          </w:tcPr>
          <w:p>
            <w:pPr>
              <w:spacing w:after="0"/>
              <w:rPr>
                <w:sz w:val="18"/>
                <w:szCs w:val="18"/>
                <w:color w:val="auto"/>
              </w:rPr>
            </w:pPr>
          </w:p>
        </w:tc>
        <w:tc>
          <w:tcPr>
            <w:tcW w:w="154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206,710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(164,089)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(234,727)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(398,816)</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196,476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Arial" w:cs="Arial" w:eastAsia="Arial" w:hAnsi="Arial"/>
                <w:sz w:val="18"/>
                <w:szCs w:val="18"/>
                <w:color w:val="auto"/>
              </w:rPr>
              <w:t>Income tax benefit (provision)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(23,578)</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(21,523)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6,697 (D)</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(14,826)</w:t>
            </w:r>
          </w:p>
        </w:tc>
        <w:tc>
          <w:tcPr>
            <w:tcW w:w="100" w:type="dxa"/>
            <w:vAlign w:val="bottom"/>
          </w:tcPr>
          <w:p>
            <w:pPr>
              <w:spacing w:after="0"/>
              <w:rPr>
                <w:sz w:val="18"/>
                <w:szCs w:val="18"/>
                <w:color w:val="auto"/>
              </w:rPr>
            </w:pPr>
          </w:p>
        </w:tc>
        <w:tc>
          <w:tcPr>
            <w:tcW w:w="1540" w:type="dxa"/>
            <w:vAlign w:val="bottom"/>
            <w:gridSpan w:val="2"/>
          </w:tcPr>
          <w:p>
            <w:pPr>
              <w:ind w:left="300"/>
              <w:spacing w:after="0"/>
              <w:rPr>
                <w:sz w:val="20"/>
                <w:szCs w:val="20"/>
                <w:color w:val="auto"/>
              </w:rPr>
            </w:pPr>
            <w:r>
              <w:rPr>
                <w:rFonts w:ascii="Arial" w:cs="Arial" w:eastAsia="Arial" w:hAnsi="Arial"/>
                <w:sz w:val="18"/>
                <w:szCs w:val="18"/>
                <w:color w:val="auto"/>
              </w:rPr>
              <w:t>6,054 (GG)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(32,350)</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183,132</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(185,612)</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(228,030)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(413,642)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202,530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(27,980)</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8"/>
                <w:szCs w:val="18"/>
                <w:color w:val="auto"/>
              </w:rPr>
              <w:t>Basic net income (loss) per share</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(0.21) (HH)</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(0.21) (HH)</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386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6"/>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860" w:type="dxa"/>
            <w:vAlign w:val="bottom"/>
            <w:shd w:val="clear" w:color="auto" w:fill="CCEEFF"/>
          </w:tcPr>
          <w:p>
            <w:pPr>
              <w:jc w:val="right"/>
              <w:ind w:right="2730"/>
              <w:spacing w:after="0"/>
              <w:rPr>
                <w:sz w:val="20"/>
                <w:szCs w:val="20"/>
                <w:color w:val="auto"/>
              </w:rPr>
            </w:pPr>
            <w:r>
              <w:rPr>
                <w:rFonts w:ascii="Arial" w:cs="Arial" w:eastAsia="Arial" w:hAnsi="Arial"/>
                <w:sz w:val="18"/>
                <w:szCs w:val="18"/>
                <w:color w:val="auto"/>
              </w:rPr>
              <w:t>85,055</w:t>
            </w:r>
          </w:p>
        </w:tc>
        <w:tc>
          <w:tcPr>
            <w:tcW w:w="3960" w:type="dxa"/>
            <w:vAlign w:val="bottom"/>
            <w:shd w:val="clear" w:color="auto" w:fill="CCEEFF"/>
          </w:tcPr>
          <w:p>
            <w:pPr>
              <w:ind w:left="2820"/>
              <w:spacing w:after="0"/>
              <w:rPr>
                <w:sz w:val="20"/>
                <w:szCs w:val="20"/>
                <w:color w:val="auto"/>
              </w:rPr>
            </w:pPr>
            <w:r>
              <w:rPr>
                <w:rFonts w:ascii="Arial" w:cs="Arial" w:eastAsia="Arial" w:hAnsi="Arial"/>
                <w:sz w:val="18"/>
                <w:szCs w:val="18"/>
                <w:color w:val="auto"/>
              </w:rPr>
              <w:t>133,728 (HH)</w:t>
            </w: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Diluted</w:t>
            </w:r>
          </w:p>
        </w:tc>
        <w:tc>
          <w:tcPr>
            <w:tcW w:w="3860" w:type="dxa"/>
            <w:vAlign w:val="bottom"/>
          </w:tcPr>
          <w:p>
            <w:pPr>
              <w:jc w:val="right"/>
              <w:ind w:right="2730"/>
              <w:spacing w:after="0"/>
              <w:rPr>
                <w:sz w:val="20"/>
                <w:szCs w:val="20"/>
                <w:color w:val="auto"/>
              </w:rPr>
            </w:pPr>
            <w:r>
              <w:rPr>
                <w:rFonts w:ascii="Arial" w:cs="Arial" w:eastAsia="Arial" w:hAnsi="Arial"/>
                <w:sz w:val="18"/>
                <w:szCs w:val="18"/>
                <w:color w:val="auto"/>
              </w:rPr>
              <w:t>97,607</w:t>
            </w:r>
          </w:p>
        </w:tc>
        <w:tc>
          <w:tcPr>
            <w:tcW w:w="3960" w:type="dxa"/>
            <w:vAlign w:val="bottom"/>
          </w:tcPr>
          <w:p>
            <w:pPr>
              <w:ind w:left="2820"/>
              <w:spacing w:after="0"/>
              <w:rPr>
                <w:sz w:val="20"/>
                <w:szCs w:val="20"/>
                <w:color w:val="auto"/>
              </w:rPr>
            </w:pPr>
            <w:r>
              <w:rPr>
                <w:rFonts w:ascii="Arial" w:cs="Arial" w:eastAsia="Arial" w:hAnsi="Arial"/>
                <w:sz w:val="18"/>
                <w:szCs w:val="18"/>
                <w:color w:val="auto"/>
              </w:rPr>
              <w:t>133,728 (HH)</w:t>
            </w:r>
          </w:p>
        </w:tc>
      </w:tr>
    </w:tbl>
    <w:p>
      <w:pPr>
        <w:sectPr>
          <w:pgSz w:w="11900" w:h="16838" w:orient="portrait"/>
          <w:cols w:equalWidth="0" w:num="1">
            <w:col w:w="11020"/>
          </w:cols>
          <w:pgMar w:left="440" w:top="274" w:right="439" w:bottom="1440" w:gutter="0" w:footer="0" w:header="0"/>
        </w:sectPr>
      </w:pPr>
    </w:p>
    <w:bookmarkStart w:id="18" w:name="page19"/>
    <w:bookmarkEnd w:id="18"/>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UNAUDITED PRO FORMA CONDENSED COMBINED FINANCIAL INFORMATION</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(in thousands, except per share amounts or otherwise indicated)</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The Pro Forma Financial Information has been prepared by Noble in accordance with Article 11 of Regulation S-X as amended by the final rule, Release No. 33-10786 “Amendments to Financial Disclosures about Acquired and Disposed Businesses,” which was adopted in May 2020 and became effective on January 1, 2021. The pro forma adjustments include transaction accounting adjustments, which reflect the application of required accounting for the Business Combination and the Rig Transaction.</w:t>
      </w:r>
    </w:p>
    <w:p>
      <w:pPr>
        <w:spacing w:after="0" w:line="187"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The Noble historical financial information included in the Pro Forma Financial Information has been derived from Noble’s 2022 Form 10-K. The Maersk Drilling historical financial information included in the Pro Forma Financial Information has been derived from Maersk Drilling’s unaudited condensed consolidated financial statements for the nine months ended September 30, 2022. The historical consolidated financial statements of Noble were prepared in accordance with accounting principles generally accepted in the United States of America (“U.S. GAAP”) and shown in U.S. dollars. The historical consolidated financial statements of Maersk Drilling were prepared in accordance with International Financial Reporting Standards (“IFRS”) as issued by the International Accounting Standards Board (“IASB”) and shown in U.S. dollars. Refer to Note 4 for the adjustments identified by Maersk Drilling to convert Maersk Drilling’s historical financial statements prepared in accordance with IFRS to Noble’s basis of accounting under U.S. GAAP.</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2. Business Combination Transaction Accounting Adjustments</w:t>
      </w:r>
    </w:p>
    <w:p>
      <w:pPr>
        <w:spacing w:after="0" w:line="121"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The following adjustments have been made to the accompanying pro forma condensed combined statement of operations to give effect to the Business Combination as if the Business Combination occurred on January 1, 2022. The adjustments below do not reflect adjustments for certain items recognized by Noble and Maersk Drilling during the twelve months ended December 31, 2022 in direct connection with the Business Combination and the Rig Transaction which are not expected to recur in any period beyond twelve months from the closing of the Business Combination and Rig Transaction. These non-recurring items include the following:</w:t>
      </w:r>
    </w:p>
    <w:p>
      <w:pPr>
        <w:spacing w:after="0" w:line="93" w:lineRule="exact"/>
        <w:rPr>
          <w:sz w:val="20"/>
          <w:szCs w:val="20"/>
          <w:color w:val="auto"/>
        </w:rPr>
      </w:pPr>
    </w:p>
    <w:p>
      <w:pPr>
        <w:ind w:left="964" w:right="300" w:hanging="532"/>
        <w:spacing w:after="0" w:line="263" w:lineRule="auto"/>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stock-based compensation expense of $5.0 million recognized by Noble after the Closing Date due to the accelerated vesting of Noble restricted stock awards held by (a) Noble’s non-employee directors and (b) certain executive officers of Maersk Drilling whose employment was terminated in connection with the Business Combination;</w:t>
      </w:r>
    </w:p>
    <w:p>
      <w:pPr>
        <w:spacing w:after="0" w:line="89" w:lineRule="exact"/>
        <w:rPr>
          <w:rFonts w:ascii="Arial" w:cs="Arial" w:eastAsia="Arial" w:hAnsi="Arial"/>
          <w:sz w:val="18"/>
          <w:szCs w:val="18"/>
          <w:color w:val="auto"/>
        </w:rPr>
      </w:pPr>
    </w:p>
    <w:p>
      <w:pPr>
        <w:ind w:left="964" w:right="440" w:hanging="532"/>
        <w:spacing w:after="0" w:line="308" w:lineRule="auto"/>
        <w:tabs>
          <w:tab w:leader="none" w:pos="964" w:val="left"/>
        </w:tabs>
        <w:numPr>
          <w:ilvl w:val="1"/>
          <w:numId w:val="12"/>
        </w:numPr>
        <w:rPr>
          <w:rFonts w:ascii="Arial" w:cs="Arial" w:eastAsia="Arial" w:hAnsi="Arial"/>
          <w:sz w:val="17"/>
          <w:szCs w:val="17"/>
          <w:color w:val="auto"/>
        </w:rPr>
      </w:pPr>
      <w:r>
        <w:rPr>
          <w:rFonts w:ascii="Arial" w:cs="Arial" w:eastAsia="Arial" w:hAnsi="Arial"/>
          <w:sz w:val="17"/>
          <w:szCs w:val="17"/>
          <w:color w:val="auto"/>
        </w:rPr>
        <w:t>severance expense of $8.7 million incurred by Noble after the Closing Date related to severance payments made to certain executive officers of Maersk Drilling whose employment was terminated in connection with the Business Combination;</w:t>
      </w:r>
    </w:p>
    <w:p>
      <w:pPr>
        <w:spacing w:after="0" w:line="51" w:lineRule="exact"/>
        <w:rPr>
          <w:rFonts w:ascii="Arial" w:cs="Arial" w:eastAsia="Arial" w:hAnsi="Arial"/>
          <w:sz w:val="17"/>
          <w:szCs w:val="17"/>
          <w:color w:val="auto"/>
        </w:rPr>
      </w:pPr>
    </w:p>
    <w:p>
      <w:pPr>
        <w:ind w:left="964" w:right="120" w:hanging="532"/>
        <w:spacing w:after="0" w:line="277" w:lineRule="auto"/>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 $85.1 million gain on sale of operating assets recognized by Noble during the twelve months ended December 31, 2022 in connection with the Rig Transaction; and</w:t>
      </w:r>
    </w:p>
    <w:p>
      <w:pPr>
        <w:spacing w:after="0" w:line="75" w:lineRule="exact"/>
        <w:rPr>
          <w:rFonts w:ascii="Arial" w:cs="Arial" w:eastAsia="Arial" w:hAnsi="Arial"/>
          <w:sz w:val="18"/>
          <w:szCs w:val="18"/>
          <w:color w:val="auto"/>
        </w:rPr>
      </w:pPr>
    </w:p>
    <w:p>
      <w:pPr>
        <w:ind w:left="964" w:right="380" w:hanging="532"/>
        <w:spacing w:after="0" w:line="342" w:lineRule="auto"/>
        <w:tabs>
          <w:tab w:leader="none" w:pos="964" w:val="left"/>
        </w:tabs>
        <w:numPr>
          <w:ilvl w:val="1"/>
          <w:numId w:val="12"/>
        </w:numPr>
        <w:rPr>
          <w:rFonts w:ascii="Arial" w:cs="Arial" w:eastAsia="Arial" w:hAnsi="Arial"/>
          <w:sz w:val="16"/>
          <w:szCs w:val="16"/>
          <w:color w:val="auto"/>
        </w:rPr>
      </w:pPr>
      <w:r>
        <w:rPr>
          <w:rFonts w:ascii="Arial" w:cs="Arial" w:eastAsia="Arial" w:hAnsi="Arial"/>
          <w:sz w:val="16"/>
          <w:szCs w:val="16"/>
          <w:color w:val="auto"/>
        </w:rPr>
        <w:t>$24.7 million and $36.9 million of transaction costs incurred directly in connection with the Business Combination during the twelve months ended December 31, 2022 by Noble and Maersk Drilling, respectively, consisting primarily of legal and professional fees.</w:t>
      </w:r>
    </w:p>
    <w:p>
      <w:pPr>
        <w:spacing w:after="0" w:line="272" w:lineRule="exact"/>
        <w:rPr>
          <w:rFonts w:ascii="Arial" w:cs="Arial" w:eastAsia="Arial" w:hAnsi="Arial"/>
          <w:sz w:val="16"/>
          <w:szCs w:val="16"/>
          <w:color w:val="auto"/>
        </w:rPr>
      </w:pPr>
    </w:p>
    <w:p>
      <w:pPr>
        <w:ind w:left="424" w:hanging="424"/>
        <w:spacing w:after="0"/>
        <w:tabs>
          <w:tab w:leader="none" w:pos="424"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Contract intangible assets and liabilities</w:t>
      </w:r>
    </w:p>
    <w:p>
      <w:pPr>
        <w:spacing w:after="0" w:line="117" w:lineRule="exact"/>
        <w:rPr>
          <w:sz w:val="20"/>
          <w:szCs w:val="20"/>
          <w:color w:val="auto"/>
        </w:rPr>
      </w:pPr>
    </w:p>
    <w:p>
      <w:pPr>
        <w:ind w:left="4" w:firstLine="440"/>
        <w:spacing w:after="0" w:line="342" w:lineRule="auto"/>
        <w:rPr>
          <w:sz w:val="20"/>
          <w:szCs w:val="20"/>
          <w:color w:val="auto"/>
        </w:rPr>
      </w:pPr>
      <w:r>
        <w:rPr>
          <w:rFonts w:ascii="Arial" w:cs="Arial" w:eastAsia="Arial" w:hAnsi="Arial"/>
          <w:sz w:val="16"/>
          <w:szCs w:val="16"/>
          <w:color w:val="auto"/>
        </w:rPr>
        <w:t>Adjustment reflects a $30.7 million increase to contract drilling services (revenue) related to the recognition of amortization of contract intangible assets and liabilities acquired from Maersk Drilling in connection with the Business Combination during the twelve months ended December 31, 2022.</w:t>
      </w:r>
    </w:p>
    <w:p>
      <w:pPr>
        <w:sectPr>
          <w:pgSz w:w="11900" w:h="16838" w:orient="portrait"/>
          <w:cols w:equalWidth="0" w:num="1">
            <w:col w:w="10944"/>
          </w:cols>
          <w:pgMar w:left="436" w:top="270" w:right="51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(BB) Maersk Drilling Pre-Merger accrual</w:t>
      </w:r>
    </w:p>
    <w:p>
      <w:pPr>
        <w:spacing w:after="0" w:line="117" w:lineRule="exact"/>
        <w:rPr>
          <w:sz w:val="20"/>
          <w:szCs w:val="20"/>
          <w:color w:val="auto"/>
        </w:rPr>
      </w:pPr>
    </w:p>
    <w:p>
      <w:pPr>
        <w:ind w:right="280" w:firstLine="440"/>
        <w:spacing w:after="0" w:line="279" w:lineRule="auto"/>
        <w:rPr>
          <w:sz w:val="20"/>
          <w:szCs w:val="20"/>
          <w:color w:val="auto"/>
        </w:rPr>
      </w:pPr>
      <w:r>
        <w:rPr>
          <w:rFonts w:ascii="Arial" w:cs="Arial" w:eastAsia="Arial" w:hAnsi="Arial"/>
          <w:sz w:val="17"/>
          <w:szCs w:val="17"/>
          <w:color w:val="auto"/>
        </w:rPr>
        <w:t>Adjustment reflects a $6.2 million increase to contract drilling services (revenue) and a $4.0 million increase to contract drilling services (expense) to capture the estimated revenues earned and expenses incurred by Maersk Drilling from October 1, 2022 through October 2, 2022, which represent the two days of activity prior to the Closing Date which are not reflected in Maersk Drilling’s unaudited condensed consolidated financial statements for the nine months ended September 30, 2022 used to prepare the Pro Forma Financial Information herein.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 Reimbursables</w:t>
      </w:r>
    </w:p>
    <w:p>
      <w:pPr>
        <w:spacing w:after="0" w:line="117" w:lineRule="exact"/>
        <w:rPr>
          <w:sz w:val="20"/>
          <w:szCs w:val="20"/>
          <w:color w:val="auto"/>
        </w:rPr>
      </w:pPr>
    </w:p>
    <w:p>
      <w:pPr>
        <w:ind w:right="400" w:firstLine="440"/>
        <w:spacing w:after="0" w:line="311" w:lineRule="auto"/>
        <w:rPr>
          <w:sz w:val="20"/>
          <w:szCs w:val="20"/>
          <w:color w:val="auto"/>
        </w:rPr>
      </w:pPr>
      <w:r>
        <w:rPr>
          <w:rFonts w:ascii="Arial" w:cs="Arial" w:eastAsia="Arial" w:hAnsi="Arial"/>
          <w:sz w:val="16"/>
          <w:szCs w:val="16"/>
          <w:color w:val="auto"/>
        </w:rPr>
        <w:t>Adjustment reflects a $16.8 million increase to contract drilling services (revenue) and a corresponding offsetting $16.8 million increase to contract drilling services (expense) to align Maersk Drilling’s historical policy of presenting certain third-party reimbursable costs on a net basis to Noble’s policy of presenting such reimbursable items on a gross basis within contract drilling services revenue and expense.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(DD) Depreciation and amortization</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Reflects the removal of historical depreciation expense and the recording of the pro forma depreciation expense based on the estimated fair value of Maersk Drilling’s property and equipment upon the Business Combination. For pro forma purposes, it is assumed that the Business Combination occurred on January 1, 2022. The pro forma adjustments to depreciation expense for the twelve months ended December 31, 2022 were calculated as follows:</w:t>
      </w:r>
    </w:p>
    <w:p>
      <w:pPr>
        <w:spacing w:after="0" w:line="19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For the Year</w:t>
            </w:r>
          </w:p>
        </w:tc>
      </w:tr>
      <w:tr>
        <w:trPr>
          <w:trHeight w:val="149"/>
        </w:trPr>
        <w:tc>
          <w:tcPr>
            <w:tcW w:w="5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8"/>
        </w:trPr>
        <w:tc>
          <w:tcPr>
            <w:tcW w:w="5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6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4"/>
                <w:szCs w:val="14"/>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Removal of historical depreciation expense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(299,445)</w:t>
            </w:r>
          </w:p>
        </w:tc>
        <w:tc>
          <w:tcPr>
            <w:tcW w:w="10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Pro forma depreciation expense</w:t>
            </w:r>
          </w:p>
        </w:tc>
        <w:tc>
          <w:tcPr>
            <w:tcW w:w="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143,756</w:t>
            </w:r>
          </w:p>
        </w:tc>
        <w:tc>
          <w:tcPr>
            <w:tcW w:w="100" w:type="dxa"/>
            <w:vAlign w:val="bottom"/>
          </w:tcPr>
          <w:p>
            <w:pPr>
              <w:spacing w:after="0"/>
              <w:rPr>
                <w:sz w:val="19"/>
                <w:szCs w:val="19"/>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Pro forma adjustment for depreciation and amortization</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(155,689)</w:t>
            </w:r>
          </w:p>
        </w:tc>
      </w:tr>
      <w:tr>
        <w:trPr>
          <w:trHeight w:val="20"/>
        </w:trPr>
        <w:tc>
          <w:tcPr>
            <w:tcW w:w="5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0" w:firstLine="440"/>
        <w:spacing w:after="0" w:line="286" w:lineRule="auto"/>
        <w:rPr>
          <w:sz w:val="20"/>
          <w:szCs w:val="20"/>
          <w:color w:val="auto"/>
        </w:rPr>
      </w:pPr>
      <w:r>
        <w:rPr>
          <w:rFonts w:ascii="Arial" w:cs="Arial" w:eastAsia="Arial" w:hAnsi="Arial"/>
          <w:sz w:val="17"/>
          <w:szCs w:val="17"/>
          <w:color w:val="auto"/>
        </w:rPr>
        <w:t>Drilling equipment and facilities are depreciated using the straight-line method over their estimated useful lives as of the date placed in service or date of major refurbishment. Estimated useful lives of the acquired drilling equipment range from three to thirty years. Maersk Drilling’s other property and equipment is depreciated using the straight-line method over useful lives ranging from two to forty years.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(EE) Deal Completion Bonus</w:t>
      </w:r>
    </w:p>
    <w:p>
      <w:pPr>
        <w:spacing w:after="0" w:line="11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Reflects the elimination of $6.2 million of costs recognized by Maersk Drilling during the twelve months ended December 31, 2022 related to the payment of the Deal Completion Bonus to certain executive officers of Maersk Drilling. The Deal Completion Bonus is included as part of total consideration transferred to Maersk Drilling in connection with Business Combination. Thus, no costs associated with the Deal Completion Bonus would have been recorded by Maersk Drilling during the twelve months ended December 31, 2022 had the Business Combination occurred on January 1, 2022.</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(FF) Interest expense</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Reflects the elimination of Maersk Drilling’s historical amortization of deferred financing costs as a result of the elimination of deferred financing costs upon applying purchase accounting. No amortization of deferred financing costs would have been recorded during the twelve months ended December 31, 2022 had the Business Combination occurred on January 1, 2022.</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(GG) Taxes</w:t>
      </w:r>
    </w:p>
    <w:p>
      <w:pPr>
        <w:spacing w:after="0" w:line="117"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Reflects the pro forma adjustments to penalties and interest for tax contingencies booked as income tax benefit (provision) or contract drilling services expense as a result of the Business Combination. The income tax benefit (provision) impact was calculated by applying the appropriate statutory tax rates of the respective tax jurisdictions to which the pro forma adjustments relate.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(HH) Weighted average shares outstanding and income per share</w:t>
      </w:r>
    </w:p>
    <w:p>
      <w:pPr>
        <w:spacing w:after="0" w:line="11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The calculation of weighted average shares outstanding for basic and diluted net income per share assumes that the shares issuable relating to the Business Combination have been outstanding for the entire period presented. Thus, the shares issuable relating to the Business Combination shown in the basic and diluted weighted average shares outstanding figure in the table below are assumed to have been outstanding since January 1, 2022. Noble has recognized the effects of the Business Combination as of the Closing Date in its historical financial statements, including the effects to basic and diluted weighted average shares outstanding.</w:t>
      </w:r>
    </w:p>
    <w:p>
      <w:pPr>
        <w:sectPr>
          <w:pgSz w:w="11900" w:h="16838" w:orient="portrait"/>
          <w:cols w:equalWidth="0" w:num="1">
            <w:col w:w="10960"/>
          </w:cols>
          <w:pgMar w:left="440" w:top="274" w:right="499" w:bottom="1440" w:gutter="0" w:footer="0" w:header="0"/>
        </w:sectPr>
      </w:pPr>
    </w:p>
    <w:bookmarkStart w:id="20" w:name="page21"/>
    <w:bookmarkEnd w:id="20"/>
    <w:p>
      <w:pPr>
        <w:ind w:left="4" w:right="4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table below presents the components of the numerator and denominator for the pro forma income per share calculation for the periods presented:</w:t>
      </w:r>
    </w:p>
    <w:p>
      <w:pPr>
        <w:spacing w:after="0" w:line="176"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9"/>
              </w:rPr>
              <w:t>For the Year Ended</w:t>
            </w:r>
          </w:p>
        </w:tc>
      </w:tr>
      <w:tr>
        <w:trPr>
          <w:trHeight w:val="171"/>
        </w:trPr>
        <w:tc>
          <w:tcPr>
            <w:tcW w:w="61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2022</w:t>
            </w:r>
          </w:p>
        </w:tc>
      </w:tr>
      <w:tr>
        <w:trPr>
          <w:trHeight w:val="196"/>
        </w:trPr>
        <w:tc>
          <w:tcPr>
            <w:tcW w:w="6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3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(27,980)</w:t>
            </w:r>
          </w:p>
        </w:tc>
      </w:tr>
      <w:tr>
        <w:trPr>
          <w:trHeight w:val="20"/>
        </w:trPr>
        <w:tc>
          <w:tcPr>
            <w:tcW w:w="6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Basic and diluted shares:</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Noble Ordinary Shares and penny warrants</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69,557</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Noble shares converted from vested Noble restricted stock awards</w:t>
            </w: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02"/>
        </w:trPr>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Noble shares converted from Maersk Drilling shares in connection with</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Business Combination</w:t>
            </w:r>
          </w:p>
        </w:tc>
        <w:tc>
          <w:tcPr>
            <w:tcW w:w="3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60,107</w:t>
            </w:r>
          </w:p>
        </w:tc>
      </w:tr>
      <w:tr>
        <w:trPr>
          <w:trHeight w:val="202"/>
        </w:trPr>
        <w:tc>
          <w:tcPr>
            <w:tcW w:w="6180" w:type="dxa"/>
            <w:vAlign w:val="bottom"/>
          </w:tcPr>
          <w:p>
            <w:pPr>
              <w:spacing w:after="0" w:line="201" w:lineRule="exact"/>
              <w:rPr>
                <w:sz w:val="20"/>
                <w:szCs w:val="20"/>
                <w:color w:val="auto"/>
              </w:rPr>
            </w:pPr>
            <w:r>
              <w:rPr>
                <w:rFonts w:ascii="Arial" w:cs="Arial" w:eastAsia="Arial" w:hAnsi="Arial"/>
                <w:sz w:val="18"/>
                <w:szCs w:val="18"/>
                <w:color w:val="auto"/>
              </w:rPr>
              <w:t>Noble shares converted from vested Maersk Drilling restricted stock</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180" w:type="dxa"/>
            <w:vAlign w:val="bottom"/>
          </w:tcPr>
          <w:p>
            <w:pPr>
              <w:ind w:left="180"/>
              <w:spacing w:after="0"/>
              <w:rPr>
                <w:sz w:val="20"/>
                <w:szCs w:val="20"/>
                <w:color w:val="auto"/>
              </w:rPr>
            </w:pPr>
            <w:r>
              <w:rPr>
                <w:rFonts w:ascii="Arial" w:cs="Arial" w:eastAsia="Arial" w:hAnsi="Arial"/>
                <w:sz w:val="18"/>
                <w:szCs w:val="18"/>
                <w:color w:val="auto"/>
              </w:rPr>
              <w:t>awards</w:t>
            </w:r>
          </w:p>
        </w:tc>
        <w:tc>
          <w:tcPr>
            <w:tcW w:w="3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Noble shares issued to settle the Compulsory Purchase</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3,719</w:t>
            </w:r>
          </w:p>
        </w:tc>
      </w:tr>
      <w:tr>
        <w:trPr>
          <w:trHeight w:val="223"/>
        </w:trPr>
        <w:tc>
          <w:tcPr>
            <w:tcW w:w="6180" w:type="dxa"/>
            <w:vAlign w:val="bottom"/>
          </w:tcPr>
          <w:p>
            <w:pPr>
              <w:spacing w:after="0" w:line="223" w:lineRule="exact"/>
              <w:rPr>
                <w:sz w:val="20"/>
                <w:szCs w:val="20"/>
                <w:color w:val="auto"/>
              </w:rPr>
            </w:pPr>
            <w:r>
              <w:rPr>
                <w:rFonts w:ascii="Arial" w:cs="Arial" w:eastAsia="Arial" w:hAnsi="Arial"/>
                <w:sz w:val="17"/>
                <w:szCs w:val="17"/>
                <w:b w:val="1"/>
                <w:bCs w:val="1"/>
                <w:color w:val="auto"/>
              </w:rPr>
              <w:t xml:space="preserve">Pro forma weighted average shares outstanding, basic and diluted </w:t>
            </w:r>
            <w:r>
              <w:rPr>
                <w:rFonts w:ascii="Arial" w:cs="Arial" w:eastAsia="Arial" w:hAnsi="Arial"/>
                <w:sz w:val="25"/>
                <w:szCs w:val="25"/>
                <w:b w:val="1"/>
                <w:bCs w:val="1"/>
                <w:color w:val="auto"/>
                <w:vertAlign w:val="superscript"/>
              </w:rPr>
              <w:t>(1)</w:t>
            </w:r>
          </w:p>
        </w:tc>
        <w:tc>
          <w:tcPr>
            <w:tcW w:w="3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133,728</w:t>
            </w:r>
          </w:p>
        </w:tc>
        <w:tc>
          <w:tcPr>
            <w:tcW w:w="10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basic</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Net income per share, diluted</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right="340" w:hanging="424"/>
        <w:spacing w:after="0" w:line="342" w:lineRule="auto"/>
        <w:tabs>
          <w:tab w:leader="none" w:pos="4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the twelve months ended December 31, 2022, the diluted pro forma share count excludes the potentially dilutive effect of 14,526 Noble Warrants and 3,334 unvested Noble restricted stock awards because they are anti-dilutive due to the pro forma net loss position.</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3. Reclassification of Maersk Drilling’s Historical Financial Statement Presentation</w:t>
      </w:r>
    </w:p>
    <w:p>
      <w:pPr>
        <w:spacing w:after="0" w:line="12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The following reclassifications were made as a result of the Business Combination to conform Maersk Drilling’s historical financial information to Noble’s presentation:</w:t>
      </w:r>
    </w:p>
    <w:p>
      <w:pPr>
        <w:spacing w:after="0" w:line="166" w:lineRule="exact"/>
        <w:rPr>
          <w:sz w:val="20"/>
          <w:szCs w:val="20"/>
          <w:color w:val="auto"/>
        </w:rPr>
      </w:pPr>
    </w:p>
    <w:p>
      <w:pPr>
        <w:jc w:val="center"/>
        <w:ind w:right="-183"/>
        <w:spacing w:after="0"/>
        <w:rPr>
          <w:sz w:val="20"/>
          <w:szCs w:val="20"/>
          <w:color w:val="auto"/>
        </w:rPr>
      </w:pPr>
      <w:r>
        <w:rPr>
          <w:rFonts w:ascii="Arial" w:cs="Arial" w:eastAsia="Arial" w:hAnsi="Arial"/>
          <w:sz w:val="18"/>
          <w:szCs w:val="18"/>
          <w:b w:val="1"/>
          <w:bCs w:val="1"/>
          <w:color w:val="auto"/>
        </w:rPr>
        <w:t>Statement of Operations for the Period Ended September 30, 2022</w:t>
      </w:r>
    </w:p>
    <w:p>
      <w:pPr>
        <w:spacing w:after="0" w:line="27"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7"/>
              </w:rPr>
              <w:t>Maersk Drilling</w:t>
            </w: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Maersk Drilling</w:t>
            </w:r>
          </w:p>
        </w:tc>
        <w:tc>
          <w:tcPr>
            <w:tcW w:w="0" w:type="dxa"/>
            <w:vAlign w:val="bottom"/>
          </w:tcPr>
          <w:p>
            <w:pPr>
              <w:spacing w:after="0"/>
              <w:rPr>
                <w:sz w:val="1"/>
                <w:szCs w:val="1"/>
                <w:color w:val="auto"/>
              </w:rPr>
            </w:pPr>
          </w:p>
        </w:tc>
      </w:tr>
      <w:tr>
        <w:trPr>
          <w:trHeight w:val="148"/>
        </w:trPr>
        <w:tc>
          <w:tcPr>
            <w:tcW w:w="1880" w:type="dxa"/>
            <w:vAlign w:val="bottom"/>
            <w:vMerge w:val="restart"/>
          </w:tcPr>
          <w:p>
            <w:pPr>
              <w:spacing w:after="0"/>
              <w:rPr>
                <w:sz w:val="20"/>
                <w:szCs w:val="20"/>
                <w:color w:val="auto"/>
              </w:rPr>
            </w:pPr>
            <w:r>
              <w:rPr>
                <w:rFonts w:ascii="Arial" w:cs="Arial" w:eastAsia="Arial" w:hAnsi="Arial"/>
                <w:sz w:val="14"/>
                <w:szCs w:val="14"/>
                <w:b w:val="1"/>
                <w:bCs w:val="1"/>
                <w:color w:val="auto"/>
                <w:w w:val="94"/>
              </w:rPr>
              <w:t>Financial Statement Line Item</w:t>
            </w:r>
          </w:p>
        </w:tc>
        <w:tc>
          <w:tcPr>
            <w:tcW w:w="300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7"/>
              </w:rPr>
              <w:t>Historical</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Historical</w:t>
            </w:r>
          </w:p>
        </w:tc>
        <w:tc>
          <w:tcPr>
            <w:tcW w:w="0" w:type="dxa"/>
            <w:vAlign w:val="bottom"/>
          </w:tcPr>
          <w:p>
            <w:pPr>
              <w:spacing w:after="0"/>
              <w:rPr>
                <w:sz w:val="1"/>
                <w:szCs w:val="1"/>
                <w:color w:val="auto"/>
              </w:rPr>
            </w:pPr>
          </w:p>
        </w:tc>
      </w:tr>
      <w:tr>
        <w:trPr>
          <w:trHeight w:val="178"/>
        </w:trPr>
        <w:tc>
          <w:tcPr>
            <w:tcW w:w="1880" w:type="dxa"/>
            <w:vAlign w:val="bottom"/>
            <w:tcBorders>
              <w:bottom w:val="single" w:sz="8" w:color="auto"/>
            </w:tcBorders>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center"/>
              <w:ind w:right="800"/>
              <w:spacing w:after="0" w:line="158" w:lineRule="exact"/>
              <w:rPr>
                <w:sz w:val="20"/>
                <w:szCs w:val="20"/>
                <w:color w:val="auto"/>
              </w:rPr>
            </w:pPr>
            <w:r>
              <w:rPr>
                <w:rFonts w:ascii="Arial" w:cs="Arial" w:eastAsia="Arial" w:hAnsi="Arial"/>
                <w:sz w:val="14"/>
                <w:szCs w:val="14"/>
                <w:b w:val="1"/>
                <w:bCs w:val="1"/>
                <w:color w:val="auto"/>
                <w:w w:val="91"/>
              </w:rPr>
              <w:t>Presentation</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7"/>
              </w:rPr>
              <w:t>as Presented</w:t>
            </w:r>
          </w:p>
        </w:tc>
        <w:tc>
          <w:tcPr>
            <w:tcW w:w="0" w:type="dxa"/>
            <w:vAlign w:val="bottom"/>
          </w:tcPr>
          <w:p>
            <w:pPr>
              <w:spacing w:after="0"/>
              <w:rPr>
                <w:sz w:val="1"/>
                <w:szCs w:val="1"/>
                <w:color w:val="auto"/>
              </w:rPr>
            </w:pPr>
          </w:p>
        </w:tc>
      </w:tr>
      <w:tr>
        <w:trPr>
          <w:trHeight w:val="203"/>
        </w:trPr>
        <w:tc>
          <w:tcPr>
            <w:tcW w:w="4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815,602</w:t>
            </w: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Reimbursables and other</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11,172</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drilling services (revenue)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804,430</w:t>
            </w:r>
          </w:p>
        </w:tc>
        <w:tc>
          <w:tcPr>
            <w:tcW w:w="0" w:type="dxa"/>
            <w:vAlign w:val="bottom"/>
          </w:tcPr>
          <w:p>
            <w:pPr>
              <w:spacing w:after="0"/>
              <w:rPr>
                <w:sz w:val="1"/>
                <w:szCs w:val="1"/>
                <w:color w:val="auto"/>
              </w:rPr>
            </w:pPr>
          </w:p>
        </w:tc>
      </w:tr>
      <w:tr>
        <w:trPr>
          <w:trHeight w:val="202"/>
        </w:trPr>
        <w:tc>
          <w:tcPr>
            <w:tcW w:w="4880" w:type="dxa"/>
            <w:vAlign w:val="bottom"/>
            <w:gridSpan w:val="2"/>
          </w:tcPr>
          <w:p>
            <w:pPr>
              <w:spacing w:after="0" w:line="201" w:lineRule="exact"/>
              <w:rPr>
                <w:sz w:val="20"/>
                <w:szCs w:val="20"/>
                <w:color w:val="auto"/>
              </w:rPr>
            </w:pPr>
            <w:r>
              <w:rPr>
                <w:rFonts w:ascii="Arial" w:cs="Arial" w:eastAsia="Arial" w:hAnsi="Arial"/>
                <w:sz w:val="18"/>
                <w:szCs w:val="18"/>
                <w:color w:val="auto"/>
              </w:rPr>
              <w:t>Cost of sales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660"/>
              <w:spacing w:after="0" w:line="201" w:lineRule="exact"/>
              <w:rPr>
                <w:sz w:val="20"/>
                <w:szCs w:val="20"/>
                <w:color w:val="auto"/>
              </w:rPr>
            </w:pPr>
            <w:r>
              <w:rPr>
                <w:rFonts w:ascii="Arial" w:cs="Arial" w:eastAsia="Arial" w:hAnsi="Arial"/>
                <w:sz w:val="18"/>
                <w:szCs w:val="18"/>
                <w:color w:val="auto"/>
              </w:rPr>
              <w:t>(657,227)</w:t>
            </w:r>
          </w:p>
        </w:tc>
        <w:tc>
          <w:tcPr>
            <w:tcW w:w="100" w:type="dxa"/>
            <w:vAlign w:val="bottom"/>
          </w:tcPr>
          <w:p>
            <w:pPr>
              <w:spacing w:after="0"/>
              <w:rPr>
                <w:sz w:val="17"/>
                <w:szCs w:val="17"/>
                <w:color w:val="auto"/>
              </w:rPr>
            </w:pPr>
          </w:p>
        </w:tc>
        <w:tc>
          <w:tcPr>
            <w:tcW w:w="1000" w:type="dxa"/>
            <w:vAlign w:val="bottom"/>
            <w:gridSpan w:val="2"/>
          </w:tcPr>
          <w:p>
            <w:pPr>
              <w:ind w:left="6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Contract drilling services (expense)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594,789</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57,538</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Reimbursables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items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(18,625)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items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18,625</w:t>
            </w:r>
          </w:p>
        </w:tc>
        <w:tc>
          <w:tcPr>
            <w:tcW w:w="0" w:type="dxa"/>
            <w:vAlign w:val="bottom"/>
          </w:tcPr>
          <w:p>
            <w:pPr>
              <w:spacing w:after="0"/>
              <w:rPr>
                <w:sz w:val="1"/>
                <w:szCs w:val="1"/>
                <w:color w:val="auto"/>
              </w:rPr>
            </w:pPr>
          </w:p>
        </w:tc>
      </w:tr>
      <w:tr>
        <w:trPr>
          <w:trHeight w:val="202"/>
        </w:trPr>
        <w:tc>
          <w:tcPr>
            <w:tcW w:w="4880" w:type="dxa"/>
            <w:vAlign w:val="bottom"/>
            <w:gridSpan w:val="2"/>
          </w:tcPr>
          <w:p>
            <w:pPr>
              <w:spacing w:after="0" w:line="201" w:lineRule="exact"/>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660"/>
              <w:spacing w:after="0" w:line="201" w:lineRule="exact"/>
              <w:rPr>
                <w:sz w:val="20"/>
                <w:szCs w:val="20"/>
                <w:color w:val="auto"/>
              </w:rPr>
            </w:pPr>
            <w:r>
              <w:rPr>
                <w:rFonts w:ascii="Arial" w:cs="Arial" w:eastAsia="Arial" w:hAnsi="Arial"/>
                <w:sz w:val="18"/>
                <w:szCs w:val="18"/>
                <w:color w:val="auto"/>
              </w:rPr>
              <w:t>(141,931)</w:t>
            </w:r>
          </w:p>
        </w:tc>
        <w:tc>
          <w:tcPr>
            <w:tcW w:w="100" w:type="dxa"/>
            <w:vAlign w:val="bottom"/>
          </w:tcPr>
          <w:p>
            <w:pPr>
              <w:spacing w:after="0"/>
              <w:rPr>
                <w:sz w:val="17"/>
                <w:szCs w:val="17"/>
                <w:color w:val="auto"/>
              </w:rPr>
            </w:pPr>
          </w:p>
        </w:tc>
        <w:tc>
          <w:tcPr>
            <w:tcW w:w="1000" w:type="dxa"/>
            <w:vAlign w:val="bottom"/>
            <w:gridSpan w:val="2"/>
          </w:tcPr>
          <w:p>
            <w:pPr>
              <w:ind w:left="6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141,931</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reversals (losses), net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(116,409)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impairment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116,409</w:t>
            </w:r>
          </w:p>
        </w:tc>
        <w:tc>
          <w:tcPr>
            <w:tcW w:w="0" w:type="dxa"/>
            <w:vAlign w:val="bottom"/>
          </w:tcPr>
          <w:p>
            <w:pPr>
              <w:spacing w:after="0"/>
              <w:rPr>
                <w:sz w:val="1"/>
                <w:szCs w:val="1"/>
                <w:color w:val="auto"/>
              </w:rPr>
            </w:pPr>
          </w:p>
        </w:tc>
      </w:tr>
      <w:tr>
        <w:trPr>
          <w:trHeight w:val="202"/>
        </w:trPr>
        <w:tc>
          <w:tcPr>
            <w:tcW w:w="4880" w:type="dxa"/>
            <w:vAlign w:val="bottom"/>
            <w:gridSpan w:val="2"/>
          </w:tcPr>
          <w:p>
            <w:pPr>
              <w:spacing w:after="0" w:line="201" w:lineRule="exact"/>
              <w:rPr>
                <w:sz w:val="20"/>
                <w:szCs w:val="20"/>
                <w:color w:val="auto"/>
              </w:rPr>
            </w:pPr>
            <w:r>
              <w:rPr>
                <w:rFonts w:ascii="Arial" w:cs="Arial" w:eastAsia="Arial" w:hAnsi="Arial"/>
                <w:sz w:val="18"/>
                <w:szCs w:val="18"/>
                <w:color w:val="auto"/>
              </w:rPr>
              <w:t>Gain/(loss) on sale of non-current assets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720"/>
              <w:spacing w:after="0" w:line="201" w:lineRule="exact"/>
              <w:rPr>
                <w:sz w:val="20"/>
                <w:szCs w:val="20"/>
                <w:color w:val="auto"/>
              </w:rPr>
            </w:pPr>
            <w:r>
              <w:rPr>
                <w:rFonts w:ascii="Arial" w:cs="Arial" w:eastAsia="Arial" w:hAnsi="Arial"/>
                <w:sz w:val="18"/>
                <w:szCs w:val="18"/>
                <w:color w:val="auto"/>
              </w:rPr>
              <w:t>73</w:t>
            </w:r>
          </w:p>
        </w:tc>
        <w:tc>
          <w:tcPr>
            <w:tcW w:w="100" w:type="dxa"/>
            <w:vAlign w:val="bottom"/>
          </w:tcPr>
          <w:p>
            <w:pPr>
              <w:spacing w:after="0"/>
              <w:rPr>
                <w:sz w:val="17"/>
                <w:szCs w:val="17"/>
                <w:color w:val="auto"/>
              </w:rPr>
            </w:pPr>
          </w:p>
        </w:tc>
        <w:tc>
          <w:tcPr>
            <w:tcW w:w="1000" w:type="dxa"/>
            <w:vAlign w:val="bottom"/>
            <w:gridSpan w:val="2"/>
          </w:tcPr>
          <w:p>
            <w:pPr>
              <w:ind w:left="6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Gain on sale of operating assets, net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results in joint ventures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and other, net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02"/>
        </w:trPr>
        <w:tc>
          <w:tcPr>
            <w:tcW w:w="4880" w:type="dxa"/>
            <w:vAlign w:val="bottom"/>
            <w:gridSpan w:val="2"/>
          </w:tcPr>
          <w:p>
            <w:pPr>
              <w:spacing w:after="0" w:line="201" w:lineRule="exact"/>
              <w:rPr>
                <w:sz w:val="20"/>
                <w:szCs w:val="20"/>
                <w:color w:val="auto"/>
              </w:rPr>
            </w:pPr>
            <w:r>
              <w:rPr>
                <w:rFonts w:ascii="Arial" w:cs="Arial" w:eastAsia="Arial" w:hAnsi="Arial"/>
                <w:sz w:val="18"/>
                <w:szCs w:val="18"/>
                <w:color w:val="auto"/>
              </w:rPr>
              <w:t>Financial expenses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660"/>
              <w:spacing w:after="0" w:line="201" w:lineRule="exact"/>
              <w:rPr>
                <w:sz w:val="20"/>
                <w:szCs w:val="20"/>
                <w:color w:val="auto"/>
              </w:rPr>
            </w:pPr>
            <w:r>
              <w:rPr>
                <w:rFonts w:ascii="Arial" w:cs="Arial" w:eastAsia="Arial" w:hAnsi="Arial"/>
                <w:sz w:val="18"/>
                <w:szCs w:val="18"/>
                <w:color w:val="auto"/>
              </w:rPr>
              <w:t>(52,509)</w:t>
            </w:r>
          </w:p>
        </w:tc>
        <w:tc>
          <w:tcPr>
            <w:tcW w:w="100" w:type="dxa"/>
            <w:vAlign w:val="bottom"/>
          </w:tcPr>
          <w:p>
            <w:pPr>
              <w:spacing w:after="0"/>
              <w:rPr>
                <w:sz w:val="17"/>
                <w:szCs w:val="17"/>
                <w:color w:val="auto"/>
              </w:rPr>
            </w:pPr>
          </w:p>
        </w:tc>
        <w:tc>
          <w:tcPr>
            <w:tcW w:w="1000" w:type="dxa"/>
            <w:vAlign w:val="bottom"/>
            <w:gridSpan w:val="2"/>
          </w:tcPr>
          <w:p>
            <w:pPr>
              <w:ind w:left="6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Interest expense, net of amounts capitalized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(27,602)</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Interest income and other, net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(24,149)</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8,022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 of amounts capitalized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and other, net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8,646</w:t>
            </w:r>
          </w:p>
        </w:tc>
        <w:tc>
          <w:tcPr>
            <w:tcW w:w="0" w:type="dxa"/>
            <w:vAlign w:val="bottom"/>
          </w:tcPr>
          <w:p>
            <w:pPr>
              <w:spacing w:after="0"/>
              <w:rPr>
                <w:sz w:val="1"/>
                <w:szCs w:val="1"/>
                <w:color w:val="auto"/>
              </w:rPr>
            </w:pPr>
          </w:p>
        </w:tc>
      </w:tr>
      <w:tr>
        <w:trPr>
          <w:trHeight w:val="202"/>
        </w:trPr>
        <w:tc>
          <w:tcPr>
            <w:tcW w:w="4880" w:type="dxa"/>
            <w:vAlign w:val="bottom"/>
            <w:gridSpan w:val="2"/>
          </w:tcPr>
          <w:p>
            <w:pPr>
              <w:spacing w:after="0" w:line="201" w:lineRule="exact"/>
              <w:rPr>
                <w:sz w:val="20"/>
                <w:szCs w:val="20"/>
                <w:color w:val="auto"/>
              </w:rPr>
            </w:pPr>
            <w:r>
              <w:rPr>
                <w:rFonts w:ascii="Arial" w:cs="Arial" w:eastAsia="Arial" w:hAnsi="Arial"/>
                <w:sz w:val="18"/>
                <w:szCs w:val="18"/>
                <w:color w:val="auto"/>
              </w:rPr>
              <w:t>Tax</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660"/>
              <w:spacing w:after="0" w:line="201" w:lineRule="exact"/>
              <w:rPr>
                <w:sz w:val="20"/>
                <w:szCs w:val="20"/>
                <w:color w:val="auto"/>
              </w:rPr>
            </w:pPr>
            <w:r>
              <w:rPr>
                <w:rFonts w:ascii="Arial" w:cs="Arial" w:eastAsia="Arial" w:hAnsi="Arial"/>
                <w:sz w:val="18"/>
                <w:szCs w:val="18"/>
                <w:color w:val="auto"/>
              </w:rPr>
              <w:t>(21,523)</w:t>
            </w:r>
          </w:p>
        </w:tc>
        <w:tc>
          <w:tcPr>
            <w:tcW w:w="100" w:type="dxa"/>
            <w:vAlign w:val="bottom"/>
          </w:tcPr>
          <w:p>
            <w:pPr>
              <w:spacing w:after="0"/>
              <w:rPr>
                <w:sz w:val="17"/>
                <w:szCs w:val="17"/>
                <w:color w:val="auto"/>
              </w:rPr>
            </w:pPr>
          </w:p>
        </w:tc>
        <w:tc>
          <w:tcPr>
            <w:tcW w:w="1000" w:type="dxa"/>
            <w:vAlign w:val="bottom"/>
            <w:gridSpan w:val="2"/>
          </w:tcPr>
          <w:p>
            <w:pPr>
              <w:ind w:left="6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(21,523)</w:t>
            </w:r>
          </w:p>
        </w:tc>
        <w:tc>
          <w:tcPr>
            <w:tcW w:w="0" w:type="dxa"/>
            <w:vAlign w:val="bottom"/>
          </w:tcPr>
          <w:p>
            <w:pPr>
              <w:spacing w:after="0"/>
              <w:rPr>
                <w:sz w:val="1"/>
                <w:szCs w:val="1"/>
                <w:color w:val="auto"/>
              </w:rPr>
            </w:pPr>
          </w:p>
        </w:tc>
      </w:tr>
    </w:tbl>
    <w:p>
      <w:pPr>
        <w:sectPr>
          <w:pgSz w:w="11900" w:h="16838" w:orient="portrait"/>
          <w:cols w:equalWidth="0" w:num="1">
            <w:col w:w="10824"/>
          </w:cols>
          <w:pgMar w:left="436" w:top="274" w:right="639" w:bottom="1440" w:gutter="0" w:footer="0" w:header="0"/>
        </w:sectPr>
      </w:pPr>
    </w:p>
    <w:bookmarkStart w:id="21" w:name="page22"/>
    <w:bookmarkEnd w:id="2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4. Maersk Drilling IFRS to U.S. GAAP Conversion</w:t>
      </w:r>
    </w:p>
    <w:p>
      <w:pPr>
        <w:spacing w:after="0" w:line="121" w:lineRule="exact"/>
        <w:rPr>
          <w:sz w:val="20"/>
          <w:szCs w:val="20"/>
          <w:color w:val="auto"/>
        </w:rPr>
      </w:pPr>
    </w:p>
    <w:p>
      <w:pPr>
        <w:ind w:left="4" w:right="240" w:firstLine="440"/>
        <w:spacing w:after="0" w:line="342" w:lineRule="auto"/>
        <w:rPr>
          <w:sz w:val="20"/>
          <w:szCs w:val="20"/>
          <w:color w:val="auto"/>
        </w:rPr>
      </w:pPr>
      <w:r>
        <w:rPr>
          <w:rFonts w:ascii="Arial" w:cs="Arial" w:eastAsia="Arial" w:hAnsi="Arial"/>
          <w:sz w:val="16"/>
          <w:szCs w:val="16"/>
          <w:color w:val="auto"/>
        </w:rPr>
        <w:t>The Pro Forma Financial Information reflects the material adjustments necessary to convert Maersk Drilling’s historical financial statements to U.S. GAAP and conform to Noble’s accounting policies based on an initial policy conversion assessment performed by management.</w:t>
      </w:r>
    </w:p>
    <w:p>
      <w:pPr>
        <w:spacing w:after="0" w:line="272"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Under IFRS, Maersk Drilling recognized right-of-use assets and lease liabilities for all leases, with the exceptions described in the paragraph below. However, as required by IFRS, Maersk Drilling did not distinguish between operating leases and finance leases and accounted for all leases recorded on the balance sheets similarly to finance leases under U.S. GAAP. Maersk Drilling recorded depreciation on all right-of-use assets and interest expense on all lease liabilities, while a straight-line operating expense is presented for operating leases under U.S. GAAP.</w:t>
      </w:r>
    </w:p>
    <w:p>
      <w:pPr>
        <w:spacing w:after="0" w:line="171"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IFRS includes an exemption for leases of low-value assets, where a lessee may elect to recognize lease payments on a straight-line basis over the lease term instead of capitalizing them on the balance sheet. This exemption can be elected on a lease-by-lease basis. U.S. GAAP does not have explicit exemptions for leases of low-value assets; however, Maersk Drilling’s leases of low-value assets were not deemed material for purposes of the Pro Forma Financial Information.</w:t>
      </w:r>
    </w:p>
    <w:p>
      <w:pPr>
        <w:spacing w:after="0" w:line="187" w:lineRule="exact"/>
        <w:rPr>
          <w:sz w:val="20"/>
          <w:szCs w:val="20"/>
          <w:color w:val="auto"/>
        </w:rPr>
      </w:pPr>
    </w:p>
    <w:p>
      <w:pPr>
        <w:jc w:val="both"/>
        <w:ind w:left="4" w:right="220" w:firstLine="440"/>
        <w:spacing w:after="0" w:line="263" w:lineRule="auto"/>
        <w:rPr>
          <w:sz w:val="20"/>
          <w:szCs w:val="20"/>
          <w:color w:val="auto"/>
        </w:rPr>
      </w:pPr>
      <w:r>
        <w:rPr>
          <w:rFonts w:ascii="Arial" w:cs="Arial" w:eastAsia="Arial" w:hAnsi="Arial"/>
          <w:sz w:val="18"/>
          <w:szCs w:val="18"/>
          <w:color w:val="auto"/>
        </w:rPr>
        <w:t>The following table presents the pro forma adjustments to reclassify Maersk Drilling’s historical interest on lease liabilities and depreciation on right-of-use assets to general and administrative expense and contract drilling services expense to align with Noble’s accounting treatment under U.S. GAAP:</w:t>
      </w:r>
    </w:p>
    <w:p>
      <w:pPr>
        <w:sectPr>
          <w:pgSz w:w="11900" w:h="16838" w:orient="portrait"/>
          <w:cols w:equalWidth="0" w:num="1">
            <w:col w:w="10984"/>
          </w:cols>
          <w:pgMar w:left="436" w:top="270" w:right="47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1764" w:right="354"/>
        <w:spacing w:after="0" w:line="299" w:lineRule="auto"/>
        <w:rPr>
          <w:sz w:val="20"/>
          <w:szCs w:val="20"/>
          <w:color w:val="auto"/>
        </w:rPr>
      </w:pPr>
      <w:r>
        <w:rPr>
          <w:rFonts w:ascii="Arial" w:cs="Arial" w:eastAsia="Arial" w:hAnsi="Arial"/>
          <w:sz w:val="16"/>
          <w:szCs w:val="16"/>
          <w:color w:val="auto"/>
        </w:rPr>
        <w:t>Elimination of Maersk Drilling’s historical interest on lease liabilities Elimination of Maersk Drilling’s historical depreciation on right-of-use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-281305</wp:posOffset>
            </wp:positionV>
            <wp:extent cx="474916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ind w:left="1944"/>
        <w:spacing w:after="0"/>
        <w:rPr>
          <w:sz w:val="20"/>
          <w:szCs w:val="20"/>
          <w:color w:val="auto"/>
        </w:rPr>
      </w:pPr>
      <w:r>
        <w:rPr>
          <w:rFonts w:ascii="Arial" w:cs="Arial" w:eastAsia="Arial" w:hAnsi="Arial"/>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5715</wp:posOffset>
            </wp:positionV>
            <wp:extent cx="474916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764"/>
        <w:spacing w:after="0"/>
        <w:rPr>
          <w:sz w:val="20"/>
          <w:szCs w:val="20"/>
          <w:color w:val="auto"/>
        </w:rPr>
      </w:pPr>
      <w:r>
        <w:rPr>
          <w:rFonts w:ascii="Arial" w:cs="Arial" w:eastAsia="Arial" w:hAnsi="Arial"/>
          <w:sz w:val="17"/>
          <w:szCs w:val="17"/>
          <w:color w:val="auto"/>
        </w:rPr>
        <w:t>Reclassification of amounts to general and administrative expense</w:t>
      </w:r>
    </w:p>
    <w:p>
      <w:pPr>
        <w:spacing w:after="0" w:line="21" w:lineRule="exact"/>
        <w:rPr>
          <w:sz w:val="20"/>
          <w:szCs w:val="20"/>
          <w:color w:val="auto"/>
        </w:rPr>
      </w:pPr>
    </w:p>
    <w:p>
      <w:pPr>
        <w:ind w:left="1764"/>
        <w:spacing w:after="0"/>
        <w:rPr>
          <w:sz w:val="20"/>
          <w:szCs w:val="20"/>
          <w:color w:val="auto"/>
        </w:rPr>
      </w:pPr>
      <w:r>
        <w:rPr>
          <w:rFonts w:ascii="Arial" w:cs="Arial" w:eastAsia="Arial" w:hAnsi="Arial"/>
          <w:sz w:val="18"/>
          <w:szCs w:val="18"/>
          <w:color w:val="auto"/>
        </w:rPr>
        <w:t>Reclassification of amounts to contract drilling services expense</w:t>
      </w:r>
    </w:p>
    <w:p>
      <w:pPr>
        <w:spacing w:after="0" w:line="238"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Special items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1834"/>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right="1834"/>
        <w:spacing w:after="0"/>
        <w:rPr>
          <w:sz w:val="20"/>
          <w:szCs w:val="20"/>
          <w:color w:val="auto"/>
        </w:rPr>
      </w:pPr>
      <w:r>
        <w:rPr>
          <w:rFonts w:ascii="Arial" w:cs="Arial" w:eastAsia="Arial" w:hAnsi="Arial"/>
          <w:sz w:val="12"/>
          <w:szCs w:val="12"/>
          <w:b w:val="1"/>
          <w:bCs w:val="1"/>
          <w:u w:val="single" w:color="auto"/>
          <w:color w:val="auto"/>
        </w:rPr>
        <w:t>December 31, 2022</w:t>
      </w:r>
    </w:p>
    <w:p>
      <w:pPr>
        <w:spacing w:after="0" w:line="32" w:lineRule="exact"/>
        <w:rPr>
          <w:sz w:val="20"/>
          <w:szCs w:val="20"/>
          <w:color w:val="auto"/>
        </w:rPr>
      </w:pPr>
    </w:p>
    <w:p>
      <w:pPr>
        <w:ind w:left="886" w:hanging="886"/>
        <w:spacing w:after="0"/>
        <w:tabs>
          <w:tab w:leader="none" w:pos="886" w:val="left"/>
        </w:tabs>
        <w:numPr>
          <w:ilvl w:val="0"/>
          <w:numId w:val="17"/>
        </w:numPr>
        <w:rPr>
          <w:rFonts w:ascii="Arial" w:cs="Arial" w:eastAsia="Arial" w:hAnsi="Arial"/>
          <w:sz w:val="18"/>
          <w:szCs w:val="18"/>
          <w:color w:val="auto"/>
        </w:rPr>
      </w:pPr>
      <w:r>
        <w:rPr>
          <w:rFonts w:ascii="Arial" w:cs="Arial" w:eastAsia="Arial" w:hAnsi="Arial"/>
          <w:sz w:val="18"/>
          <w:szCs w:val="18"/>
          <w:color w:val="auto"/>
        </w:rPr>
        <w:t>599</w:t>
      </w:r>
    </w:p>
    <w:p>
      <w:pPr>
        <w:spacing w:after="0" w:line="20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(5,074)</w:t>
      </w:r>
    </w:p>
    <w:p>
      <w:pPr>
        <w:spacing w:after="0" w:line="23" w:lineRule="exact"/>
        <w:rPr>
          <w:sz w:val="20"/>
          <w:szCs w:val="20"/>
          <w:color w:val="auto"/>
        </w:rPr>
      </w:pPr>
    </w:p>
    <w:p>
      <w:pPr>
        <w:ind w:left="766"/>
        <w:spacing w:after="0"/>
        <w:rPr>
          <w:sz w:val="20"/>
          <w:szCs w:val="20"/>
          <w:color w:val="auto"/>
        </w:rPr>
      </w:pPr>
      <w:r>
        <w:rPr>
          <w:rFonts w:ascii="Arial" w:cs="Arial" w:eastAsia="Arial" w:hAnsi="Arial"/>
          <w:sz w:val="18"/>
          <w:szCs w:val="18"/>
          <w:color w:val="auto"/>
        </w:rPr>
        <w:t>2,033</w:t>
      </w:r>
    </w:p>
    <w:p>
      <w:pPr>
        <w:spacing w:after="0" w:line="9" w:lineRule="exact"/>
        <w:rPr>
          <w:sz w:val="20"/>
          <w:szCs w:val="20"/>
          <w:color w:val="auto"/>
        </w:rPr>
      </w:pPr>
    </w:p>
    <w:p>
      <w:pPr>
        <w:ind w:left="766"/>
        <w:spacing w:after="0"/>
        <w:rPr>
          <w:sz w:val="20"/>
          <w:szCs w:val="20"/>
          <w:color w:val="auto"/>
        </w:rPr>
      </w:pPr>
      <w:r>
        <w:rPr>
          <w:rFonts w:ascii="Arial" w:cs="Arial" w:eastAsia="Arial" w:hAnsi="Arial"/>
          <w:sz w:val="18"/>
          <w:szCs w:val="18"/>
          <w:color w:val="auto"/>
        </w:rPr>
        <w:t>3,640</w:t>
      </w:r>
    </w:p>
    <w:p>
      <w:pPr>
        <w:spacing w:after="0" w:line="561" w:lineRule="exact"/>
        <w:rPr>
          <w:sz w:val="20"/>
          <w:szCs w:val="20"/>
          <w:color w:val="auto"/>
        </w:rPr>
      </w:pPr>
    </w:p>
    <w:p>
      <w:pPr>
        <w:sectPr>
          <w:pgSz w:w="11900" w:h="16838" w:orient="portrait"/>
          <w:cols w:equalWidth="0" w:num="2">
            <w:col w:w="7258" w:space="720"/>
            <w:col w:w="3006"/>
          </w:cols>
          <w:pgMar w:left="436" w:top="270" w:right="479" w:bottom="1440" w:gutter="0" w:footer="0" w:header="0"/>
          <w:type w:val="continuous"/>
        </w:sectPr>
      </w:pPr>
    </w:p>
    <w:p>
      <w:pPr>
        <w:ind w:left="4" w:right="240" w:firstLine="440"/>
        <w:spacing w:after="0" w:line="257" w:lineRule="auto"/>
        <w:rPr>
          <w:sz w:val="20"/>
          <w:szCs w:val="20"/>
          <w:color w:val="auto"/>
        </w:rPr>
      </w:pPr>
      <w:r>
        <w:rPr>
          <w:rFonts w:ascii="Arial" w:cs="Arial" w:eastAsia="Arial" w:hAnsi="Arial"/>
          <w:sz w:val="18"/>
          <w:szCs w:val="18"/>
          <w:color w:val="auto"/>
        </w:rPr>
        <w:t>Maersk Drilling had historically chosen to present as a separate line item within its historical income statements called “special items” that was intended to capture the impact from non-recurring, infrequent or unusual events on the statement of operations. Such presentation of special items is disallowed under U.S. GAAP. The following table presents the pro forma adjustments to reclassify Maersk Drilling’s historical expenses presented within special items to general and administrative expense and contract drilling services expense to align with Noble’s treatment of such items under U.S. GAAP:</w:t>
      </w:r>
    </w:p>
    <w:p>
      <w:pPr>
        <w:spacing w:after="0" w:line="194"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Special items reclassified to merger and integration costs</w:t>
            </w:r>
          </w:p>
        </w:tc>
        <w:tc>
          <w:tcPr>
            <w:tcW w:w="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Special item reclassified to contract drilling services expense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Maersk Drilling Special items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84"/>
          </w:cols>
          <w:pgMar w:left="436" w:top="270" w:right="479" w:bottom="1440" w:gutter="0" w:footer="0" w:header="0"/>
          <w:type w:val="continuous"/>
        </w:sectPr>
      </w:pPr>
    </w:p>
    <w:bookmarkStart w:id="22" w:name="page23"/>
    <w:bookmarkEnd w:id="22"/>
    <w:p>
      <w:pPr>
        <w:ind w:left="424" w:hanging="424"/>
        <w:spacing w:after="0"/>
        <w:tabs>
          <w:tab w:leader="none" w:pos="424"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Impairment of property and equipment</w:t>
      </w:r>
    </w:p>
    <w:p>
      <w:pPr>
        <w:spacing w:after="0" w:line="117"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Under IFRS, an asset must not be carried in the financial statements at more than the highest amount to be recovered through its use or sale. If the carrying amount of an asset exceeds the asset’s recoverable amount (</w:t>
      </w:r>
      <w:r>
        <w:rPr>
          <w:rFonts w:ascii="Arial" w:cs="Arial" w:eastAsia="Arial" w:hAnsi="Arial"/>
          <w:sz w:val="18"/>
          <w:szCs w:val="18"/>
          <w:i w:val="1"/>
          <w:iCs w:val="1"/>
          <w:color w:val="auto"/>
        </w:rPr>
        <w:t>i.e.</w:t>
      </w:r>
      <w:r>
        <w:rPr>
          <w:rFonts w:ascii="Arial" w:cs="Arial" w:eastAsia="Arial" w:hAnsi="Arial"/>
          <w:sz w:val="18"/>
          <w:szCs w:val="18"/>
          <w:color w:val="auto"/>
        </w:rPr>
        <w:t>, the higher of an asset’s or cash-generating unit’s fair value less costs of disposal or its value in use), the asset is deemed to be impaired and an impairment loss is recognized immediately in profit or loss and the value of the cash-generating unit, or the carrying amount of the asset, is reduced.</w:t>
      </w:r>
    </w:p>
    <w:p>
      <w:pPr>
        <w:spacing w:after="0" w:line="187" w:lineRule="exact"/>
        <w:rPr>
          <w:sz w:val="20"/>
          <w:szCs w:val="20"/>
          <w:color w:val="auto"/>
        </w:rPr>
      </w:pPr>
    </w:p>
    <w:p>
      <w:pPr>
        <w:ind w:left="4" w:right="80" w:firstLine="440"/>
        <w:spacing w:after="0" w:line="290" w:lineRule="auto"/>
        <w:rPr>
          <w:sz w:val="20"/>
          <w:szCs w:val="20"/>
          <w:color w:val="auto"/>
        </w:rPr>
      </w:pPr>
      <w:r>
        <w:rPr>
          <w:rFonts w:ascii="Arial" w:cs="Arial" w:eastAsia="Arial" w:hAnsi="Arial"/>
          <w:sz w:val="16"/>
          <w:szCs w:val="16"/>
          <w:color w:val="auto"/>
        </w:rPr>
        <w:t>Under U.S. GAAP, an impairment loss is triggered for long-lived assets only if the asset’s, or asset group’s, carrying amount is not recoverable (</w:t>
      </w:r>
      <w:r>
        <w:rPr>
          <w:rFonts w:ascii="Arial" w:cs="Arial" w:eastAsia="Arial" w:hAnsi="Arial"/>
          <w:sz w:val="16"/>
          <w:szCs w:val="16"/>
          <w:i w:val="1"/>
          <w:iCs w:val="1"/>
          <w:color w:val="auto"/>
        </w:rPr>
        <w:t>i.e.</w:t>
      </w:r>
      <w:r>
        <w:rPr>
          <w:rFonts w:ascii="Arial" w:cs="Arial" w:eastAsia="Arial" w:hAnsi="Arial"/>
          <w:sz w:val="16"/>
          <w:szCs w:val="16"/>
          <w:color w:val="auto"/>
        </w:rPr>
        <w:t>, the asset or asset group’s carrying amount is less than the undiscounted future cash flows expected to be derived from the asset or asset group). Additionally, the reversal of an impairment loss is not permitted. As a result of the differences in impairment calculation, an updated impairment test was prepared for Maersk Drilling as if U.S. GAAP method was applied in 2016 through December 31, 2022 to assess the effect of the different accounting treatment between IFRS and U.S. GAAP for impairment. 2016 was selected as the beginning period for the assessment because it was the earliest year in which an impairment on its property and equipment occurred and had a continuing impact on the balance as of December 31, 2022. The analysis has been performed by adjusting the discount rate to zero percent in the impairment models that were used under IFRS and recalculating the impact on depreciation expense and deferred taxes for any impairments that would not have been recorded under U.S. GAAP.</w:t>
      </w:r>
    </w:p>
    <w:p>
      <w:pPr>
        <w:spacing w:after="0" w:line="165"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The following table reflects the pro forma adjustments related to impairment to align Maersk Drilling’s historical treatment of impairment under IFRS to the treatment under U.S. GAAP, including (i) the elimination of any previously recognized impairment reversals, (ii) increasing the carrying value of property and equipment to reverse impairment losses which would not have been recorded under U.S. GAAP in prior periods, (iii) adjusting the depreciation expense for the year ended December 31, 2022 as a result of the increase in carrying value of property and equipment, and (iv) any related tax effects from the aforementioned adjustments:</w:t>
      </w:r>
    </w:p>
    <w:p>
      <w:pPr>
        <w:spacing w:after="0" w:line="194"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Pro forma Condensed Combined Statements of Operations</w:t>
            </w:r>
          </w:p>
        </w:tc>
        <w:tc>
          <w:tcPr>
            <w:tcW w:w="14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1"/>
              </w:rPr>
              <w:t>Year Ended December</w:t>
            </w:r>
          </w:p>
        </w:tc>
        <w:tc>
          <w:tcPr>
            <w:tcW w:w="0" w:type="dxa"/>
            <w:vAlign w:val="bottom"/>
          </w:tcPr>
          <w:p>
            <w:pPr>
              <w:spacing w:after="0"/>
              <w:rPr>
                <w:sz w:val="1"/>
                <w:szCs w:val="1"/>
                <w:color w:val="auto"/>
              </w:rPr>
            </w:pPr>
          </w:p>
        </w:tc>
      </w:tr>
      <w:tr>
        <w:trPr>
          <w:trHeight w:val="171"/>
        </w:trPr>
        <w:tc>
          <w:tcPr>
            <w:tcW w:w="604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31, 2022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Increase to depreciation and amortization</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40" w:type="dxa"/>
            <w:vAlign w:val="bottom"/>
          </w:tcPr>
          <w:p>
            <w:pPr>
              <w:spacing w:after="0" w:line="201" w:lineRule="exact"/>
              <w:rPr>
                <w:sz w:val="20"/>
                <w:szCs w:val="20"/>
                <w:color w:val="auto"/>
              </w:rPr>
            </w:pPr>
            <w:r>
              <w:rPr>
                <w:rFonts w:ascii="Arial" w:cs="Arial" w:eastAsia="Arial" w:hAnsi="Arial"/>
                <w:sz w:val="18"/>
                <w:szCs w:val="18"/>
                <w:color w:val="auto"/>
              </w:rPr>
              <w:t>Recognize historical impairment losses not incurred under IFRS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80"/>
              <w:spacing w:after="0"/>
              <w:rPr>
                <w:sz w:val="20"/>
                <w:szCs w:val="20"/>
                <w:color w:val="auto"/>
              </w:rPr>
            </w:pPr>
            <w:r>
              <w:rPr>
                <w:rFonts w:ascii="Arial" w:cs="Arial" w:eastAsia="Arial" w:hAnsi="Arial"/>
                <w:sz w:val="18"/>
                <w:szCs w:val="18"/>
                <w:color w:val="auto"/>
              </w:rPr>
              <w:t>impairment model</w:t>
            </w:r>
          </w:p>
        </w:tc>
        <w:tc>
          <w:tcPr>
            <w:tcW w:w="2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72,139</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Cumulative adjustment to income tax benefit (provision)</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6,697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Reflects conversion adjustments recorded for tax positions that are not probable to be sustained under IFRS upon a tax audit and would therefore be fully reserved under U.S. GAAP. Under IFRS, such tax positions are recorded at either a weighted average or the most likely outcome, whereas, under U.S. GAAP, such positions are fully reserved.</w:t>
      </w:r>
    </w:p>
    <w:p>
      <w:pPr>
        <w:sectPr>
          <w:pgSz w:w="11900" w:h="16838" w:orient="portrait"/>
          <w:cols w:equalWidth="0" w:num="1">
            <w:col w:w="10984"/>
          </w:cols>
          <w:pgMar w:left="436" w:top="274" w:right="479" w:bottom="1440" w:gutter="0" w:footer="0" w:header="0"/>
        </w:sectPr>
      </w:pPr>
    </w:p>
    <w:bookmarkStart w:id="23" w:name="page24"/>
    <w:bookmarkEnd w:id="2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 5. Noble Historical Pro Forma Results of Operations</w:t>
      </w:r>
    </w:p>
    <w:p>
      <w:pPr>
        <w:spacing w:after="0" w:line="121"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The following table provides for the Noble historical pro forma results of operations for the twelve months ended December 31, 2022 assuming the Rig Transaction had occurred on January 1, 2022.</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ind w:left="3904"/>
        <w:spacing w:after="0"/>
        <w:rPr>
          <w:sz w:val="20"/>
          <w:szCs w:val="20"/>
          <w:color w:val="auto"/>
        </w:rPr>
      </w:pPr>
      <w:r>
        <w:rPr>
          <w:rFonts w:ascii="Arial" w:cs="Arial" w:eastAsia="Arial" w:hAnsi="Arial"/>
          <w:sz w:val="18"/>
          <w:szCs w:val="18"/>
          <w:b w:val="1"/>
          <w:bCs w:val="1"/>
          <w:color w:val="auto"/>
        </w:rPr>
        <w:t>Twelve Months Ended December 31, 2022</w:t>
      </w:r>
    </w:p>
    <w:p>
      <w:pPr>
        <w:spacing w:after="0" w:line="9" w:lineRule="exact"/>
        <w:rPr>
          <w:sz w:val="20"/>
          <w:szCs w:val="20"/>
          <w:color w:val="auto"/>
        </w:rPr>
      </w:pPr>
    </w:p>
    <w:p>
      <w:pPr>
        <w:ind w:left="3944"/>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Noble</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Rig Transaction</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Noble Pro Forma</w:t>
            </w:r>
          </w:p>
        </w:tc>
        <w:tc>
          <w:tcPr>
            <w:tcW w:w="0" w:type="dxa"/>
            <w:vAlign w:val="bottom"/>
          </w:tcPr>
          <w:p>
            <w:pPr>
              <w:spacing w:after="0"/>
              <w:rPr>
                <w:sz w:val="1"/>
                <w:szCs w:val="1"/>
                <w:color w:val="auto"/>
              </w:rPr>
            </w:pPr>
          </w:p>
        </w:tc>
      </w:tr>
      <w:tr>
        <w:trPr>
          <w:trHeight w:val="148"/>
        </w:trPr>
        <w:tc>
          <w:tcPr>
            <w:tcW w:w="7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3"/>
              </w:rPr>
              <w:t>Accounting</w:t>
            </w:r>
          </w:p>
        </w:tc>
        <w:tc>
          <w:tcPr>
            <w:tcW w:w="16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Historical</w:t>
            </w: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4"/>
                <w:szCs w:val="14"/>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9"/>
              </w:rPr>
              <w:t>Adjustments</w:t>
            </w:r>
          </w:p>
        </w:tc>
        <w:tc>
          <w:tcPr>
            <w:tcW w:w="16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(Note 5)</w:t>
            </w:r>
          </w:p>
        </w:tc>
        <w:tc>
          <w:tcPr>
            <w:tcW w:w="0" w:type="dxa"/>
            <w:vAlign w:val="bottom"/>
          </w:tcPr>
          <w:p>
            <w:pPr>
              <w:spacing w:after="0"/>
              <w:rPr>
                <w:sz w:val="1"/>
                <w:szCs w:val="1"/>
                <w:color w:val="auto"/>
              </w:rPr>
            </w:pPr>
          </w:p>
        </w:tc>
      </w:tr>
      <w:tr>
        <w:trPr>
          <w:trHeight w:val="196"/>
        </w:trPr>
        <w:tc>
          <w:tcPr>
            <w:tcW w:w="7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Contract drilling services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1,332,841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(59,449) (a)(b)</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1,273,392</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Reimbursables and other</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81,006</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(5,323) (a)(c)</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75,683</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1,413,847</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(64,772)</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1,349,075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Contract drilling services</w:t>
            </w: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897,096</w:t>
            </w:r>
          </w:p>
        </w:tc>
        <w:tc>
          <w:tcPr>
            <w:tcW w:w="100" w:type="dxa"/>
            <w:vAlign w:val="bottom"/>
          </w:tcPr>
          <w:p>
            <w:pPr>
              <w:spacing w:after="0"/>
              <w:rPr>
                <w:sz w:val="18"/>
                <w:szCs w:val="18"/>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(59,413) (a)</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837,683</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Reimbursables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64,427</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(4,552) (a)</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59,875</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146,879</w:t>
            </w:r>
          </w:p>
        </w:tc>
        <w:tc>
          <w:tcPr>
            <w:tcW w:w="100" w:type="dxa"/>
            <w:vAlign w:val="bottom"/>
          </w:tcPr>
          <w:p>
            <w:pPr>
              <w:spacing w:after="0"/>
              <w:rPr>
                <w:sz w:val="18"/>
                <w:szCs w:val="18"/>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(16,016) (a)</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130,863</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82,177</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82,177</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Merger and integration costs</w:t>
            </w: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84,668</w:t>
            </w:r>
          </w:p>
        </w:tc>
        <w:tc>
          <w:tcPr>
            <w:tcW w:w="100" w:type="dxa"/>
            <w:vAlign w:val="bottom"/>
          </w:tcPr>
          <w:p>
            <w:pPr>
              <w:spacing w:after="0"/>
              <w:rPr>
                <w:sz w:val="18"/>
                <w:szCs w:val="18"/>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84,668</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operating assets, net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(90,230)</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(90,230)</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Hurricane losses and (recoveries), net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1,185,077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(79,981)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1,105,096</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228,770</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15,209</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243,979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Interest expense, net of amounts capitalized</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(42,722)</w:t>
            </w:r>
          </w:p>
        </w:tc>
        <w:tc>
          <w:tcPr>
            <w:tcW w:w="100" w:type="dxa"/>
            <w:vAlign w:val="bottom"/>
          </w:tcPr>
          <w:p>
            <w:pPr>
              <w:spacing w:after="0"/>
              <w:rPr>
                <w:sz w:val="18"/>
                <w:szCs w:val="18"/>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(42,722)</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Gain (loss) on extinguishment of debt, net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(8,912)</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(8,912)</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Interest income and other, net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14,365</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15,209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206,710</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(22,553)</w:t>
            </w:r>
          </w:p>
        </w:tc>
        <w:tc>
          <w:tcPr>
            <w:tcW w:w="10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(1,025) (d)</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(23,578)</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14,184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183,132</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Basic net income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85,055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85,055</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97,607</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97,607</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Rig Transaction</w:t>
      </w:r>
    </w:p>
    <w:p>
      <w:pPr>
        <w:spacing w:after="0" w:line="117" w:lineRule="exact"/>
        <w:rPr>
          <w:sz w:val="20"/>
          <w:szCs w:val="20"/>
          <w:color w:val="auto"/>
        </w:rPr>
      </w:pPr>
    </w:p>
    <w:p>
      <w:pPr>
        <w:jc w:val="both"/>
        <w:ind w:left="4" w:right="20" w:firstLine="440"/>
        <w:spacing w:after="0" w:line="277" w:lineRule="auto"/>
        <w:rPr>
          <w:sz w:val="20"/>
          <w:szCs w:val="20"/>
          <w:color w:val="auto"/>
        </w:rPr>
      </w:pPr>
      <w:r>
        <w:rPr>
          <w:rFonts w:ascii="Arial" w:cs="Arial" w:eastAsia="Arial" w:hAnsi="Arial"/>
          <w:sz w:val="18"/>
          <w:szCs w:val="18"/>
          <w:color w:val="auto"/>
        </w:rPr>
        <w:t>The adjustments outlined below reflect adjustments to Noble’s historical statements of operations for the twelve months ended December 31, 2022 assuming the Rig Transaction had occurred on January 1, 2022.</w:t>
      </w:r>
    </w:p>
    <w:p>
      <w:pPr>
        <w:spacing w:after="0" w:line="319" w:lineRule="exact"/>
        <w:rPr>
          <w:sz w:val="20"/>
          <w:szCs w:val="20"/>
          <w:color w:val="auto"/>
        </w:rPr>
      </w:pPr>
    </w:p>
    <w:p>
      <w:pPr>
        <w:ind w:left="424" w:hanging="424"/>
        <w:spacing w:after="0"/>
        <w:tabs>
          <w:tab w:leader="none" w:pos="424"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Rig Transaction historical activity</w:t>
      </w:r>
    </w:p>
    <w:p>
      <w:pPr>
        <w:spacing w:after="0" w:line="117" w:lineRule="exact"/>
        <w:rPr>
          <w:sz w:val="20"/>
          <w:szCs w:val="20"/>
          <w:color w:val="auto"/>
        </w:rPr>
      </w:pPr>
    </w:p>
    <w:p>
      <w:pPr>
        <w:ind w:left="4" w:right="280" w:firstLine="440"/>
        <w:spacing w:after="0" w:line="259" w:lineRule="auto"/>
        <w:rPr>
          <w:sz w:val="20"/>
          <w:szCs w:val="20"/>
          <w:color w:val="auto"/>
        </w:rPr>
      </w:pPr>
      <w:r>
        <w:rPr>
          <w:rFonts w:ascii="Arial" w:cs="Arial" w:eastAsia="Arial" w:hAnsi="Arial"/>
          <w:sz w:val="18"/>
          <w:szCs w:val="18"/>
          <w:color w:val="auto"/>
        </w:rPr>
        <w:t>Reflects the pro forma adjustments to eliminate the historical activity attributed to the disposed assets from the unaudited pro forma condensed combined statement of operations. The historical activity associated with the NLN Rig has not been eliminated as Noble is entitled to third-party contract drilling revenues and is responsible for third-party contract drilling expenses under the terms of NLN Charter Agreement with Shelf Drilling during the term of the agreement.</w:t>
      </w:r>
    </w:p>
    <w:p>
      <w:pPr>
        <w:sectPr>
          <w:pgSz w:w="11900" w:h="16838" w:orient="portrait"/>
          <w:cols w:equalWidth="0" w:num="1">
            <w:col w:w="11024"/>
          </w:cols>
          <w:pgMar w:left="436" w:top="270" w:right="439" w:bottom="1440" w:gutter="0" w:footer="0" w:header="0"/>
        </w:sectPr>
      </w:pPr>
    </w:p>
    <w:bookmarkStart w:id="24" w:name="page25"/>
    <w:bookmarkEnd w:id="24"/>
    <w:p>
      <w:pPr>
        <w:ind w:left="424" w:hanging="424"/>
        <w:spacing w:after="0"/>
        <w:tabs>
          <w:tab w:leader="none" w:pos="424"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Bareboat Charter</w:t>
      </w:r>
    </w:p>
    <w:p>
      <w:pPr>
        <w:spacing w:after="0" w:line="117"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color w:val="auto"/>
        </w:rPr>
        <w:t>Noble is required to remit a charter rate value related to the NLN Charter Agreement to Shelf Drilling in periods where the activities associated with the NLN Rig result in income. Assuming the Rig Transaction occurred on January 1, 2022 for pro forma purposes resulted in an estimated incremental charter rate value of $17.0 million for the twelve months ended December 31, 2022.</w:t>
      </w:r>
    </w:p>
    <w:p>
      <w:pPr>
        <w:spacing w:after="0" w:line="332" w:lineRule="exact"/>
        <w:rPr>
          <w:sz w:val="20"/>
          <w:szCs w:val="20"/>
          <w:color w:val="auto"/>
        </w:rPr>
      </w:pPr>
    </w:p>
    <w:p>
      <w:pPr>
        <w:ind w:left="424" w:hanging="424"/>
        <w:spacing w:after="0"/>
        <w:tabs>
          <w:tab w:leader="none" w:pos="424"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Transitional Service Charges</w:t>
      </w:r>
    </w:p>
    <w:p>
      <w:pPr>
        <w:spacing w:after="0" w:line="117" w:lineRule="exact"/>
        <w:rPr>
          <w:sz w:val="20"/>
          <w:szCs w:val="20"/>
          <w:color w:val="auto"/>
        </w:rPr>
      </w:pPr>
    </w:p>
    <w:p>
      <w:pPr>
        <w:ind w:left="4" w:firstLine="440"/>
        <w:spacing w:after="0" w:line="286" w:lineRule="auto"/>
        <w:rPr>
          <w:sz w:val="20"/>
          <w:szCs w:val="20"/>
          <w:color w:val="auto"/>
        </w:rPr>
      </w:pPr>
      <w:r>
        <w:rPr>
          <w:rFonts w:ascii="Arial" w:cs="Arial" w:eastAsia="Arial" w:hAnsi="Arial"/>
          <w:sz w:val="17"/>
          <w:szCs w:val="17"/>
          <w:color w:val="auto"/>
        </w:rPr>
        <w:t>This adjustment reflects the estimated $0.2 million of remaining revenue under Noble’s transitional services agreement with Shelf Drilling entered into upon completion of Rig Transaction for transitional services to be provided by Noble to Shelf Drilling after December 31, 2022. These transitional services are not expected to recur in any period beyond twelve months from the closing of the Rig Transaction.</w:t>
      </w:r>
    </w:p>
    <w:p>
      <w:pPr>
        <w:spacing w:after="0" w:line="314" w:lineRule="exact"/>
        <w:rPr>
          <w:sz w:val="20"/>
          <w:szCs w:val="20"/>
          <w:color w:val="auto"/>
        </w:rPr>
      </w:pPr>
    </w:p>
    <w:p>
      <w:pPr>
        <w:ind w:left="424" w:hanging="424"/>
        <w:spacing w:after="0"/>
        <w:tabs>
          <w:tab w:leader="none" w:pos="424"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Income tax</w:t>
      </w:r>
    </w:p>
    <w:p>
      <w:pPr>
        <w:spacing w:after="0" w:line="117" w:lineRule="exact"/>
        <w:rPr>
          <w:rFonts w:ascii="Arial" w:cs="Arial" w:eastAsia="Arial" w:hAnsi="Arial"/>
          <w:sz w:val="18"/>
          <w:szCs w:val="18"/>
          <w:i w:val="1"/>
          <w:iCs w:val="1"/>
          <w:color w:val="auto"/>
        </w:rPr>
      </w:pPr>
    </w:p>
    <w:p>
      <w:pPr>
        <w:ind w:left="444"/>
        <w:spacing w:after="0"/>
        <w:rPr>
          <w:rFonts w:ascii="Arial" w:cs="Arial" w:eastAsia="Arial" w:hAnsi="Arial"/>
          <w:sz w:val="18"/>
          <w:szCs w:val="18"/>
          <w:i w:val="1"/>
          <w:iCs w:val="1"/>
          <w:color w:val="auto"/>
        </w:rPr>
      </w:pPr>
      <w:r>
        <w:rPr>
          <w:rFonts w:ascii="Arial" w:cs="Arial" w:eastAsia="Arial" w:hAnsi="Arial"/>
          <w:sz w:val="18"/>
          <w:szCs w:val="18"/>
          <w:color w:val="auto"/>
        </w:rPr>
        <w:t>Reflects the pro forma adjustments to tax expense related to the Rig Transaction.</w:t>
      </w:r>
    </w:p>
    <w:sectPr>
      <w:pgSz w:w="11900" w:h="16838" w:orient="portrait"/>
      <w:cols w:equalWidth="0" w:num="1">
        <w:col w:w="10984"/>
      </w:cols>
      <w:pgMar w:left="436"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upperLetter"/>
      <w:start w:val="1"/>
    </w:lvl>
    <w:lvl w:ilvl="1">
      <w:lvlJc w:val="left"/>
      <w:lvlText w:val="(%2)"/>
      <w:numFmt w:val="lowerRoman"/>
      <w:start w:val="1"/>
    </w:lvl>
  </w:abstractNum>
  <w:abstractNum w:abstractNumId="12">
    <w:nsid w:val="431BD7B7"/>
    <w:multiLevelType w:val="hybridMultilevel"/>
    <w:lvl w:ilvl="0">
      <w:lvlJc w:val="left"/>
      <w:lvlText w:val="(%1)"/>
      <w:numFmt w:val="upperLetter"/>
      <w:start w:val="27"/>
    </w:lvl>
    <w:lvl w:ilvl="1">
      <w:lvlJc w:val="left"/>
      <w:lvlText w:val="%2"/>
      <w:numFmt w:val="lowerRoman"/>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upperLetter"/>
      <w:start w:val="1"/>
    </w:lvl>
  </w:abstractNum>
  <w:abstractNum w:abstractNumId="15">
    <w:nsid w:val="257130A3"/>
    <w:multiLevelType w:val="hybridMultilevel"/>
    <w:lvl w:ilvl="0">
      <w:lvlJc w:val="left"/>
      <w:lvlText w:val="(%1)"/>
      <w:numFmt w:val="upperLetter"/>
      <w:start w:val="2"/>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upperLetter"/>
      <w:start w:val="3"/>
    </w:lvl>
  </w:abstractNum>
  <w:abstractNum w:abstractNumId="18">
    <w:nsid w:val="628C895D"/>
    <w:multiLevelType w:val="hybridMultilevel"/>
    <w:lvl w:ilvl="0">
      <w:lvlJc w:val="left"/>
      <w:lvlText w:val="(%1)"/>
      <w:numFmt w:val="upperLetter"/>
      <w:start w:val="4"/>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Letter"/>
      <w:start w:val="2"/>
    </w:lvl>
  </w:abstractNum>
  <w:abstractNum w:abstractNumId="21">
    <w:nsid w:val="2443A858"/>
    <w:multiLevelType w:val="hybridMultilevel"/>
    <w:lvl w:ilvl="0">
      <w:lvlJc w:val="left"/>
      <w:lvlText w:val="(%1)"/>
      <w:numFmt w:val="lowerLetter"/>
      <w:start w:val="3"/>
    </w:lvl>
  </w:abstractNum>
  <w:abstractNum w:abstractNumId="22">
    <w:nsid w:val="2D1D5AE9"/>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2023-03-17T05:25:42Z</dcterms:created>
  <dcterms:modified xsi:type="dcterms:W3CDTF">2023-03-17T05:25:42Z</dcterms:modified>
</cp:coreProperties>
</file>