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233680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SCHEDULE 14A INFORMATION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Proxy Statement Pursuant to Section 14(a) of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224790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4"/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4"/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25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under § 240.14a-12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Noble Corporation plc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 of Registrant as Specified in its Charter)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 of Person(s) Filing Proxy Statement, if other than the Registrant)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all boxes that apply):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</w:t>
      </w:r>
    </w:p>
    <w:p>
      <w:pPr>
        <w:spacing w:after="0" w:line="25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220980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36" w:right="1440" w:bottom="1440" w:gutter="0" w:footer="0" w:header="0"/>
        </w:sectPr>
      </w:pPr>
    </w:p>
    <w:bookmarkStart w:id="1" w:name="page2"/>
    <w:bookmarkEnd w:id="1"/>
    <w:p>
      <w:pPr>
        <w:jc w:val="center"/>
        <w:ind w:right="-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6686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REGISTRATION FORM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-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Noble Corporation plc’s Annual General Meeting May 21, 2024 at 10:00 AM CT / 5:00 PM (CEST)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-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at NobleAdvances Training &amp; Collaboration, 12550 Reed Rd. Suite 200, Sugar Land, TX 77478, USA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-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holders of shares of Noble Corporation plc listed on Nasdaq Copenhagen A/S ONLY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I, the Undersigned: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 of shareholder: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1405890</wp:posOffset>
            </wp:positionH>
            <wp:positionV relativeFrom="paragraph">
              <wp:posOffset>8890</wp:posOffset>
            </wp:positionV>
            <wp:extent cx="3985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Address: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1405890</wp:posOffset>
            </wp:positionH>
            <wp:positionV relativeFrom="paragraph">
              <wp:posOffset>8890</wp:posOffset>
            </wp:positionV>
            <wp:extent cx="39858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Postal code and city: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1405890</wp:posOffset>
            </wp:positionH>
            <wp:positionV relativeFrom="paragraph">
              <wp:posOffset>8890</wp:posOffset>
            </wp:positionV>
            <wp:extent cx="39858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Country: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1405890</wp:posOffset>
            </wp:positionH>
            <wp:positionV relativeFrom="paragraph">
              <wp:posOffset>8890</wp:posOffset>
            </wp:positionV>
            <wp:extent cx="39858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Custody account no. or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VP reference no.: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1405890</wp:posOffset>
            </wp:positionH>
            <wp:positionV relativeFrom="paragraph">
              <wp:posOffset>-130175</wp:posOffset>
            </wp:positionV>
            <wp:extent cx="398589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tick below or register your participation directly at www.euronext.com/agm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6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 wish to participate in the annual general meeting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944"/>
        <w:spacing w:after="0"/>
        <w:tabs>
          <w:tab w:leader="none" w:pos="2244" w:val="left"/>
          <w:tab w:leader="none" w:pos="2564" w:val="left"/>
          <w:tab w:leader="none" w:pos="28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2 </w:t>
        <w:tab/>
        <w:t>0 </w:t>
        <w:tab/>
        <w:t>2 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4 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213995</wp:posOffset>
            </wp:positionH>
            <wp:positionV relativeFrom="paragraph">
              <wp:posOffset>-118745</wp:posOffset>
            </wp:positionV>
            <wp:extent cx="6780530" cy="154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0530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0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213995</wp:posOffset>
            </wp:positionH>
            <wp:positionV relativeFrom="paragraph">
              <wp:posOffset>12065</wp:posOffset>
            </wp:positionV>
            <wp:extent cx="1765935" cy="2228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935" cy="22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1944"/>
        <w:spacing w:after="0"/>
        <w:tabs>
          <w:tab w:leader="none" w:pos="2244" w:val="left"/>
          <w:tab w:leader="none" w:pos="2564" w:val="left"/>
          <w:tab w:leader="none" w:pos="28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2 </w:t>
        <w:tab/>
        <w:t>0 </w:t>
        <w:tab/>
        <w:t>2 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4 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2442845</wp:posOffset>
            </wp:positionH>
            <wp:positionV relativeFrom="paragraph">
              <wp:posOffset>8890</wp:posOffset>
            </wp:positionV>
            <wp:extent cx="455168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6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 (Joint Owners)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4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This registration form must be received by Euronext Securities, Nicolai Eigtveds Gade 8, DK-1402 Copenhagen K, no later than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May 19,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2024 11.59 PM ET ( May 20, 2024 5:59 AM CEST) </w:t>
      </w:r>
      <w:r>
        <w:rPr>
          <w:rFonts w:ascii="Arial" w:cs="Arial" w:eastAsia="Arial" w:hAnsi="Arial"/>
          <w:sz w:val="18"/>
          <w:szCs w:val="18"/>
          <w:color w:val="auto"/>
        </w:rPr>
        <w:t>either by e-mail: cph-investor@euronext.com or by returning this form by post.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 xml:space="preserve">Registration can also take place electronically on the website of Euronext Securities at </w:t>
      </w:r>
      <w:r>
        <w:rPr>
          <w:rFonts w:ascii="Arial" w:cs="Arial" w:eastAsia="Arial" w:hAnsi="Arial"/>
          <w:sz w:val="18"/>
          <w:szCs w:val="18"/>
          <w:u w:val="single" w:color="auto"/>
          <w:color w:val="0000FF"/>
        </w:rPr>
        <w:t>www.euronext.com/cph-agm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sectPr>
      <w:pgSz w:w="11900" w:h="16838" w:orient="portrait"/>
      <w:cols w:equalWidth="0" w:num="1">
        <w:col w:w="10844"/>
      </w:cols>
      <w:pgMar w:left="436" w:top="1390" w:right="6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2024-04-10T15:20:14Z</dcterms:created>
  <dcterms:modified xsi:type="dcterms:W3CDTF">2024-04-10T15:20:14Z</dcterms:modified>
</cp:coreProperties>
</file>