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6"/>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466090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25" w:lineRule="exact"/>
        <w:rPr>
          <w:sz w:val="24"/>
          <w:szCs w:val="24"/>
          <w:color w:val="auto"/>
        </w:rPr>
      </w:pPr>
    </w:p>
    <w:p>
      <w:pPr>
        <w:jc w:val="center"/>
        <w:ind w:right="-1116"/>
        <w:spacing w:after="0"/>
        <w:rPr>
          <w:sz w:val="20"/>
          <w:szCs w:val="20"/>
          <w:color w:val="auto"/>
        </w:rPr>
      </w:pPr>
      <w:r>
        <w:rPr>
          <w:rFonts w:ascii="Arial" w:cs="Arial" w:eastAsia="Arial" w:hAnsi="Arial"/>
          <w:sz w:val="22"/>
          <w:szCs w:val="22"/>
          <w:b w:val="1"/>
          <w:bCs w:val="1"/>
          <w:color w:val="auto"/>
        </w:rPr>
        <w:t>SECURITIES AND EXCHANGE COMMISSION</w:t>
      </w:r>
    </w:p>
    <w:p>
      <w:pPr>
        <w:spacing w:after="0" w:line="10" w:lineRule="exact"/>
        <w:rPr>
          <w:sz w:val="24"/>
          <w:szCs w:val="24"/>
          <w:color w:val="auto"/>
        </w:rPr>
      </w:pPr>
    </w:p>
    <w:p>
      <w:pPr>
        <w:ind w:left="4816"/>
        <w:spacing w:after="0"/>
        <w:rPr>
          <w:sz w:val="20"/>
          <w:szCs w:val="20"/>
          <w:color w:val="auto"/>
        </w:rPr>
      </w:pPr>
      <w:r>
        <w:rPr>
          <w:rFonts w:ascii="Arial" w:cs="Arial" w:eastAsia="Arial" w:hAnsi="Arial"/>
          <w:sz w:val="14"/>
          <w:szCs w:val="14"/>
          <w:b w:val="1"/>
          <w:bCs w:val="1"/>
          <w:color w:val="auto"/>
        </w:rPr>
        <w:t>Washington, D.C. 20549</w:t>
      </w:r>
    </w:p>
    <w:p>
      <w:pPr>
        <w:spacing w:after="0" w:line="3" w:lineRule="exact"/>
        <w:rPr>
          <w:sz w:val="24"/>
          <w:szCs w:val="24"/>
          <w:color w:val="auto"/>
        </w:rPr>
      </w:pPr>
    </w:p>
    <w:p>
      <w:pPr>
        <w:ind w:left="4796"/>
        <w:spacing w:after="0"/>
        <w:rPr>
          <w:sz w:val="20"/>
          <w:szCs w:val="20"/>
          <w:color w:val="auto"/>
        </w:rPr>
      </w:pPr>
      <w:r>
        <w:rPr>
          <w:rFonts w:ascii="Arial" w:cs="Arial" w:eastAsia="Arial" w:hAnsi="Arial"/>
          <w:sz w:val="7"/>
          <w:szCs w:val="7"/>
          <w:b w:val="1"/>
          <w:bCs w:val="1"/>
          <w:color w:val="auto"/>
        </w:rPr>
        <w:t>__________________________________________</w:t>
      </w:r>
    </w:p>
    <w:p>
      <w:pPr>
        <w:spacing w:after="0" w:line="60" w:lineRule="exact"/>
        <w:rPr>
          <w:sz w:val="24"/>
          <w:szCs w:val="24"/>
          <w:color w:val="auto"/>
        </w:rPr>
      </w:pPr>
    </w:p>
    <w:p>
      <w:pPr>
        <w:jc w:val="center"/>
        <w:ind w:right="-1096"/>
        <w:spacing w:after="0"/>
        <w:rPr>
          <w:sz w:val="20"/>
          <w:szCs w:val="20"/>
          <w:color w:val="auto"/>
        </w:rPr>
      </w:pPr>
      <w:r>
        <w:rPr>
          <w:rFonts w:ascii="Arial" w:cs="Arial" w:eastAsia="Arial" w:hAnsi="Arial"/>
          <w:sz w:val="22"/>
          <w:szCs w:val="22"/>
          <w:b w:val="1"/>
          <w:bCs w:val="1"/>
          <w:color w:val="auto"/>
        </w:rPr>
        <w:t>FORM 8-K</w:t>
      </w:r>
    </w:p>
    <w:p>
      <w:pPr>
        <w:spacing w:after="0" w:line="29" w:lineRule="exact"/>
        <w:rPr>
          <w:sz w:val="24"/>
          <w:szCs w:val="24"/>
          <w:color w:val="auto"/>
        </w:rPr>
      </w:pPr>
    </w:p>
    <w:p>
      <w:pPr>
        <w:ind w:left="4796"/>
        <w:spacing w:after="0"/>
        <w:rPr>
          <w:sz w:val="20"/>
          <w:szCs w:val="20"/>
          <w:color w:val="auto"/>
        </w:rPr>
      </w:pPr>
      <w:r>
        <w:rPr>
          <w:rFonts w:ascii="Arial" w:cs="Arial" w:eastAsia="Arial" w:hAnsi="Arial"/>
          <w:sz w:val="7"/>
          <w:szCs w:val="7"/>
          <w:b w:val="1"/>
          <w:bCs w:val="1"/>
          <w:color w:val="auto"/>
        </w:rPr>
        <w:t>__________________________________________</w:t>
      </w:r>
    </w:p>
    <w:p>
      <w:pPr>
        <w:spacing w:after="0" w:line="160" w:lineRule="exact"/>
        <w:rPr>
          <w:sz w:val="24"/>
          <w:szCs w:val="24"/>
          <w:color w:val="auto"/>
        </w:rPr>
      </w:pPr>
    </w:p>
    <w:p>
      <w:pPr>
        <w:jc w:val="center"/>
        <w:ind w:right="-1116"/>
        <w:spacing w:after="0"/>
        <w:rPr>
          <w:sz w:val="20"/>
          <w:szCs w:val="20"/>
          <w:color w:val="auto"/>
        </w:rPr>
      </w:pPr>
      <w:r>
        <w:rPr>
          <w:rFonts w:ascii="Arial" w:cs="Arial" w:eastAsia="Arial" w:hAnsi="Arial"/>
          <w:sz w:val="14"/>
          <w:szCs w:val="14"/>
          <w:b w:val="1"/>
          <w:bCs w:val="1"/>
          <w:color w:val="auto"/>
        </w:rPr>
        <w:t>CURRENT REPORT</w:t>
      </w:r>
    </w:p>
    <w:p>
      <w:pPr>
        <w:spacing w:after="0" w:line="28" w:lineRule="exact"/>
        <w:rPr>
          <w:sz w:val="24"/>
          <w:szCs w:val="24"/>
          <w:color w:val="auto"/>
        </w:rPr>
      </w:pPr>
    </w:p>
    <w:p>
      <w:pPr>
        <w:jc w:val="center"/>
        <w:ind w:right="-1116"/>
        <w:spacing w:after="0"/>
        <w:rPr>
          <w:sz w:val="20"/>
          <w:szCs w:val="20"/>
          <w:color w:val="auto"/>
        </w:rPr>
      </w:pPr>
      <w:r>
        <w:rPr>
          <w:rFonts w:ascii="Arial" w:cs="Arial" w:eastAsia="Arial" w:hAnsi="Arial"/>
          <w:sz w:val="14"/>
          <w:szCs w:val="14"/>
          <w:b w:val="1"/>
          <w:bCs w:val="1"/>
          <w:color w:val="auto"/>
        </w:rPr>
        <w:t>Pursuant to Section 13 or 15(d)</w:t>
      </w:r>
    </w:p>
    <w:p>
      <w:pPr>
        <w:spacing w:after="0" w:line="10" w:lineRule="exact"/>
        <w:rPr>
          <w:sz w:val="24"/>
          <w:szCs w:val="24"/>
          <w:color w:val="auto"/>
        </w:rPr>
      </w:pPr>
    </w:p>
    <w:p>
      <w:pPr>
        <w:jc w:val="center"/>
        <w:ind w:right="-1116"/>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45" w:lineRule="exact"/>
        <w:rPr>
          <w:sz w:val="24"/>
          <w:szCs w:val="24"/>
          <w:color w:val="auto"/>
        </w:rPr>
      </w:pPr>
    </w:p>
    <w:p>
      <w:pPr>
        <w:jc w:val="center"/>
        <w:ind w:right="-1116"/>
        <w:spacing w:after="0"/>
        <w:rPr>
          <w:sz w:val="20"/>
          <w:szCs w:val="20"/>
          <w:color w:val="auto"/>
        </w:rPr>
      </w:pPr>
      <w:r>
        <w:rPr>
          <w:rFonts w:ascii="Arial" w:cs="Arial" w:eastAsia="Arial" w:hAnsi="Arial"/>
          <w:sz w:val="14"/>
          <w:szCs w:val="14"/>
          <w:b w:val="1"/>
          <w:bCs w:val="1"/>
          <w:color w:val="auto"/>
        </w:rPr>
        <w:t>Date of report (date of earliest event reported): October 31, 2023</w:t>
      </w:r>
    </w:p>
    <w:p>
      <w:pPr>
        <w:spacing w:after="0" w:line="21" w:lineRule="exact"/>
        <w:rPr>
          <w:sz w:val="24"/>
          <w:szCs w:val="24"/>
          <w:color w:val="auto"/>
        </w:rPr>
      </w:pPr>
    </w:p>
    <w:p>
      <w:pPr>
        <w:ind w:left="4796"/>
        <w:spacing w:after="0"/>
        <w:rPr>
          <w:sz w:val="20"/>
          <w:szCs w:val="20"/>
          <w:color w:val="auto"/>
        </w:rPr>
      </w:pPr>
      <w:r>
        <w:rPr>
          <w:rFonts w:ascii="Arial" w:cs="Arial" w:eastAsia="Arial" w:hAnsi="Arial"/>
          <w:sz w:val="7"/>
          <w:szCs w:val="7"/>
          <w:b w:val="1"/>
          <w:bCs w:val="1"/>
          <w:color w:val="auto"/>
        </w:rPr>
        <w:t>__________________________________________</w:t>
      </w:r>
    </w:p>
    <w:p>
      <w:pPr>
        <w:spacing w:after="0" w:line="48" w:lineRule="exact"/>
        <w:rPr>
          <w:sz w:val="24"/>
          <w:szCs w:val="24"/>
          <w:color w:val="auto"/>
        </w:rPr>
      </w:pPr>
    </w:p>
    <w:p>
      <w:pPr>
        <w:jc w:val="center"/>
        <w:ind w:right="-1116"/>
        <w:spacing w:after="0"/>
        <w:rPr>
          <w:sz w:val="20"/>
          <w:szCs w:val="20"/>
          <w:color w:val="auto"/>
        </w:rPr>
      </w:pPr>
      <w:r>
        <w:rPr>
          <w:rFonts w:ascii="Arial" w:cs="Arial" w:eastAsia="Arial" w:hAnsi="Arial"/>
          <w:sz w:val="29"/>
          <w:szCs w:val="29"/>
          <w:b w:val="1"/>
          <w:bCs w:val="1"/>
          <w:color w:val="auto"/>
        </w:rPr>
        <w:t>NOBLE CORPORATION plc</w:t>
      </w:r>
    </w:p>
    <w:p>
      <w:pPr>
        <w:spacing w:after="0" w:line="44" w:lineRule="exact"/>
        <w:rPr>
          <w:sz w:val="24"/>
          <w:szCs w:val="24"/>
          <w:color w:val="auto"/>
        </w:rPr>
      </w:pPr>
    </w:p>
    <w:p>
      <w:pPr>
        <w:ind w:left="4156"/>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73" w:lineRule="exact"/>
        <w:rPr>
          <w:sz w:val="24"/>
          <w:szCs w:val="24"/>
          <w:color w:val="auto"/>
        </w:rPr>
      </w:pPr>
    </w:p>
    <w:tbl>
      <w:tblPr>
        <w:tblLayout w:type="fixed"/>
        <w:tblInd w:w="2776" w:type="dxa"/>
        <w:tblCellMar>
          <w:top w:w="0" w:type="dxa"/>
          <w:left w:w="0" w:type="dxa"/>
          <w:bottom w:w="0" w:type="dxa"/>
          <w:right w:w="0" w:type="dxa"/>
        </w:tblCellMar>
      </w:tblPr>
      <w:tr>
        <w:trPr>
          <w:trHeight w:val="167"/>
        </w:trPr>
        <w:tc>
          <w:tcPr>
            <w:tcW w:w="2300" w:type="dxa"/>
            <w:vAlign w:val="bottom"/>
          </w:tcPr>
          <w:p>
            <w:pPr>
              <w:jc w:val="center"/>
              <w:ind w:right="246"/>
              <w:spacing w:after="0"/>
              <w:rPr>
                <w:sz w:val="20"/>
                <w:szCs w:val="20"/>
                <w:color w:val="auto"/>
              </w:rPr>
            </w:pPr>
            <w:r>
              <w:rPr>
                <w:rFonts w:ascii="Arial" w:cs="Arial" w:eastAsia="Arial" w:hAnsi="Arial"/>
                <w:sz w:val="12"/>
                <w:szCs w:val="12"/>
                <w:b w:val="1"/>
                <w:bCs w:val="1"/>
                <w:color w:val="auto"/>
                <w:w w:val="98"/>
              </w:rPr>
              <w:t>England and Wales</w:t>
            </w:r>
          </w:p>
        </w:tc>
        <w:tc>
          <w:tcPr>
            <w:tcW w:w="500" w:type="dxa"/>
            <w:vAlign w:val="bottom"/>
          </w:tcPr>
          <w:p>
            <w:pPr>
              <w:spacing w:after="0"/>
              <w:rPr>
                <w:sz w:val="14"/>
                <w:szCs w:val="14"/>
                <w:color w:val="auto"/>
              </w:rPr>
            </w:pPr>
          </w:p>
        </w:tc>
        <w:tc>
          <w:tcPr>
            <w:tcW w:w="1020" w:type="dxa"/>
            <w:vAlign w:val="bottom"/>
          </w:tcPr>
          <w:p>
            <w:pPr>
              <w:jc w:val="right"/>
              <w:ind w:right="280"/>
              <w:spacing w:after="0"/>
              <w:rPr>
                <w:sz w:val="20"/>
                <w:szCs w:val="20"/>
                <w:color w:val="auto"/>
              </w:rPr>
            </w:pPr>
            <w:r>
              <w:rPr>
                <w:rFonts w:ascii="Arial" w:cs="Arial" w:eastAsia="Arial" w:hAnsi="Arial"/>
                <w:sz w:val="12"/>
                <w:szCs w:val="12"/>
                <w:b w:val="1"/>
                <w:bCs w:val="1"/>
                <w:color w:val="auto"/>
              </w:rPr>
              <w:t>001-41520</w:t>
            </w:r>
          </w:p>
        </w:tc>
        <w:tc>
          <w:tcPr>
            <w:tcW w:w="420" w:type="dxa"/>
            <w:vAlign w:val="bottom"/>
          </w:tcPr>
          <w:p>
            <w:pPr>
              <w:spacing w:after="0"/>
              <w:rPr>
                <w:sz w:val="14"/>
                <w:szCs w:val="14"/>
                <w:color w:val="auto"/>
              </w:rPr>
            </w:pPr>
          </w:p>
        </w:tc>
        <w:tc>
          <w:tcPr>
            <w:tcW w:w="1600" w:type="dxa"/>
            <w:vAlign w:val="bottom"/>
          </w:tcPr>
          <w:p>
            <w:pPr>
              <w:jc w:val="right"/>
              <w:ind w:right="406"/>
              <w:spacing w:after="0"/>
              <w:rPr>
                <w:sz w:val="20"/>
                <w:szCs w:val="20"/>
                <w:color w:val="auto"/>
              </w:rPr>
            </w:pPr>
            <w:r>
              <w:rPr>
                <w:rFonts w:ascii="Arial" w:cs="Arial" w:eastAsia="Arial" w:hAnsi="Arial"/>
                <w:sz w:val="12"/>
                <w:szCs w:val="12"/>
                <w:b w:val="1"/>
                <w:bCs w:val="1"/>
                <w:color w:val="auto"/>
              </w:rPr>
              <w:t>98-1644664</w:t>
            </w:r>
          </w:p>
        </w:tc>
      </w:tr>
      <w:tr>
        <w:trPr>
          <w:trHeight w:val="161"/>
        </w:trPr>
        <w:tc>
          <w:tcPr>
            <w:tcW w:w="2300" w:type="dxa"/>
            <w:vAlign w:val="bottom"/>
          </w:tcPr>
          <w:p>
            <w:pPr>
              <w:jc w:val="center"/>
              <w:ind w:right="246"/>
              <w:spacing w:after="0"/>
              <w:rPr>
                <w:sz w:val="20"/>
                <w:szCs w:val="20"/>
                <w:color w:val="auto"/>
              </w:rPr>
            </w:pPr>
            <w:r>
              <w:rPr>
                <w:rFonts w:ascii="Arial" w:cs="Arial" w:eastAsia="Arial" w:hAnsi="Arial"/>
                <w:sz w:val="10"/>
                <w:szCs w:val="10"/>
                <w:b w:val="1"/>
                <w:bCs w:val="1"/>
                <w:color w:val="auto"/>
                <w:w w:val="96"/>
              </w:rPr>
              <w:t>(State or other jurisdiction of incorporation)</w:t>
            </w:r>
          </w:p>
        </w:tc>
        <w:tc>
          <w:tcPr>
            <w:tcW w:w="1520" w:type="dxa"/>
            <w:vAlign w:val="bottom"/>
            <w:gridSpan w:val="2"/>
          </w:tcPr>
          <w:p>
            <w:pPr>
              <w:jc w:val="center"/>
              <w:ind w:left="212"/>
              <w:spacing w:after="0"/>
              <w:rPr>
                <w:sz w:val="20"/>
                <w:szCs w:val="20"/>
                <w:color w:val="auto"/>
              </w:rPr>
            </w:pPr>
            <w:r>
              <w:rPr>
                <w:rFonts w:ascii="Arial" w:cs="Arial" w:eastAsia="Arial" w:hAnsi="Arial"/>
                <w:sz w:val="10"/>
                <w:szCs w:val="10"/>
                <w:b w:val="1"/>
                <w:bCs w:val="1"/>
                <w:color w:val="auto"/>
                <w:w w:val="95"/>
              </w:rPr>
              <w:t>(Commission file number)</w:t>
            </w:r>
          </w:p>
        </w:tc>
        <w:tc>
          <w:tcPr>
            <w:tcW w:w="4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0"/>
                <w:szCs w:val="10"/>
                <w:b w:val="1"/>
                <w:bCs w:val="1"/>
                <w:color w:val="auto"/>
                <w:w w:val="96"/>
              </w:rPr>
              <w:t>(I.R.S. employer identification no.)</w:t>
            </w:r>
          </w:p>
        </w:tc>
      </w:tr>
      <w:tr>
        <w:trPr>
          <w:trHeight w:val="263"/>
        </w:trPr>
        <w:tc>
          <w:tcPr>
            <w:tcW w:w="2800" w:type="dxa"/>
            <w:vAlign w:val="bottom"/>
            <w:gridSpan w:val="2"/>
          </w:tcPr>
          <w:p>
            <w:pPr>
              <w:ind w:left="940"/>
              <w:spacing w:after="0"/>
              <w:rPr>
                <w:sz w:val="20"/>
                <w:szCs w:val="20"/>
                <w:color w:val="auto"/>
              </w:rPr>
            </w:pPr>
            <w:r>
              <w:rPr>
                <w:rFonts w:ascii="Arial" w:cs="Arial" w:eastAsia="Arial" w:hAnsi="Arial"/>
                <w:sz w:val="12"/>
                <w:szCs w:val="12"/>
                <w:b w:val="1"/>
                <w:bCs w:val="1"/>
                <w:color w:val="auto"/>
              </w:rPr>
              <w:t>13135 Dairy Ashford, Suite 800,</w:t>
            </w:r>
          </w:p>
        </w:tc>
        <w:tc>
          <w:tcPr>
            <w:tcW w:w="1020" w:type="dxa"/>
            <w:vAlign w:val="bottom"/>
          </w:tcPr>
          <w:p>
            <w:pPr>
              <w:ind w:left="140"/>
              <w:spacing w:after="0"/>
              <w:rPr>
                <w:sz w:val="20"/>
                <w:szCs w:val="20"/>
                <w:color w:val="auto"/>
              </w:rPr>
            </w:pPr>
            <w:r>
              <w:rPr>
                <w:rFonts w:ascii="Arial" w:cs="Arial" w:eastAsia="Arial" w:hAnsi="Arial"/>
                <w:sz w:val="12"/>
                <w:szCs w:val="12"/>
                <w:b w:val="1"/>
                <w:bCs w:val="1"/>
                <w:color w:val="auto"/>
              </w:rPr>
              <w:t>Sugar Land,</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Texas</w:t>
            </w:r>
          </w:p>
        </w:tc>
        <w:tc>
          <w:tcPr>
            <w:tcW w:w="1600" w:type="dxa"/>
            <w:vAlign w:val="bottom"/>
          </w:tcPr>
          <w:p>
            <w:pPr>
              <w:jc w:val="right"/>
              <w:ind w:right="966"/>
              <w:spacing w:after="0"/>
              <w:rPr>
                <w:sz w:val="20"/>
                <w:szCs w:val="20"/>
                <w:color w:val="auto"/>
              </w:rPr>
            </w:pPr>
            <w:r>
              <w:rPr>
                <w:rFonts w:ascii="Arial" w:cs="Arial" w:eastAsia="Arial" w:hAnsi="Arial"/>
                <w:sz w:val="12"/>
                <w:szCs w:val="12"/>
                <w:b w:val="1"/>
                <w:bCs w:val="1"/>
                <w:color w:val="auto"/>
              </w:rPr>
              <w:t>77478</w:t>
            </w:r>
          </w:p>
        </w:tc>
      </w:tr>
      <w:tr>
        <w:trPr>
          <w:trHeight w:val="133"/>
        </w:trPr>
        <w:tc>
          <w:tcPr>
            <w:tcW w:w="3820" w:type="dxa"/>
            <w:vAlign w:val="bottom"/>
            <w:gridSpan w:val="3"/>
          </w:tcPr>
          <w:p>
            <w:pPr>
              <w:ind w:left="1660"/>
              <w:spacing w:after="0"/>
              <w:rPr>
                <w:sz w:val="20"/>
                <w:szCs w:val="20"/>
                <w:color w:val="auto"/>
              </w:rPr>
            </w:pPr>
            <w:r>
              <w:rPr>
                <w:rFonts w:ascii="Arial" w:cs="Arial" w:eastAsia="Arial" w:hAnsi="Arial"/>
                <w:sz w:val="10"/>
                <w:szCs w:val="10"/>
                <w:b w:val="1"/>
                <w:bCs w:val="1"/>
                <w:color w:val="auto"/>
              </w:rPr>
              <w:t>(Address of principal executive offices)</w:t>
            </w:r>
          </w:p>
        </w:tc>
        <w:tc>
          <w:tcPr>
            <w:tcW w:w="420" w:type="dxa"/>
            <w:vAlign w:val="bottom"/>
          </w:tcPr>
          <w:p>
            <w:pPr>
              <w:spacing w:after="0"/>
              <w:rPr>
                <w:sz w:val="11"/>
                <w:szCs w:val="11"/>
                <w:color w:val="auto"/>
              </w:rPr>
            </w:pPr>
          </w:p>
        </w:tc>
        <w:tc>
          <w:tcPr>
            <w:tcW w:w="1600" w:type="dxa"/>
            <w:vAlign w:val="bottom"/>
          </w:tcPr>
          <w:p>
            <w:pPr>
              <w:jc w:val="center"/>
              <w:ind w:right="706"/>
              <w:spacing w:after="0"/>
              <w:rPr>
                <w:sz w:val="20"/>
                <w:szCs w:val="20"/>
                <w:color w:val="auto"/>
              </w:rPr>
            </w:pPr>
            <w:r>
              <w:rPr>
                <w:rFonts w:ascii="Arial" w:cs="Arial" w:eastAsia="Arial" w:hAnsi="Arial"/>
                <w:sz w:val="10"/>
                <w:szCs w:val="10"/>
                <w:b w:val="1"/>
                <w:bCs w:val="1"/>
                <w:color w:val="auto"/>
                <w:w w:val="91"/>
              </w:rPr>
              <w:t>(Zip code)</w:t>
            </w:r>
          </w:p>
        </w:tc>
      </w:tr>
    </w:tbl>
    <w:p>
      <w:pPr>
        <w:spacing w:after="0" w:line="95" w:lineRule="exact"/>
        <w:rPr>
          <w:sz w:val="24"/>
          <w:szCs w:val="24"/>
          <w:color w:val="auto"/>
        </w:rPr>
      </w:pPr>
    </w:p>
    <w:p>
      <w:pPr>
        <w:jc w:val="center"/>
        <w:ind w:right="-1116"/>
        <w:spacing w:after="0"/>
        <w:rPr>
          <w:sz w:val="20"/>
          <w:szCs w:val="20"/>
          <w:color w:val="auto"/>
        </w:rPr>
      </w:pPr>
      <w:r>
        <w:rPr>
          <w:rFonts w:ascii="Arial" w:cs="Arial" w:eastAsia="Arial" w:hAnsi="Arial"/>
          <w:sz w:val="12"/>
          <w:szCs w:val="12"/>
          <w:b w:val="1"/>
          <w:bCs w:val="1"/>
          <w:color w:val="auto"/>
        </w:rPr>
        <w:t>Registrant’s telephone number, including area code: 281 276-6100</w:t>
      </w:r>
    </w:p>
    <w:p>
      <w:pPr>
        <w:spacing w:after="0" w:line="46" w:lineRule="exact"/>
        <w:rPr>
          <w:sz w:val="24"/>
          <w:szCs w:val="24"/>
          <w:color w:val="auto"/>
        </w:rPr>
      </w:pPr>
    </w:p>
    <w:p>
      <w:pPr>
        <w:ind w:left="4796"/>
        <w:spacing w:after="0"/>
        <w:rPr>
          <w:sz w:val="20"/>
          <w:szCs w:val="20"/>
          <w:color w:val="auto"/>
        </w:rPr>
      </w:pPr>
      <w:r>
        <w:rPr>
          <w:rFonts w:ascii="Arial" w:cs="Arial" w:eastAsia="Arial" w:hAnsi="Arial"/>
          <w:sz w:val="7"/>
          <w:szCs w:val="7"/>
          <w:b w:val="1"/>
          <w:bCs w:val="1"/>
          <w:color w:val="auto"/>
        </w:rPr>
        <w:t>__________________________________________</w:t>
      </w:r>
    </w:p>
    <w:p>
      <w:pPr>
        <w:spacing w:after="0" w:line="247" w:lineRule="exact"/>
        <w:rPr>
          <w:sz w:val="24"/>
          <w:szCs w:val="24"/>
          <w:color w:val="auto"/>
        </w:rPr>
      </w:pPr>
    </w:p>
    <w:p>
      <w:pPr>
        <w:ind w:left="2576" w:right="1459"/>
        <w:spacing w:after="0" w:line="233" w:lineRule="auto"/>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2976" w:hanging="398"/>
        <w:spacing w:after="0"/>
        <w:tabs>
          <w:tab w:leader="none" w:pos="2976" w:val="left"/>
        </w:tabs>
        <w:numPr>
          <w:ilvl w:val="1"/>
          <w:numId w:val="1"/>
        </w:numPr>
        <w:rPr>
          <w:rFonts w:ascii="MS PGothic" w:cs="MS PGothic" w:eastAsia="MS PGothic" w:hAnsi="MS PGothic"/>
          <w:sz w:val="12"/>
          <w:szCs w:val="12"/>
          <w:color w:val="auto"/>
        </w:rPr>
      </w:pPr>
      <w:r>
        <w:rPr>
          <w:rFonts w:ascii="Arial" w:cs="Arial" w:eastAsia="Arial" w:hAnsi="Arial"/>
          <w:sz w:val="11"/>
          <w:szCs w:val="11"/>
          <w:color w:val="auto"/>
        </w:rPr>
        <w:t>Written communications pursuant to Rule 425 under the Securities Act (17 CFR 230.425)</w:t>
      </w:r>
    </w:p>
    <w:p>
      <w:pPr>
        <w:spacing w:after="0" w:line="170" w:lineRule="exact"/>
        <w:rPr>
          <w:rFonts w:ascii="MS PGothic" w:cs="MS PGothic" w:eastAsia="MS PGothic" w:hAnsi="MS PGothic"/>
          <w:sz w:val="12"/>
          <w:szCs w:val="12"/>
          <w:color w:val="auto"/>
        </w:rPr>
      </w:pPr>
    </w:p>
    <w:p>
      <w:pPr>
        <w:ind w:left="2976" w:hanging="398"/>
        <w:spacing w:after="0"/>
        <w:tabs>
          <w:tab w:leader="none" w:pos="2976" w:val="left"/>
        </w:tabs>
        <w:numPr>
          <w:ilvl w:val="1"/>
          <w:numId w:val="1"/>
        </w:numPr>
        <w:rPr>
          <w:rFonts w:ascii="MS PGothic" w:cs="MS PGothic" w:eastAsia="MS PGothic" w:hAnsi="MS PGothic"/>
          <w:sz w:val="12"/>
          <w:szCs w:val="12"/>
          <w:color w:val="auto"/>
        </w:rPr>
      </w:pPr>
      <w:r>
        <w:rPr>
          <w:rFonts w:ascii="Arial" w:cs="Arial" w:eastAsia="Arial" w:hAnsi="Arial"/>
          <w:sz w:val="11"/>
          <w:szCs w:val="11"/>
          <w:color w:val="auto"/>
        </w:rPr>
        <w:t>Soliciting material pursuant to Rule 14a-12 under the Exchange Act (17 CFR 240.14a-12)</w:t>
      </w:r>
    </w:p>
    <w:p>
      <w:pPr>
        <w:spacing w:after="0" w:line="125" w:lineRule="exact"/>
        <w:rPr>
          <w:rFonts w:ascii="MS PGothic" w:cs="MS PGothic" w:eastAsia="MS PGothic" w:hAnsi="MS PGothic"/>
          <w:sz w:val="12"/>
          <w:szCs w:val="12"/>
          <w:color w:val="auto"/>
        </w:rPr>
      </w:pPr>
    </w:p>
    <w:p>
      <w:pPr>
        <w:ind w:left="396" w:hanging="396"/>
        <w:spacing w:after="0"/>
        <w:tabs>
          <w:tab w:leader="none" w:pos="396"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14d-2(b) under the Exchange Act (17 CFR 240.14d-2(b))</w:t>
      </w:r>
    </w:p>
    <w:p>
      <w:pPr>
        <w:spacing w:after="0" w:line="33" w:lineRule="exact"/>
        <w:rPr>
          <w:rFonts w:ascii="MS PGothic" w:cs="MS PGothic" w:eastAsia="MS PGothic" w:hAnsi="MS PGothic"/>
          <w:sz w:val="12"/>
          <w:szCs w:val="12"/>
          <w:color w:val="auto"/>
        </w:rPr>
      </w:pPr>
    </w:p>
    <w:p>
      <w:pPr>
        <w:ind w:left="396" w:hanging="396"/>
        <w:spacing w:after="0" w:line="202" w:lineRule="auto"/>
        <w:tabs>
          <w:tab w:leader="none" w:pos="396" w:val="left"/>
        </w:tabs>
        <w:numPr>
          <w:ilvl w:val="0"/>
          <w:numId w:val="1"/>
        </w:numPr>
        <w:rPr>
          <w:rFonts w:ascii="MS PGothic" w:cs="MS PGothic" w:eastAsia="MS PGothic" w:hAnsi="MS PGothic"/>
          <w:sz w:val="24"/>
          <w:szCs w:val="24"/>
          <w:color w:val="auto"/>
          <w:vertAlign w:val="subscript"/>
        </w:rPr>
      </w:pPr>
      <w:r>
        <w:rPr>
          <w:rFonts w:ascii="Arial" w:cs="Arial" w:eastAsia="Arial" w:hAnsi="Arial"/>
          <w:sz w:val="11"/>
          <w:szCs w:val="11"/>
          <w:color w:val="auto"/>
        </w:rPr>
        <w:t>Pre-commencement communications pursuant to Rule 13e-4(c) under the Exchange Act (17 CFR 240.13e-4(c))</w:t>
      </w:r>
    </w:p>
    <w:p>
      <w:pPr>
        <w:spacing w:after="0" w:line="259" w:lineRule="exact"/>
        <w:rPr>
          <w:sz w:val="24"/>
          <w:szCs w:val="24"/>
          <w:color w:val="auto"/>
        </w:rPr>
      </w:pPr>
    </w:p>
    <w:p>
      <w:pPr>
        <w:ind w:left="4276"/>
        <w:spacing w:after="0"/>
        <w:rPr>
          <w:sz w:val="20"/>
          <w:szCs w:val="20"/>
          <w:color w:val="auto"/>
        </w:rPr>
      </w:pPr>
      <w:r>
        <w:rPr>
          <w:rFonts w:ascii="Arial" w:cs="Arial" w:eastAsia="Arial" w:hAnsi="Arial"/>
          <w:sz w:val="11"/>
          <w:szCs w:val="11"/>
          <w:color w:val="auto"/>
        </w:rPr>
        <w:t>Securities registered pursuant to Section 12(b) of the Act:</w:t>
      </w:r>
    </w:p>
    <w:p>
      <w:pPr>
        <w:spacing w:after="0" w:line="27" w:lineRule="exact"/>
        <w:rPr>
          <w:sz w:val="24"/>
          <w:szCs w:val="24"/>
          <w:color w:val="auto"/>
        </w:rPr>
      </w:pPr>
    </w:p>
    <w:tbl>
      <w:tblPr>
        <w:tblLayout w:type="fixed"/>
        <w:tblInd w:w="2676" w:type="dxa"/>
        <w:tblCellMar>
          <w:top w:w="0" w:type="dxa"/>
          <w:left w:w="0" w:type="dxa"/>
          <w:bottom w:w="0" w:type="dxa"/>
          <w:right w:w="0" w:type="dxa"/>
        </w:tblCellMar>
      </w:tblPr>
      <w:tr>
        <w:trPr>
          <w:trHeight w:val="138"/>
        </w:trPr>
        <w:tc>
          <w:tcPr>
            <w:tcW w:w="2420" w:type="dxa"/>
            <w:vAlign w:val="bottom"/>
            <w:vMerge w:val="restart"/>
          </w:tcPr>
          <w:p>
            <w:pPr>
              <w:jc w:val="center"/>
              <w:ind w:right="151"/>
              <w:spacing w:after="0"/>
              <w:rPr>
                <w:sz w:val="20"/>
                <w:szCs w:val="20"/>
                <w:color w:val="auto"/>
              </w:rPr>
            </w:pPr>
            <w:r>
              <w:rPr>
                <w:rFonts w:ascii="Arial" w:cs="Arial" w:eastAsia="Arial" w:hAnsi="Arial"/>
                <w:sz w:val="11"/>
                <w:szCs w:val="11"/>
                <w:color w:val="auto"/>
                <w:w w:val="97"/>
              </w:rPr>
              <w:t>Title of each class</w:t>
            </w:r>
          </w:p>
        </w:tc>
        <w:tc>
          <w:tcPr>
            <w:tcW w:w="1280" w:type="dxa"/>
            <w:vAlign w:val="bottom"/>
            <w:vMerge w:val="restart"/>
          </w:tcPr>
          <w:p>
            <w:pPr>
              <w:jc w:val="center"/>
              <w:ind w:left="11"/>
              <w:spacing w:after="0"/>
              <w:rPr>
                <w:sz w:val="20"/>
                <w:szCs w:val="20"/>
                <w:color w:val="auto"/>
              </w:rPr>
            </w:pPr>
            <w:r>
              <w:rPr>
                <w:rFonts w:ascii="Arial" w:cs="Arial" w:eastAsia="Arial" w:hAnsi="Arial"/>
                <w:sz w:val="11"/>
                <w:szCs w:val="11"/>
                <w:color w:val="auto"/>
                <w:w w:val="95"/>
              </w:rPr>
              <w:t>Trading Symbol(s)</w:t>
            </w:r>
          </w:p>
        </w:tc>
        <w:tc>
          <w:tcPr>
            <w:tcW w:w="2320" w:type="dxa"/>
            <w:vAlign w:val="bottom"/>
          </w:tcPr>
          <w:p>
            <w:pPr>
              <w:jc w:val="center"/>
              <w:ind w:left="131"/>
              <w:spacing w:after="0"/>
              <w:rPr>
                <w:sz w:val="20"/>
                <w:szCs w:val="20"/>
                <w:color w:val="auto"/>
              </w:rPr>
            </w:pPr>
            <w:r>
              <w:rPr>
                <w:rFonts w:ascii="Arial" w:cs="Arial" w:eastAsia="Arial" w:hAnsi="Arial"/>
                <w:sz w:val="11"/>
                <w:szCs w:val="11"/>
                <w:color w:val="auto"/>
                <w:w w:val="98"/>
              </w:rPr>
              <w:t>Name of each exchange on which registered</w:t>
            </w:r>
          </w:p>
        </w:tc>
        <w:tc>
          <w:tcPr>
            <w:tcW w:w="0" w:type="dxa"/>
            <w:vAlign w:val="bottom"/>
          </w:tcPr>
          <w:p>
            <w:pPr>
              <w:spacing w:after="0"/>
              <w:rPr>
                <w:sz w:val="1"/>
                <w:szCs w:val="1"/>
                <w:color w:val="auto"/>
              </w:rPr>
            </w:pPr>
          </w:p>
        </w:tc>
      </w:tr>
      <w:tr>
        <w:trPr>
          <w:trHeight w:val="108"/>
        </w:trPr>
        <w:tc>
          <w:tcPr>
            <w:tcW w:w="24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420" w:type="dxa"/>
            <w:vAlign w:val="bottom"/>
          </w:tcPr>
          <w:p>
            <w:pPr>
              <w:jc w:val="center"/>
              <w:ind w:right="171"/>
              <w:spacing w:after="0"/>
              <w:rPr>
                <w:sz w:val="20"/>
                <w:szCs w:val="20"/>
                <w:color w:val="auto"/>
              </w:rPr>
            </w:pPr>
            <w:r>
              <w:rPr>
                <w:rFonts w:ascii="Arial" w:cs="Arial" w:eastAsia="Arial" w:hAnsi="Arial"/>
                <w:sz w:val="10"/>
                <w:szCs w:val="10"/>
                <w:b w:val="1"/>
                <w:bCs w:val="1"/>
                <w:color w:val="auto"/>
                <w:w w:val="95"/>
              </w:rPr>
              <w:t>A Ordinary Shares, par value $0.00001 per share</w:t>
            </w:r>
          </w:p>
        </w:tc>
        <w:tc>
          <w:tcPr>
            <w:tcW w:w="1280" w:type="dxa"/>
            <w:vAlign w:val="bottom"/>
          </w:tcPr>
          <w:p>
            <w:pPr>
              <w:jc w:val="center"/>
              <w:ind w:left="11"/>
              <w:spacing w:after="0"/>
              <w:rPr>
                <w:sz w:val="20"/>
                <w:szCs w:val="20"/>
                <w:color w:val="auto"/>
              </w:rPr>
            </w:pPr>
            <w:r>
              <w:rPr>
                <w:rFonts w:ascii="Arial" w:cs="Arial" w:eastAsia="Arial" w:hAnsi="Arial"/>
                <w:sz w:val="10"/>
                <w:szCs w:val="10"/>
                <w:b w:val="1"/>
                <w:bCs w:val="1"/>
                <w:color w:val="auto"/>
              </w:rPr>
              <w:t>NE</w:t>
            </w:r>
          </w:p>
        </w:tc>
        <w:tc>
          <w:tcPr>
            <w:tcW w:w="2320" w:type="dxa"/>
            <w:vAlign w:val="bottom"/>
          </w:tcPr>
          <w:p>
            <w:pPr>
              <w:jc w:val="center"/>
              <w:ind w:left="151"/>
              <w:spacing w:after="0"/>
              <w:rPr>
                <w:sz w:val="20"/>
                <w:szCs w:val="20"/>
                <w:color w:val="auto"/>
              </w:rPr>
            </w:pPr>
            <w:r>
              <w:rPr>
                <w:rFonts w:ascii="Arial" w:cs="Arial" w:eastAsia="Arial" w:hAnsi="Arial"/>
                <w:sz w:val="10"/>
                <w:szCs w:val="10"/>
                <w:b w:val="1"/>
                <w:bCs w:val="1"/>
                <w:color w:val="auto"/>
                <w:w w:val="95"/>
              </w:rPr>
              <w:t>New York Stock Exchange</w:t>
            </w:r>
          </w:p>
        </w:tc>
        <w:tc>
          <w:tcPr>
            <w:tcW w:w="0" w:type="dxa"/>
            <w:vAlign w:val="bottom"/>
          </w:tcPr>
          <w:p>
            <w:pPr>
              <w:spacing w:after="0"/>
              <w:rPr>
                <w:sz w:val="1"/>
                <w:szCs w:val="1"/>
                <w:color w:val="auto"/>
              </w:rPr>
            </w:pPr>
          </w:p>
        </w:tc>
      </w:tr>
      <w:tr>
        <w:trPr>
          <w:trHeight w:val="144"/>
        </w:trPr>
        <w:tc>
          <w:tcPr>
            <w:tcW w:w="2420" w:type="dxa"/>
            <w:vAlign w:val="bottom"/>
          </w:tcPr>
          <w:p>
            <w:pPr>
              <w:jc w:val="center"/>
              <w:ind w:right="171"/>
              <w:spacing w:after="0"/>
              <w:rPr>
                <w:sz w:val="20"/>
                <w:szCs w:val="20"/>
                <w:color w:val="auto"/>
              </w:rPr>
            </w:pPr>
            <w:r>
              <w:rPr>
                <w:rFonts w:ascii="Arial" w:cs="Arial" w:eastAsia="Arial" w:hAnsi="Arial"/>
                <w:sz w:val="10"/>
                <w:szCs w:val="10"/>
                <w:b w:val="1"/>
                <w:bCs w:val="1"/>
                <w:color w:val="auto"/>
                <w:w w:val="95"/>
              </w:rPr>
              <w:t>Tranche 1 Warrants of Noble Corporation plc</w:t>
            </w:r>
          </w:p>
        </w:tc>
        <w:tc>
          <w:tcPr>
            <w:tcW w:w="1280" w:type="dxa"/>
            <w:vAlign w:val="bottom"/>
          </w:tcPr>
          <w:p>
            <w:pPr>
              <w:jc w:val="center"/>
              <w:ind w:left="11"/>
              <w:spacing w:after="0"/>
              <w:rPr>
                <w:sz w:val="20"/>
                <w:szCs w:val="20"/>
                <w:color w:val="auto"/>
              </w:rPr>
            </w:pPr>
            <w:r>
              <w:rPr>
                <w:rFonts w:ascii="Arial" w:cs="Arial" w:eastAsia="Arial" w:hAnsi="Arial"/>
                <w:sz w:val="10"/>
                <w:szCs w:val="10"/>
                <w:b w:val="1"/>
                <w:bCs w:val="1"/>
                <w:color w:val="auto"/>
                <w:w w:val="91"/>
              </w:rPr>
              <w:t>NE WS</w:t>
            </w:r>
          </w:p>
        </w:tc>
        <w:tc>
          <w:tcPr>
            <w:tcW w:w="2320" w:type="dxa"/>
            <w:vAlign w:val="bottom"/>
          </w:tcPr>
          <w:p>
            <w:pPr>
              <w:jc w:val="center"/>
              <w:ind w:left="151"/>
              <w:spacing w:after="0"/>
              <w:rPr>
                <w:sz w:val="20"/>
                <w:szCs w:val="20"/>
                <w:color w:val="auto"/>
              </w:rPr>
            </w:pPr>
            <w:r>
              <w:rPr>
                <w:rFonts w:ascii="Arial" w:cs="Arial" w:eastAsia="Arial" w:hAnsi="Arial"/>
                <w:sz w:val="10"/>
                <w:szCs w:val="10"/>
                <w:b w:val="1"/>
                <w:bCs w:val="1"/>
                <w:color w:val="auto"/>
                <w:w w:val="95"/>
              </w:rPr>
              <w:t>New York Stock Exchange</w:t>
            </w:r>
          </w:p>
        </w:tc>
        <w:tc>
          <w:tcPr>
            <w:tcW w:w="0" w:type="dxa"/>
            <w:vAlign w:val="bottom"/>
          </w:tcPr>
          <w:p>
            <w:pPr>
              <w:spacing w:after="0"/>
              <w:rPr>
                <w:sz w:val="1"/>
                <w:szCs w:val="1"/>
                <w:color w:val="auto"/>
              </w:rPr>
            </w:pPr>
          </w:p>
        </w:tc>
      </w:tr>
      <w:tr>
        <w:trPr>
          <w:trHeight w:val="144"/>
        </w:trPr>
        <w:tc>
          <w:tcPr>
            <w:tcW w:w="2420" w:type="dxa"/>
            <w:vAlign w:val="bottom"/>
          </w:tcPr>
          <w:p>
            <w:pPr>
              <w:jc w:val="center"/>
              <w:ind w:right="171"/>
              <w:spacing w:after="0"/>
              <w:rPr>
                <w:sz w:val="20"/>
                <w:szCs w:val="20"/>
                <w:color w:val="auto"/>
              </w:rPr>
            </w:pPr>
            <w:r>
              <w:rPr>
                <w:rFonts w:ascii="Arial" w:cs="Arial" w:eastAsia="Arial" w:hAnsi="Arial"/>
                <w:sz w:val="10"/>
                <w:szCs w:val="10"/>
                <w:b w:val="1"/>
                <w:bCs w:val="1"/>
                <w:color w:val="auto"/>
                <w:w w:val="95"/>
              </w:rPr>
              <w:t>Tranche 2 Warrants of Noble Corporation plc</w:t>
            </w:r>
          </w:p>
        </w:tc>
        <w:tc>
          <w:tcPr>
            <w:tcW w:w="1280" w:type="dxa"/>
            <w:vAlign w:val="bottom"/>
          </w:tcPr>
          <w:p>
            <w:pPr>
              <w:jc w:val="center"/>
              <w:ind w:left="11"/>
              <w:spacing w:after="0"/>
              <w:rPr>
                <w:sz w:val="20"/>
                <w:szCs w:val="20"/>
                <w:color w:val="auto"/>
              </w:rPr>
            </w:pPr>
            <w:r>
              <w:rPr>
                <w:rFonts w:ascii="Arial" w:cs="Arial" w:eastAsia="Arial" w:hAnsi="Arial"/>
                <w:sz w:val="10"/>
                <w:szCs w:val="10"/>
                <w:b w:val="1"/>
                <w:bCs w:val="1"/>
                <w:color w:val="auto"/>
                <w:w w:val="94"/>
              </w:rPr>
              <w:t>NE WSA</w:t>
            </w:r>
          </w:p>
        </w:tc>
        <w:tc>
          <w:tcPr>
            <w:tcW w:w="2320" w:type="dxa"/>
            <w:vAlign w:val="bottom"/>
          </w:tcPr>
          <w:p>
            <w:pPr>
              <w:jc w:val="center"/>
              <w:ind w:left="151"/>
              <w:spacing w:after="0"/>
              <w:rPr>
                <w:sz w:val="20"/>
                <w:szCs w:val="20"/>
                <w:color w:val="auto"/>
              </w:rPr>
            </w:pPr>
            <w:r>
              <w:rPr>
                <w:rFonts w:ascii="Arial" w:cs="Arial" w:eastAsia="Arial" w:hAnsi="Arial"/>
                <w:sz w:val="10"/>
                <w:szCs w:val="10"/>
                <w:b w:val="1"/>
                <w:bCs w:val="1"/>
                <w:color w:val="auto"/>
                <w:w w:val="95"/>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2576" w:right="1619"/>
        <w:spacing w:after="0" w:line="233" w:lineRule="auto"/>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4936"/>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33" w:lineRule="exact"/>
        <w:rPr>
          <w:sz w:val="24"/>
          <w:szCs w:val="24"/>
          <w:color w:val="auto"/>
        </w:rPr>
      </w:pPr>
    </w:p>
    <w:p>
      <w:pPr>
        <w:ind w:left="2576" w:right="1459"/>
        <w:spacing w:after="0" w:line="131"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436880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5"/>
          </w:cols>
          <w:pgMar w:left="304" w:top="863" w:right="1440" w:bottom="1440" w:gutter="0" w:footer="0" w:header="0"/>
        </w:sectPr>
      </w:pPr>
    </w:p>
    <w:bookmarkStart w:id="1" w:name="page2"/>
    <w:bookmarkEnd w:id="1"/>
    <w:p>
      <w:pPr>
        <w:ind w:left="1440"/>
        <w:spacing w:after="0"/>
        <w:tabs>
          <w:tab w:leader="none" w:pos="210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414655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t>Item 2.02.</w:t>
      </w:r>
      <w:r>
        <w:rPr>
          <w:sz w:val="20"/>
          <w:szCs w:val="20"/>
          <w:color w:val="auto"/>
        </w:rPr>
        <w:tab/>
      </w:r>
      <w:r>
        <w:rPr>
          <w:rFonts w:ascii="Arial" w:cs="Arial" w:eastAsia="Arial" w:hAnsi="Arial"/>
          <w:sz w:val="12"/>
          <w:szCs w:val="12"/>
          <w:b w:val="1"/>
          <w:bCs w:val="1"/>
          <w:color w:val="auto"/>
        </w:rPr>
        <w:t>Results of Operations and Financial Condition.</w:t>
      </w:r>
    </w:p>
    <w:p>
      <w:pPr>
        <w:spacing w:after="0" w:line="93" w:lineRule="exact"/>
        <w:rPr>
          <w:sz w:val="20"/>
          <w:szCs w:val="20"/>
          <w:color w:val="auto"/>
        </w:rPr>
      </w:pPr>
    </w:p>
    <w:p>
      <w:pPr>
        <w:jc w:val="both"/>
        <w:ind w:left="1440" w:right="1459" w:firstLine="297"/>
        <w:spacing w:after="0" w:line="218" w:lineRule="auto"/>
        <w:rPr>
          <w:sz w:val="20"/>
          <w:szCs w:val="20"/>
          <w:color w:val="auto"/>
        </w:rPr>
      </w:pPr>
      <w:r>
        <w:rPr>
          <w:rFonts w:ascii="Arial" w:cs="Arial" w:eastAsia="Arial" w:hAnsi="Arial"/>
          <w:sz w:val="12"/>
          <w:szCs w:val="12"/>
          <w:color w:val="auto"/>
        </w:rPr>
        <w:t>On October 31, 2023, Noble Corporation plc (the “Company”) issued a press release announcing its condensed consolidated financial results for the quarter ended September 30, 2023. A copy of such press release</w:t>
      </w:r>
    </w:p>
    <w:p>
      <w:pPr>
        <w:jc w:val="both"/>
        <w:ind w:left="1440" w:right="1459"/>
        <w:spacing w:after="0" w:line="227" w:lineRule="auto"/>
        <w:rPr>
          <w:sz w:val="20"/>
          <w:szCs w:val="20"/>
          <w:color w:val="auto"/>
        </w:rPr>
      </w:pPr>
      <w:r>
        <w:rPr>
          <w:rFonts w:ascii="Arial" w:cs="Arial" w:eastAsia="Arial" w:hAnsi="Arial"/>
          <w:sz w:val="12"/>
          <w:szCs w:val="12"/>
          <w:color w:val="auto"/>
        </w:rPr>
        <w:t>is included as Exhibit 99.1 and will be published in the “Investors” section on the Company’s website at www.noblecorp.com.</w:t>
      </w:r>
    </w:p>
    <w:p>
      <w:pPr>
        <w:spacing w:after="0" w:line="145" w:lineRule="exact"/>
        <w:rPr>
          <w:sz w:val="20"/>
          <w:szCs w:val="20"/>
          <w:color w:val="auto"/>
        </w:rPr>
      </w:pPr>
    </w:p>
    <w:p>
      <w:pPr>
        <w:jc w:val="both"/>
        <w:ind w:left="1440" w:right="1459" w:firstLine="297"/>
        <w:spacing w:after="0" w:line="234" w:lineRule="auto"/>
        <w:rPr>
          <w:sz w:val="20"/>
          <w:szCs w:val="20"/>
          <w:color w:val="auto"/>
        </w:rPr>
      </w:pPr>
      <w:r>
        <w:rPr>
          <w:rFonts w:ascii="Arial" w:cs="Arial" w:eastAsia="Arial" w:hAnsi="Arial"/>
          <w:sz w:val="12"/>
          <w:szCs w:val="12"/>
          <w:color w:val="auto"/>
        </w:rPr>
        <w:t>Pursuant to the rules and regulations of the Securities and Exchange Commission, the press release is being furnished and shall not be deemed to be “filed” under the Securities Exchange Act of 1934.</w:t>
      </w:r>
    </w:p>
    <w:p>
      <w:pPr>
        <w:spacing w:after="0" w:line="139"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156" w:lineRule="exact"/>
        <w:rPr>
          <w:sz w:val="20"/>
          <w:szCs w:val="20"/>
          <w:color w:val="auto"/>
        </w:rPr>
      </w:pPr>
    </w:p>
    <w:p>
      <w:pPr>
        <w:jc w:val="both"/>
        <w:ind w:left="1440" w:right="1459" w:firstLine="297"/>
        <w:spacing w:after="0" w:line="218" w:lineRule="auto"/>
        <w:rPr>
          <w:sz w:val="20"/>
          <w:szCs w:val="20"/>
          <w:color w:val="auto"/>
        </w:rPr>
      </w:pPr>
      <w:r>
        <w:rPr>
          <w:rFonts w:ascii="Arial" w:cs="Arial" w:eastAsia="Arial" w:hAnsi="Arial"/>
          <w:sz w:val="12"/>
          <w:szCs w:val="12"/>
          <w:color w:val="auto"/>
        </w:rPr>
        <w:t>On November 1, 2023, the President and Chief Executive Officer of Noble Corporation plc (NYSE: NE), Robert W. Eifler, together with other executive officers, plan to announce Noble Corporation plc's earnings for the</w:t>
      </w:r>
    </w:p>
    <w:p>
      <w:pPr>
        <w:jc w:val="both"/>
        <w:ind w:left="1440" w:right="1459"/>
        <w:spacing w:after="0" w:line="219" w:lineRule="auto"/>
        <w:rPr>
          <w:sz w:val="20"/>
          <w:szCs w:val="20"/>
          <w:color w:val="auto"/>
        </w:rPr>
      </w:pPr>
      <w:r>
        <w:rPr>
          <w:rFonts w:ascii="Arial" w:cs="Arial" w:eastAsia="Arial" w:hAnsi="Arial"/>
          <w:sz w:val="12"/>
          <w:szCs w:val="12"/>
          <w:color w:val="auto"/>
        </w:rPr>
        <w:t>quarter ended September 30, 2023 via teleconference, which will be open to the public and broadcast live over the internet. A copy of the slide presentation used in connection with the teleconference is attached as Exhibit 99.2 and is incorporated by reference into this item.</w:t>
      </w:r>
    </w:p>
    <w:p>
      <w:pPr>
        <w:spacing w:after="0" w:line="46" w:lineRule="exact"/>
        <w:rPr>
          <w:sz w:val="20"/>
          <w:szCs w:val="20"/>
          <w:color w:val="auto"/>
        </w:rPr>
      </w:pPr>
    </w:p>
    <w:p>
      <w:pPr>
        <w:jc w:val="both"/>
        <w:ind w:left="1440" w:right="1459" w:firstLine="297"/>
        <w:spacing w:after="0" w:line="234" w:lineRule="auto"/>
        <w:rPr>
          <w:sz w:val="20"/>
          <w:szCs w:val="20"/>
          <w:color w:val="auto"/>
        </w:rPr>
      </w:pPr>
      <w:r>
        <w:rPr>
          <w:rFonts w:ascii="Arial" w:cs="Arial" w:eastAsia="Arial" w:hAnsi="Arial"/>
          <w:sz w:val="12"/>
          <w:szCs w:val="12"/>
          <w:color w:val="auto"/>
        </w:rPr>
        <w:t>Pursuant to the rules and regulations of the Securities and Exchange Commission, the slide presentation is being furnished and shall not be deemed to be “filed” under the Securities Exchange Act of 1934.</w:t>
      </w:r>
    </w:p>
    <w:p>
      <w:pPr>
        <w:spacing w:after="0" w:line="364" w:lineRule="exact"/>
        <w:rPr>
          <w:sz w:val="20"/>
          <w:szCs w:val="20"/>
          <w:color w:val="auto"/>
        </w:rPr>
      </w:pPr>
    </w:p>
    <w:p>
      <w:pPr>
        <w:ind w:left="1540"/>
        <w:spacing w:after="0"/>
        <w:tabs>
          <w:tab w:leader="none" w:pos="220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93" w:lineRule="exact"/>
        <w:rPr>
          <w:sz w:val="20"/>
          <w:szCs w:val="20"/>
          <w:color w:val="auto"/>
        </w:rPr>
      </w:pPr>
    </w:p>
    <w:tbl>
      <w:tblPr>
        <w:tblLayout w:type="fixed"/>
        <w:tblInd w:w="1540" w:type="dxa"/>
        <w:tblCellMar>
          <w:top w:w="0" w:type="dxa"/>
          <w:left w:w="0" w:type="dxa"/>
          <w:bottom w:w="0" w:type="dxa"/>
          <w:right w:w="0" w:type="dxa"/>
        </w:tblCellMar>
      </w:tblPr>
      <w:tr>
        <w:trPr>
          <w:trHeight w:val="153"/>
        </w:trPr>
        <w:tc>
          <w:tcPr>
            <w:tcW w:w="540" w:type="dxa"/>
            <w:vAlign w:val="bottom"/>
          </w:tcPr>
          <w:p>
            <w:pPr>
              <w:spacing w:after="0"/>
              <w:rPr>
                <w:sz w:val="13"/>
                <w:szCs w:val="13"/>
                <w:color w:val="auto"/>
              </w:rPr>
            </w:pPr>
          </w:p>
        </w:tc>
        <w:tc>
          <w:tcPr>
            <w:tcW w:w="440" w:type="dxa"/>
            <w:vAlign w:val="bottom"/>
          </w:tcPr>
          <w:p>
            <w:pPr>
              <w:ind w:left="220"/>
              <w:spacing w:after="0"/>
              <w:rPr>
                <w:sz w:val="20"/>
                <w:szCs w:val="20"/>
                <w:color w:val="auto"/>
              </w:rPr>
            </w:pPr>
            <w:r>
              <w:rPr>
                <w:rFonts w:ascii="Arial" w:cs="Arial" w:eastAsia="Arial" w:hAnsi="Arial"/>
                <w:sz w:val="12"/>
                <w:szCs w:val="12"/>
                <w:color w:val="auto"/>
              </w:rPr>
              <w:t>(d)</w:t>
            </w:r>
          </w:p>
        </w:tc>
        <w:tc>
          <w:tcPr>
            <w:tcW w:w="2920" w:type="dxa"/>
            <w:vAlign w:val="bottom"/>
            <w:gridSpan w:val="2"/>
          </w:tcPr>
          <w:p>
            <w:pPr>
              <w:ind w:left="60"/>
              <w:spacing w:after="0"/>
              <w:rPr>
                <w:sz w:val="20"/>
                <w:szCs w:val="20"/>
                <w:color w:val="auto"/>
              </w:rPr>
            </w:pPr>
            <w:r>
              <w:rPr>
                <w:rFonts w:ascii="Arial" w:cs="Arial" w:eastAsia="Arial" w:hAnsi="Arial"/>
                <w:sz w:val="12"/>
                <w:szCs w:val="12"/>
                <w:color w:val="auto"/>
              </w:rPr>
              <w:t>Exhibits</w:t>
            </w:r>
          </w:p>
        </w:tc>
      </w:tr>
      <w:tr>
        <w:trPr>
          <w:trHeight w:val="246"/>
        </w:trPr>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2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32"/>
        </w:trPr>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w w:val="98"/>
              </w:rPr>
              <w:t>NUMBER</w:t>
            </w:r>
          </w:p>
        </w:tc>
        <w:tc>
          <w:tcPr>
            <w:tcW w:w="440" w:type="dxa"/>
            <w:vAlign w:val="bottom"/>
          </w:tcPr>
          <w:p>
            <w:pPr>
              <w:spacing w:after="0"/>
              <w:rPr>
                <w:sz w:val="11"/>
                <w:szCs w:val="11"/>
                <w:color w:val="auto"/>
              </w:rPr>
            </w:pPr>
          </w:p>
        </w:tc>
        <w:tc>
          <w:tcPr>
            <w:tcW w:w="2920" w:type="dxa"/>
            <w:vAlign w:val="bottom"/>
            <w:gridSpan w:val="2"/>
          </w:tcPr>
          <w:p>
            <w:pPr>
              <w:ind w:left="2100"/>
              <w:spacing w:after="0" w:line="132" w:lineRule="exact"/>
              <w:rPr>
                <w:sz w:val="20"/>
                <w:szCs w:val="20"/>
                <w:color w:val="auto"/>
              </w:rPr>
            </w:pPr>
            <w:r>
              <w:rPr>
                <w:rFonts w:ascii="Arial" w:cs="Arial" w:eastAsia="Arial" w:hAnsi="Arial"/>
                <w:sz w:val="12"/>
                <w:szCs w:val="12"/>
                <w:b w:val="1"/>
                <w:bCs w:val="1"/>
                <w:color w:val="auto"/>
                <w:w w:val="97"/>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45" w:lineRule="exact"/>
        <w:rPr>
          <w:sz w:val="20"/>
          <w:szCs w:val="20"/>
          <w:color w:val="auto"/>
        </w:rPr>
      </w:pPr>
    </w:p>
    <w:p>
      <w:pPr>
        <w:ind w:left="1540" w:right="2919"/>
        <w:spacing w:after="0" w:line="313" w:lineRule="auto"/>
        <w:rPr>
          <w:sz w:val="20"/>
          <w:szCs w:val="20"/>
          <w:color w:val="auto"/>
        </w:rPr>
      </w:pPr>
      <w:r>
        <w:rPr>
          <w:rFonts w:ascii="Arial" w:cs="Arial" w:eastAsia="Arial" w:hAnsi="Arial"/>
          <w:sz w:val="12"/>
          <w:szCs w:val="12"/>
          <w:color w:val="auto"/>
        </w:rPr>
        <w:t xml:space="preserve">Exhibit 99.1 </w:t>
      </w:r>
      <w:r>
        <w:rPr>
          <w:rFonts w:ascii="Arial" w:cs="Arial" w:eastAsia="Arial" w:hAnsi="Arial"/>
          <w:sz w:val="12"/>
          <w:szCs w:val="12"/>
          <w:u w:val="single" w:color="auto"/>
          <w:color w:val="0000FF"/>
        </w:rPr>
        <w:t>Press Release issued by Noble Corporation plc dated October 31, 2023</w:t>
      </w:r>
      <w:r>
        <w:rPr>
          <w:rFonts w:ascii="Arial" w:cs="Arial" w:eastAsia="Arial" w:hAnsi="Arial"/>
          <w:sz w:val="12"/>
          <w:szCs w:val="12"/>
          <w:color w:val="auto"/>
        </w:rPr>
        <w:t xml:space="preserve"> Exhibit 99.2 </w:t>
      </w:r>
      <w:r>
        <w:rPr>
          <w:rFonts w:ascii="Arial" w:cs="Arial" w:eastAsia="Arial" w:hAnsi="Arial"/>
          <w:sz w:val="12"/>
          <w:szCs w:val="12"/>
          <w:u w:val="single" w:color="auto"/>
          <w:color w:val="0000FF"/>
        </w:rPr>
        <w:t>Noble Corporation plc Slide Presentation dated November 1, 2023</w:t>
      </w:r>
    </w:p>
    <w:p>
      <w:pPr>
        <w:ind w:left="2300" w:right="1439" w:hanging="755"/>
        <w:spacing w:after="0" w:line="234" w:lineRule="auto"/>
        <w:tabs>
          <w:tab w:leader="none" w:pos="2280" w:val="left"/>
        </w:tabs>
        <w:rPr>
          <w:sz w:val="20"/>
          <w:szCs w:val="20"/>
          <w:color w:val="auto"/>
        </w:rPr>
      </w:pPr>
      <w:r>
        <w:rPr>
          <w:rFonts w:ascii="Arial" w:cs="Arial" w:eastAsia="Arial" w:hAnsi="Arial"/>
          <w:sz w:val="12"/>
          <w:szCs w:val="12"/>
          <w:color w:val="auto"/>
        </w:rPr>
        <w:t>Exhibit 104</w:t>
        <w:tab/>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364490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863"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t>SIGNATURES</w:t>
      </w:r>
    </w:p>
    <w:p>
      <w:pPr>
        <w:spacing w:after="0" w:line="345" w:lineRule="exact"/>
        <w:rPr>
          <w:sz w:val="20"/>
          <w:szCs w:val="20"/>
          <w:color w:val="auto"/>
        </w:rPr>
      </w:pPr>
    </w:p>
    <w:p>
      <w:pPr>
        <w:ind w:left="1440" w:right="1459" w:firstLine="297"/>
        <w:spacing w:after="0" w:line="234"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5" w:lineRule="exact"/>
        <w:rPr>
          <w:sz w:val="20"/>
          <w:szCs w:val="20"/>
          <w:color w:val="auto"/>
        </w:rPr>
      </w:pPr>
    </w:p>
    <w:p>
      <w:pPr>
        <w:ind w:left="5300"/>
        <w:spacing w:after="0"/>
        <w:rPr>
          <w:sz w:val="20"/>
          <w:szCs w:val="20"/>
          <w:color w:val="auto"/>
        </w:rPr>
      </w:pPr>
      <w:r>
        <w:rPr>
          <w:rFonts w:ascii="Arial" w:cs="Arial" w:eastAsia="Arial" w:hAnsi="Arial"/>
          <w:sz w:val="12"/>
          <w:szCs w:val="12"/>
          <w:color w:val="auto"/>
        </w:rPr>
        <w:t>NOBLE CORPORATION plc</w:t>
      </w:r>
    </w:p>
    <w:p>
      <w:pPr>
        <w:spacing w:after="0" w:line="213" w:lineRule="exact"/>
        <w:rPr>
          <w:sz w:val="20"/>
          <w:szCs w:val="20"/>
          <w:color w:val="auto"/>
        </w:rPr>
      </w:pPr>
    </w:p>
    <w:p>
      <w:pPr>
        <w:ind w:left="1620"/>
        <w:spacing w:after="0"/>
        <w:tabs>
          <w:tab w:leader="none" w:pos="2140" w:val="left"/>
          <w:tab w:leader="none" w:pos="5400" w:val="left"/>
          <w:tab w:leader="none" w:pos="576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October 31, 2023</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Robert W. Eifler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26670</wp:posOffset>
            </wp:positionV>
            <wp:extent cx="12344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5715"/>
                    </a:xfrm>
                    <a:prstGeom prst="rect">
                      <a:avLst/>
                    </a:prstGeom>
                    <a:noFill/>
                  </pic:spPr>
                </pic:pic>
              </a:graphicData>
            </a:graphic>
          </wp:anchor>
        </w:drawing>
      </w:r>
    </w:p>
    <w:p>
      <w:pPr>
        <w:spacing w:after="0" w:line="31" w:lineRule="exact"/>
        <w:rPr>
          <w:sz w:val="20"/>
          <w:szCs w:val="20"/>
          <w:color w:val="auto"/>
        </w:rPr>
      </w:pPr>
    </w:p>
    <w:p>
      <w:pPr>
        <w:ind w:left="5940"/>
        <w:spacing w:after="0"/>
        <w:rPr>
          <w:sz w:val="20"/>
          <w:szCs w:val="20"/>
          <w:color w:val="auto"/>
        </w:rPr>
      </w:pPr>
      <w:r>
        <w:rPr>
          <w:rFonts w:ascii="Arial" w:cs="Arial" w:eastAsia="Arial" w:hAnsi="Arial"/>
          <w:sz w:val="12"/>
          <w:szCs w:val="12"/>
          <w:color w:val="auto"/>
        </w:rPr>
        <w:t>Robert W. Eifler</w:t>
      </w:r>
    </w:p>
    <w:p>
      <w:pPr>
        <w:spacing w:after="0" w:line="20" w:lineRule="exact"/>
        <w:rPr>
          <w:sz w:val="20"/>
          <w:szCs w:val="20"/>
          <w:color w:val="auto"/>
        </w:rPr>
      </w:pPr>
    </w:p>
    <w:p>
      <w:pPr>
        <w:ind w:left="5920"/>
        <w:spacing w:after="0"/>
        <w:rPr>
          <w:sz w:val="20"/>
          <w:szCs w:val="20"/>
          <w:color w:val="auto"/>
        </w:rPr>
      </w:pPr>
      <w:r>
        <w:rPr>
          <w:rFonts w:ascii="Arial" w:cs="Arial" w:eastAsia="Arial" w:hAnsi="Arial"/>
          <w:sz w:val="12"/>
          <w:szCs w:val="12"/>
          <w:color w:val="auto"/>
        </w:rPr>
        <w:t>President and Chief Executive</w:t>
      </w:r>
    </w:p>
    <w:p>
      <w:pPr>
        <w:ind w:left="5920"/>
        <w:spacing w:after="0"/>
        <w:rPr>
          <w:sz w:val="20"/>
          <w:szCs w:val="20"/>
          <w:color w:val="auto"/>
        </w:rPr>
      </w:pPr>
      <w:r>
        <w:rPr>
          <w:rFonts w:ascii="Arial" w:cs="Arial" w:eastAsia="Arial" w:hAnsi="Arial"/>
          <w:sz w:val="12"/>
          <w:szCs w:val="12"/>
          <w:color w:val="auto"/>
        </w:rPr>
        <w:t>Officer</w:t>
      </w:r>
    </w:p>
    <w:p>
      <w:pPr>
        <w:sectPr>
          <w:pgSz w:w="11900" w:h="16838" w:orient="portrait"/>
          <w:cols w:equalWidth="0" w:num="1">
            <w:col w:w="9019"/>
          </w:cols>
          <w:pgMar w:left="1440" w:top="503"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6228080</wp:posOffset>
            </wp:positionH>
            <wp:positionV relativeFrom="paragraph">
              <wp:posOffset>332740</wp:posOffset>
            </wp:positionV>
            <wp:extent cx="96583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58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Arial" w:cs="Arial" w:eastAsia="Arial" w:hAnsi="Arial"/>
          <w:sz w:val="29"/>
          <w:szCs w:val="29"/>
          <w:b w:val="1"/>
          <w:bCs w:val="1"/>
          <w:color w:val="002F6C"/>
        </w:rPr>
        <w:t>PRESS RELEASE</w:t>
      </w: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7"/>
          <w:szCs w:val="17"/>
          <w:color w:val="002F6C"/>
        </w:rPr>
        <w:t>NOBLE CORPORATION PLC ANNOUNCES THIRD QUARTER 2023 RESULTS AND DIVIDEND INCREASE</w:t>
      </w:r>
    </w:p>
    <w:p>
      <w:pPr>
        <w:spacing w:after="0" w:line="149" w:lineRule="exact"/>
        <w:rPr>
          <w:sz w:val="20"/>
          <w:szCs w:val="20"/>
          <w:color w:val="auto"/>
        </w:rPr>
      </w:pPr>
    </w:p>
    <w:p>
      <w:pPr>
        <w:ind w:left="480" w:hanging="428"/>
        <w:spacing w:after="0"/>
        <w:tabs>
          <w:tab w:leader="none" w:pos="480" w:val="left"/>
        </w:tabs>
        <w:numPr>
          <w:ilvl w:val="0"/>
          <w:numId w:val="2"/>
        </w:numPr>
        <w:rPr>
          <w:rFonts w:ascii="Arial" w:cs="Arial" w:eastAsia="Arial" w:hAnsi="Arial"/>
          <w:sz w:val="12"/>
          <w:szCs w:val="12"/>
          <w:color w:val="5D6771"/>
        </w:rPr>
      </w:pPr>
      <w:r>
        <w:rPr>
          <w:rFonts w:ascii="Arial" w:cs="Arial" w:eastAsia="Arial" w:hAnsi="Arial"/>
          <w:sz w:val="12"/>
          <w:szCs w:val="12"/>
          <w:color w:val="5D6771"/>
        </w:rPr>
        <w:t>Increasing quarterly dividend to $0.40 per share in the fourth quarter.</w:t>
      </w:r>
    </w:p>
    <w:p>
      <w:pPr>
        <w:spacing w:after="0" w:line="14" w:lineRule="exact"/>
        <w:rPr>
          <w:rFonts w:ascii="Arial" w:cs="Arial" w:eastAsia="Arial" w:hAnsi="Arial"/>
          <w:sz w:val="12"/>
          <w:szCs w:val="12"/>
          <w:color w:val="5D6771"/>
        </w:rPr>
      </w:pPr>
    </w:p>
    <w:p>
      <w:pPr>
        <w:ind w:left="480" w:hanging="428"/>
        <w:spacing w:after="0"/>
        <w:tabs>
          <w:tab w:leader="none" w:pos="480" w:val="left"/>
        </w:tabs>
        <w:numPr>
          <w:ilvl w:val="0"/>
          <w:numId w:val="2"/>
        </w:numPr>
        <w:rPr>
          <w:rFonts w:ascii="Arial" w:cs="Arial" w:eastAsia="Arial" w:hAnsi="Arial"/>
          <w:sz w:val="12"/>
          <w:szCs w:val="12"/>
          <w:color w:val="5D6771"/>
        </w:rPr>
      </w:pPr>
      <w:r>
        <w:rPr>
          <w:rFonts w:ascii="Arial" w:cs="Arial" w:eastAsia="Arial" w:hAnsi="Arial"/>
          <w:sz w:val="12"/>
          <w:szCs w:val="12"/>
          <w:color w:val="5D6771"/>
        </w:rPr>
        <w:t>Net Income of $158 million, Diluted Earnings Per Share of $1.09, Adjusted EBITDA of $283 million, cash provided by operating activities of $139 million, and Free Cash Flow of $40 million.</w:t>
      </w:r>
    </w:p>
    <w:p>
      <w:pPr>
        <w:spacing w:after="0" w:line="6" w:lineRule="exact"/>
        <w:rPr>
          <w:rFonts w:ascii="Arial" w:cs="Arial" w:eastAsia="Arial" w:hAnsi="Arial"/>
          <w:sz w:val="12"/>
          <w:szCs w:val="12"/>
          <w:color w:val="5D6771"/>
        </w:rPr>
      </w:pPr>
    </w:p>
    <w:p>
      <w:pPr>
        <w:ind w:left="480" w:hanging="428"/>
        <w:spacing w:after="0"/>
        <w:tabs>
          <w:tab w:leader="none" w:pos="480" w:val="left"/>
        </w:tabs>
        <w:numPr>
          <w:ilvl w:val="0"/>
          <w:numId w:val="2"/>
        </w:numPr>
        <w:rPr>
          <w:rFonts w:ascii="Arial" w:cs="Arial" w:eastAsia="Arial" w:hAnsi="Arial"/>
          <w:sz w:val="12"/>
          <w:szCs w:val="12"/>
          <w:color w:val="5D6771"/>
        </w:rPr>
      </w:pPr>
      <w:r>
        <w:rPr>
          <w:rFonts w:ascii="Arial" w:cs="Arial" w:eastAsia="Arial" w:hAnsi="Arial"/>
          <w:sz w:val="12"/>
          <w:szCs w:val="12"/>
          <w:color w:val="5D6771"/>
        </w:rPr>
        <w:t>Full Year 2023 guidance for Adjusted EBITDA range now $775 to $825 million, the top half of the previous range.</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GAR LAND, TEXAS, October 31, 2023 - Noble Corporation plc (NYSE: NE, CSE: NOBLE, “Noble”, or the “Company”) today reported third quarter 2023 results.</w:t>
      </w:r>
    </w:p>
    <w:p>
      <w:pPr>
        <w:spacing w:after="0" w:line="123" w:lineRule="exact"/>
        <w:rPr>
          <w:sz w:val="20"/>
          <w:szCs w:val="20"/>
          <w:color w:val="auto"/>
        </w:rPr>
      </w:pPr>
    </w:p>
    <w:tbl>
      <w:tblPr>
        <w:tblLayout w:type="fixed"/>
        <w:tblInd w:w="2640" w:type="dxa"/>
        <w:tblCellMar>
          <w:top w:w="0" w:type="dxa"/>
          <w:left w:w="0" w:type="dxa"/>
          <w:bottom w:w="0" w:type="dxa"/>
          <w:right w:w="0" w:type="dxa"/>
        </w:tblCellMar>
      </w:tblPr>
      <w:tr>
        <w:trPr>
          <w:trHeight w:val="153"/>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color w:val="auto"/>
                <w:w w:val="99"/>
              </w:rPr>
              <w:t>Three Months Ended</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42"/>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00"/>
              <w:spacing w:after="0"/>
              <w:rPr>
                <w:sz w:val="20"/>
                <w:szCs w:val="20"/>
                <w:color w:val="auto"/>
              </w:rPr>
            </w:pPr>
            <w:r>
              <w:rPr>
                <w:rFonts w:ascii="Arial" w:cs="Arial" w:eastAsia="Arial" w:hAnsi="Arial"/>
                <w:sz w:val="12"/>
                <w:szCs w:val="12"/>
                <w:color w:val="auto"/>
                <w:w w:val="99"/>
              </w:rPr>
              <w:t>September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color w:val="auto"/>
                <w:w w:val="99"/>
              </w:rPr>
              <w:t>September 30,</w:t>
            </w:r>
          </w:p>
        </w:tc>
        <w:tc>
          <w:tcPr>
            <w:tcW w:w="180" w:type="dxa"/>
            <w:vAlign w:val="bottom"/>
          </w:tcPr>
          <w:p>
            <w:pPr>
              <w:spacing w:after="0"/>
              <w:rPr>
                <w:sz w:val="12"/>
                <w:szCs w:val="12"/>
                <w:color w:val="auto"/>
              </w:rPr>
            </w:pPr>
          </w:p>
        </w:tc>
        <w:tc>
          <w:tcPr>
            <w:tcW w:w="900" w:type="dxa"/>
            <w:vAlign w:val="bottom"/>
          </w:tcPr>
          <w:p>
            <w:pPr>
              <w:jc w:val="right"/>
              <w:ind w:right="260"/>
              <w:spacing w:after="0"/>
              <w:rPr>
                <w:sz w:val="20"/>
                <w:szCs w:val="20"/>
                <w:color w:val="auto"/>
              </w:rPr>
            </w:pPr>
            <w:r>
              <w:rPr>
                <w:rFonts w:ascii="Arial" w:cs="Arial" w:eastAsia="Arial" w:hAnsi="Arial"/>
                <w:sz w:val="12"/>
                <w:szCs w:val="12"/>
                <w:color w:val="auto"/>
              </w:rPr>
              <w:t>June 30,</w:t>
            </w:r>
          </w:p>
        </w:tc>
      </w:tr>
      <w:tr>
        <w:trPr>
          <w:trHeight w:val="162"/>
        </w:trPr>
        <w:tc>
          <w:tcPr>
            <w:tcW w:w="26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(in millions, except per share amounts)</w:t>
            </w:r>
          </w:p>
        </w:tc>
        <w:tc>
          <w:tcPr>
            <w:tcW w:w="80" w:type="dxa"/>
            <w:vAlign w:val="bottom"/>
            <w:tcBorders>
              <w:bottom w:val="single" w:sz="8" w:color="B9D9EB"/>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2023</w:t>
            </w:r>
          </w:p>
        </w:tc>
        <w:tc>
          <w:tcPr>
            <w:tcW w:w="80" w:type="dxa"/>
            <w:vAlign w:val="bottom"/>
            <w:tcBorders>
              <w:bottom w:val="single" w:sz="8" w:color="B9D9EB"/>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color w:val="auto"/>
                <w:w w:val="97"/>
              </w:rPr>
              <w:t>2022</w:t>
            </w:r>
          </w:p>
        </w:tc>
        <w:tc>
          <w:tcPr>
            <w:tcW w:w="100" w:type="dxa"/>
            <w:vAlign w:val="bottom"/>
            <w:tcBorders>
              <w:bottom w:val="single" w:sz="8" w:color="B9D9EB"/>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2023</w:t>
            </w:r>
          </w:p>
        </w:tc>
      </w:tr>
      <w:tr>
        <w:trPr>
          <w:trHeight w:val="205"/>
        </w:trPr>
        <w:tc>
          <w:tcPr>
            <w:tcW w:w="2740" w:type="dxa"/>
            <w:vAlign w:val="bottom"/>
            <w:gridSpan w:val="2"/>
            <w:shd w:val="clear" w:color="auto" w:fill="B9D9EB"/>
          </w:tcPr>
          <w:p>
            <w:pPr>
              <w:spacing w:after="0"/>
              <w:rPr>
                <w:sz w:val="20"/>
                <w:szCs w:val="20"/>
                <w:color w:val="auto"/>
              </w:rPr>
            </w:pPr>
            <w:r>
              <w:rPr>
                <w:rFonts w:ascii="Arial" w:cs="Arial" w:eastAsia="Arial" w:hAnsi="Arial"/>
                <w:sz w:val="12"/>
                <w:szCs w:val="12"/>
                <w:color w:val="auto"/>
              </w:rPr>
              <w:t>Total Revenue</w:t>
            </w:r>
          </w:p>
        </w:tc>
        <w:tc>
          <w:tcPr>
            <w:tcW w:w="12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B9D9EB"/>
          </w:tcPr>
          <w:p>
            <w:pPr>
              <w:jc w:val="right"/>
              <w:ind w:right="20"/>
              <w:spacing w:after="0"/>
              <w:rPr>
                <w:sz w:val="20"/>
                <w:szCs w:val="20"/>
                <w:color w:val="auto"/>
              </w:rPr>
            </w:pPr>
            <w:r>
              <w:rPr>
                <w:rFonts w:ascii="Arial" w:cs="Arial" w:eastAsia="Arial" w:hAnsi="Arial"/>
                <w:sz w:val="12"/>
                <w:szCs w:val="12"/>
                <w:color w:val="auto"/>
              </w:rPr>
              <w:t>697</w:t>
            </w:r>
          </w:p>
        </w:tc>
        <w:tc>
          <w:tcPr>
            <w:tcW w:w="180" w:type="dxa"/>
            <w:vAlign w:val="bottom"/>
            <w:gridSpan w:val="2"/>
            <w:shd w:val="clear" w:color="auto" w:fill="B9D9EB"/>
          </w:tcPr>
          <w:p>
            <w:pPr>
              <w:jc w:val="right"/>
              <w:ind w:right="20"/>
              <w:spacing w:after="0"/>
              <w:rPr>
                <w:sz w:val="20"/>
                <w:szCs w:val="20"/>
                <w:color w:val="auto"/>
              </w:rPr>
            </w:pPr>
            <w:r>
              <w:rPr>
                <w:rFonts w:ascii="Arial" w:cs="Arial" w:eastAsia="Arial" w:hAnsi="Arial"/>
                <w:sz w:val="12"/>
                <w:szCs w:val="12"/>
                <w:color w:val="auto"/>
              </w:rPr>
              <w:t>$</w:t>
            </w:r>
          </w:p>
        </w:tc>
        <w:tc>
          <w:tcPr>
            <w:tcW w:w="960" w:type="dxa"/>
            <w:vAlign w:val="bottom"/>
            <w:shd w:val="clear" w:color="auto" w:fill="B9D9EB"/>
          </w:tcPr>
          <w:p>
            <w:pPr>
              <w:jc w:val="right"/>
              <w:spacing w:after="0"/>
              <w:rPr>
                <w:sz w:val="20"/>
                <w:szCs w:val="20"/>
                <w:color w:val="auto"/>
              </w:rPr>
            </w:pPr>
            <w:r>
              <w:rPr>
                <w:rFonts w:ascii="Arial" w:cs="Arial" w:eastAsia="Arial" w:hAnsi="Arial"/>
                <w:sz w:val="12"/>
                <w:szCs w:val="12"/>
                <w:color w:val="auto"/>
              </w:rPr>
              <w:t>306</w:t>
            </w:r>
          </w:p>
        </w:tc>
        <w:tc>
          <w:tcPr>
            <w:tcW w:w="100" w:type="dxa"/>
            <w:vAlign w:val="bottom"/>
            <w:shd w:val="clear" w:color="auto" w:fill="B9D9EB"/>
          </w:tcPr>
          <w:p>
            <w:pPr>
              <w:spacing w:after="0"/>
              <w:rPr>
                <w:sz w:val="17"/>
                <w:szCs w:val="17"/>
                <w:color w:val="auto"/>
              </w:rPr>
            </w:pPr>
          </w:p>
        </w:tc>
        <w:tc>
          <w:tcPr>
            <w:tcW w:w="180" w:type="dxa"/>
            <w:vAlign w:val="bottom"/>
            <w:shd w:val="clear" w:color="auto" w:fill="B9D9EB"/>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639</w:t>
            </w:r>
          </w:p>
        </w:tc>
      </w:tr>
      <w:tr>
        <w:trPr>
          <w:trHeight w:val="63"/>
        </w:trPr>
        <w:tc>
          <w:tcPr>
            <w:tcW w:w="2660" w:type="dxa"/>
            <w:vAlign w:val="bottom"/>
            <w:shd w:val="clear" w:color="auto" w:fill="B9D9EB"/>
          </w:tcPr>
          <w:p>
            <w:pPr>
              <w:spacing w:after="0"/>
              <w:rPr>
                <w:sz w:val="5"/>
                <w:szCs w:val="5"/>
                <w:color w:val="auto"/>
              </w:rPr>
            </w:pPr>
          </w:p>
        </w:tc>
        <w:tc>
          <w:tcPr>
            <w:tcW w:w="80" w:type="dxa"/>
            <w:vAlign w:val="bottom"/>
            <w:shd w:val="clear" w:color="auto" w:fill="B9D9EB"/>
          </w:tcPr>
          <w:p>
            <w:pPr>
              <w:spacing w:after="0"/>
              <w:rPr>
                <w:sz w:val="5"/>
                <w:szCs w:val="5"/>
                <w:color w:val="auto"/>
              </w:rPr>
            </w:pPr>
          </w:p>
        </w:tc>
        <w:tc>
          <w:tcPr>
            <w:tcW w:w="120" w:type="dxa"/>
            <w:vAlign w:val="bottom"/>
            <w:shd w:val="clear" w:color="auto" w:fill="B9D9EB"/>
          </w:tcPr>
          <w:p>
            <w:pPr>
              <w:spacing w:after="0"/>
              <w:rPr>
                <w:sz w:val="5"/>
                <w:szCs w:val="5"/>
                <w:color w:val="auto"/>
              </w:rPr>
            </w:pPr>
          </w:p>
        </w:tc>
        <w:tc>
          <w:tcPr>
            <w:tcW w:w="960" w:type="dxa"/>
            <w:vAlign w:val="bottom"/>
            <w:shd w:val="clear" w:color="auto" w:fill="B9D9EB"/>
          </w:tcPr>
          <w:p>
            <w:pPr>
              <w:spacing w:after="0"/>
              <w:rPr>
                <w:sz w:val="5"/>
                <w:szCs w:val="5"/>
                <w:color w:val="auto"/>
              </w:rPr>
            </w:pPr>
          </w:p>
        </w:tc>
        <w:tc>
          <w:tcPr>
            <w:tcW w:w="80" w:type="dxa"/>
            <w:vAlign w:val="bottom"/>
            <w:shd w:val="clear" w:color="auto" w:fill="B9D9EB"/>
          </w:tcPr>
          <w:p>
            <w:pPr>
              <w:spacing w:after="0"/>
              <w:rPr>
                <w:sz w:val="5"/>
                <w:szCs w:val="5"/>
                <w:color w:val="auto"/>
              </w:rPr>
            </w:pPr>
          </w:p>
        </w:tc>
        <w:tc>
          <w:tcPr>
            <w:tcW w:w="100" w:type="dxa"/>
            <w:vAlign w:val="bottom"/>
            <w:shd w:val="clear" w:color="auto" w:fill="B9D9EB"/>
          </w:tcPr>
          <w:p>
            <w:pPr>
              <w:spacing w:after="0"/>
              <w:rPr>
                <w:sz w:val="5"/>
                <w:szCs w:val="5"/>
                <w:color w:val="auto"/>
              </w:rPr>
            </w:pPr>
          </w:p>
        </w:tc>
        <w:tc>
          <w:tcPr>
            <w:tcW w:w="960" w:type="dxa"/>
            <w:vAlign w:val="bottom"/>
            <w:shd w:val="clear" w:color="auto" w:fill="B9D9EB"/>
          </w:tcPr>
          <w:p>
            <w:pPr>
              <w:spacing w:after="0"/>
              <w:rPr>
                <w:sz w:val="5"/>
                <w:szCs w:val="5"/>
                <w:color w:val="auto"/>
              </w:rPr>
            </w:pPr>
          </w:p>
        </w:tc>
        <w:tc>
          <w:tcPr>
            <w:tcW w:w="100" w:type="dxa"/>
            <w:vAlign w:val="bottom"/>
            <w:shd w:val="clear" w:color="auto" w:fill="B9D9EB"/>
          </w:tcPr>
          <w:p>
            <w:pPr>
              <w:spacing w:after="0"/>
              <w:rPr>
                <w:sz w:val="5"/>
                <w:szCs w:val="5"/>
                <w:color w:val="auto"/>
              </w:rPr>
            </w:pPr>
          </w:p>
        </w:tc>
        <w:tc>
          <w:tcPr>
            <w:tcW w:w="180" w:type="dxa"/>
            <w:vAlign w:val="bottom"/>
            <w:shd w:val="clear" w:color="auto" w:fill="B9D9EB"/>
          </w:tcPr>
          <w:p>
            <w:pPr>
              <w:spacing w:after="0"/>
              <w:rPr>
                <w:sz w:val="5"/>
                <w:szCs w:val="5"/>
                <w:color w:val="auto"/>
              </w:rPr>
            </w:pPr>
          </w:p>
        </w:tc>
        <w:tc>
          <w:tcPr>
            <w:tcW w:w="900" w:type="dxa"/>
            <w:vAlign w:val="bottom"/>
            <w:shd w:val="clear" w:color="auto" w:fill="B9D9EB"/>
          </w:tcPr>
          <w:p>
            <w:pPr>
              <w:spacing w:after="0"/>
              <w:rPr>
                <w:sz w:val="5"/>
                <w:szCs w:val="5"/>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2"/>
                <w:szCs w:val="12"/>
                <w:color w:val="auto"/>
              </w:rPr>
              <w:t>Contract Drilling Services Revenue</w:t>
            </w:r>
          </w:p>
        </w:tc>
        <w:tc>
          <w:tcPr>
            <w:tcW w:w="12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671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606</w:t>
            </w:r>
          </w:p>
        </w:tc>
      </w:tr>
      <w:tr>
        <w:trPr>
          <w:trHeight w:val="72"/>
        </w:trPr>
        <w:tc>
          <w:tcPr>
            <w:tcW w:w="2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16"/>
        </w:trPr>
        <w:tc>
          <w:tcPr>
            <w:tcW w:w="2740" w:type="dxa"/>
            <w:vAlign w:val="bottom"/>
            <w:gridSpan w:val="2"/>
            <w:shd w:val="clear" w:color="auto" w:fill="B9D9EB"/>
          </w:tcPr>
          <w:p>
            <w:pPr>
              <w:spacing w:after="0"/>
              <w:rPr>
                <w:sz w:val="20"/>
                <w:szCs w:val="20"/>
                <w:color w:val="auto"/>
              </w:rPr>
            </w:pPr>
            <w:r>
              <w:rPr>
                <w:rFonts w:ascii="Arial" w:cs="Arial" w:eastAsia="Arial" w:hAnsi="Arial"/>
                <w:sz w:val="12"/>
                <w:szCs w:val="12"/>
                <w:color w:val="auto"/>
              </w:rPr>
              <w:t>Net Income (Loss)</w:t>
            </w:r>
          </w:p>
        </w:tc>
        <w:tc>
          <w:tcPr>
            <w:tcW w:w="120" w:type="dxa"/>
            <w:vAlign w:val="bottom"/>
            <w:shd w:val="clear" w:color="auto" w:fill="B9D9EB"/>
          </w:tcPr>
          <w:p>
            <w:pPr>
              <w:spacing w:after="0"/>
              <w:rPr>
                <w:sz w:val="18"/>
                <w:szCs w:val="18"/>
                <w:color w:val="auto"/>
              </w:rPr>
            </w:pPr>
          </w:p>
        </w:tc>
        <w:tc>
          <w:tcPr>
            <w:tcW w:w="960" w:type="dxa"/>
            <w:vAlign w:val="bottom"/>
            <w:shd w:val="clear" w:color="auto" w:fill="B9D9EB"/>
          </w:tcPr>
          <w:p>
            <w:pPr>
              <w:jc w:val="right"/>
              <w:ind w:right="20"/>
              <w:spacing w:after="0"/>
              <w:rPr>
                <w:sz w:val="20"/>
                <w:szCs w:val="20"/>
                <w:color w:val="auto"/>
              </w:rPr>
            </w:pPr>
            <w:r>
              <w:rPr>
                <w:rFonts w:ascii="Arial" w:cs="Arial" w:eastAsia="Arial" w:hAnsi="Arial"/>
                <w:sz w:val="12"/>
                <w:szCs w:val="12"/>
                <w:color w:val="auto"/>
              </w:rPr>
              <w:t>158</w:t>
            </w:r>
          </w:p>
        </w:tc>
        <w:tc>
          <w:tcPr>
            <w:tcW w:w="8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960" w:type="dxa"/>
            <w:vAlign w:val="bottom"/>
            <w:shd w:val="clear" w:color="auto" w:fill="B9D9EB"/>
          </w:tcPr>
          <w:p>
            <w:pPr>
              <w:jc w:val="right"/>
              <w:spacing w:after="0"/>
              <w:rPr>
                <w:sz w:val="20"/>
                <w:szCs w:val="20"/>
                <w:color w:val="auto"/>
              </w:rPr>
            </w:pPr>
            <w:r>
              <w:rPr>
                <w:rFonts w:ascii="Arial" w:cs="Arial" w:eastAsia="Arial" w:hAnsi="Arial"/>
                <w:sz w:val="12"/>
                <w:szCs w:val="12"/>
                <w:color w:val="auto"/>
              </w:rPr>
              <w:t>34</w:t>
            </w:r>
          </w:p>
        </w:tc>
        <w:tc>
          <w:tcPr>
            <w:tcW w:w="10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9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66</w:t>
            </w:r>
          </w:p>
        </w:tc>
      </w:tr>
      <w:tr>
        <w:trPr>
          <w:trHeight w:val="72"/>
        </w:trPr>
        <w:tc>
          <w:tcPr>
            <w:tcW w:w="2660" w:type="dxa"/>
            <w:vAlign w:val="bottom"/>
            <w:shd w:val="clear" w:color="auto" w:fill="B9D9EB"/>
          </w:tcPr>
          <w:p>
            <w:pPr>
              <w:spacing w:after="0"/>
              <w:rPr>
                <w:sz w:val="6"/>
                <w:szCs w:val="6"/>
                <w:color w:val="auto"/>
              </w:rPr>
            </w:pPr>
          </w:p>
        </w:tc>
        <w:tc>
          <w:tcPr>
            <w:tcW w:w="80" w:type="dxa"/>
            <w:vAlign w:val="bottom"/>
            <w:shd w:val="clear" w:color="auto" w:fill="B9D9EB"/>
          </w:tcPr>
          <w:p>
            <w:pPr>
              <w:spacing w:after="0"/>
              <w:rPr>
                <w:sz w:val="6"/>
                <w:szCs w:val="6"/>
                <w:color w:val="auto"/>
              </w:rPr>
            </w:pPr>
          </w:p>
        </w:tc>
        <w:tc>
          <w:tcPr>
            <w:tcW w:w="120" w:type="dxa"/>
            <w:vAlign w:val="bottom"/>
            <w:shd w:val="clear" w:color="auto" w:fill="B9D9EB"/>
          </w:tcPr>
          <w:p>
            <w:pPr>
              <w:spacing w:after="0"/>
              <w:rPr>
                <w:sz w:val="6"/>
                <w:szCs w:val="6"/>
                <w:color w:val="auto"/>
              </w:rPr>
            </w:pPr>
          </w:p>
        </w:tc>
        <w:tc>
          <w:tcPr>
            <w:tcW w:w="960" w:type="dxa"/>
            <w:vAlign w:val="bottom"/>
            <w:shd w:val="clear" w:color="auto" w:fill="B9D9EB"/>
          </w:tcPr>
          <w:p>
            <w:pPr>
              <w:spacing w:after="0"/>
              <w:rPr>
                <w:sz w:val="6"/>
                <w:szCs w:val="6"/>
                <w:color w:val="auto"/>
              </w:rPr>
            </w:pPr>
          </w:p>
        </w:tc>
        <w:tc>
          <w:tcPr>
            <w:tcW w:w="80" w:type="dxa"/>
            <w:vAlign w:val="bottom"/>
            <w:shd w:val="clear" w:color="auto" w:fill="B9D9EB"/>
          </w:tcPr>
          <w:p>
            <w:pPr>
              <w:spacing w:after="0"/>
              <w:rPr>
                <w:sz w:val="6"/>
                <w:szCs w:val="6"/>
                <w:color w:val="auto"/>
              </w:rPr>
            </w:pPr>
          </w:p>
        </w:tc>
        <w:tc>
          <w:tcPr>
            <w:tcW w:w="100" w:type="dxa"/>
            <w:vAlign w:val="bottom"/>
            <w:shd w:val="clear" w:color="auto" w:fill="B9D9EB"/>
          </w:tcPr>
          <w:p>
            <w:pPr>
              <w:spacing w:after="0"/>
              <w:rPr>
                <w:sz w:val="6"/>
                <w:szCs w:val="6"/>
                <w:color w:val="auto"/>
              </w:rPr>
            </w:pPr>
          </w:p>
        </w:tc>
        <w:tc>
          <w:tcPr>
            <w:tcW w:w="960" w:type="dxa"/>
            <w:vAlign w:val="bottom"/>
            <w:shd w:val="clear" w:color="auto" w:fill="B9D9EB"/>
          </w:tcPr>
          <w:p>
            <w:pPr>
              <w:spacing w:after="0"/>
              <w:rPr>
                <w:sz w:val="6"/>
                <w:szCs w:val="6"/>
                <w:color w:val="auto"/>
              </w:rPr>
            </w:pPr>
          </w:p>
        </w:tc>
        <w:tc>
          <w:tcPr>
            <w:tcW w:w="100" w:type="dxa"/>
            <w:vAlign w:val="bottom"/>
            <w:shd w:val="clear" w:color="auto" w:fill="B9D9EB"/>
          </w:tcPr>
          <w:p>
            <w:pPr>
              <w:spacing w:after="0"/>
              <w:rPr>
                <w:sz w:val="6"/>
                <w:szCs w:val="6"/>
                <w:color w:val="auto"/>
              </w:rPr>
            </w:pPr>
          </w:p>
        </w:tc>
        <w:tc>
          <w:tcPr>
            <w:tcW w:w="180" w:type="dxa"/>
            <w:vAlign w:val="bottom"/>
            <w:shd w:val="clear" w:color="auto" w:fill="B9D9EB"/>
          </w:tcPr>
          <w:p>
            <w:pPr>
              <w:spacing w:after="0"/>
              <w:rPr>
                <w:sz w:val="6"/>
                <w:szCs w:val="6"/>
                <w:color w:val="auto"/>
              </w:rPr>
            </w:pPr>
          </w:p>
        </w:tc>
        <w:tc>
          <w:tcPr>
            <w:tcW w:w="900" w:type="dxa"/>
            <w:vAlign w:val="bottom"/>
            <w:shd w:val="clear" w:color="auto" w:fill="B9D9EB"/>
          </w:tcPr>
          <w:p>
            <w:pPr>
              <w:spacing w:after="0"/>
              <w:rPr>
                <w:sz w:val="6"/>
                <w:szCs w:val="6"/>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2"/>
                <w:szCs w:val="12"/>
                <w:color w:val="auto"/>
              </w:rPr>
              <w:t>Adjusted EBITDA*</w:t>
            </w:r>
          </w:p>
        </w:tc>
        <w:tc>
          <w:tcPr>
            <w:tcW w:w="12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283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188</w:t>
            </w:r>
          </w:p>
        </w:tc>
      </w:tr>
      <w:tr>
        <w:trPr>
          <w:trHeight w:val="72"/>
        </w:trPr>
        <w:tc>
          <w:tcPr>
            <w:tcW w:w="2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16"/>
        </w:trPr>
        <w:tc>
          <w:tcPr>
            <w:tcW w:w="2740" w:type="dxa"/>
            <w:vAlign w:val="bottom"/>
            <w:gridSpan w:val="2"/>
            <w:shd w:val="clear" w:color="auto" w:fill="B9D9EB"/>
          </w:tcPr>
          <w:p>
            <w:pPr>
              <w:spacing w:after="0"/>
              <w:rPr>
                <w:sz w:val="20"/>
                <w:szCs w:val="20"/>
                <w:color w:val="auto"/>
              </w:rPr>
            </w:pPr>
            <w:r>
              <w:rPr>
                <w:rFonts w:ascii="Arial" w:cs="Arial" w:eastAsia="Arial" w:hAnsi="Arial"/>
                <w:sz w:val="12"/>
                <w:szCs w:val="12"/>
                <w:color w:val="auto"/>
              </w:rPr>
              <w:t>Adjusted Net Income (Loss)*</w:t>
            </w:r>
          </w:p>
        </w:tc>
        <w:tc>
          <w:tcPr>
            <w:tcW w:w="120" w:type="dxa"/>
            <w:vAlign w:val="bottom"/>
            <w:shd w:val="clear" w:color="auto" w:fill="B9D9EB"/>
          </w:tcPr>
          <w:p>
            <w:pPr>
              <w:spacing w:after="0"/>
              <w:rPr>
                <w:sz w:val="18"/>
                <w:szCs w:val="18"/>
                <w:color w:val="auto"/>
              </w:rPr>
            </w:pPr>
          </w:p>
        </w:tc>
        <w:tc>
          <w:tcPr>
            <w:tcW w:w="960" w:type="dxa"/>
            <w:vAlign w:val="bottom"/>
            <w:shd w:val="clear" w:color="auto" w:fill="B9D9EB"/>
          </w:tcPr>
          <w:p>
            <w:pPr>
              <w:jc w:val="right"/>
              <w:ind w:right="20"/>
              <w:spacing w:after="0"/>
              <w:rPr>
                <w:sz w:val="20"/>
                <w:szCs w:val="20"/>
                <w:color w:val="auto"/>
              </w:rPr>
            </w:pPr>
            <w:r>
              <w:rPr>
                <w:rFonts w:ascii="Arial" w:cs="Arial" w:eastAsia="Arial" w:hAnsi="Arial"/>
                <w:sz w:val="12"/>
                <w:szCs w:val="12"/>
                <w:color w:val="auto"/>
              </w:rPr>
              <w:t>127</w:t>
            </w:r>
          </w:p>
        </w:tc>
        <w:tc>
          <w:tcPr>
            <w:tcW w:w="8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960" w:type="dxa"/>
            <w:vAlign w:val="bottom"/>
            <w:shd w:val="clear" w:color="auto" w:fill="B9D9EB"/>
          </w:tcPr>
          <w:p>
            <w:pPr>
              <w:jc w:val="right"/>
              <w:spacing w:after="0"/>
              <w:rPr>
                <w:sz w:val="20"/>
                <w:szCs w:val="20"/>
                <w:color w:val="auto"/>
              </w:rPr>
            </w:pPr>
            <w:r>
              <w:rPr>
                <w:rFonts w:ascii="Arial" w:cs="Arial" w:eastAsia="Arial" w:hAnsi="Arial"/>
                <w:sz w:val="12"/>
                <w:szCs w:val="12"/>
                <w:color w:val="auto"/>
              </w:rPr>
              <w:t>41</w:t>
            </w:r>
          </w:p>
        </w:tc>
        <w:tc>
          <w:tcPr>
            <w:tcW w:w="10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9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56</w:t>
            </w:r>
          </w:p>
        </w:tc>
      </w:tr>
      <w:tr>
        <w:trPr>
          <w:trHeight w:val="72"/>
        </w:trPr>
        <w:tc>
          <w:tcPr>
            <w:tcW w:w="2660" w:type="dxa"/>
            <w:vAlign w:val="bottom"/>
            <w:shd w:val="clear" w:color="auto" w:fill="B9D9EB"/>
          </w:tcPr>
          <w:p>
            <w:pPr>
              <w:spacing w:after="0"/>
              <w:rPr>
                <w:sz w:val="6"/>
                <w:szCs w:val="6"/>
                <w:color w:val="auto"/>
              </w:rPr>
            </w:pPr>
          </w:p>
        </w:tc>
        <w:tc>
          <w:tcPr>
            <w:tcW w:w="80" w:type="dxa"/>
            <w:vAlign w:val="bottom"/>
            <w:shd w:val="clear" w:color="auto" w:fill="B9D9EB"/>
          </w:tcPr>
          <w:p>
            <w:pPr>
              <w:spacing w:after="0"/>
              <w:rPr>
                <w:sz w:val="6"/>
                <w:szCs w:val="6"/>
                <w:color w:val="auto"/>
              </w:rPr>
            </w:pPr>
          </w:p>
        </w:tc>
        <w:tc>
          <w:tcPr>
            <w:tcW w:w="120" w:type="dxa"/>
            <w:vAlign w:val="bottom"/>
            <w:shd w:val="clear" w:color="auto" w:fill="B9D9EB"/>
          </w:tcPr>
          <w:p>
            <w:pPr>
              <w:spacing w:after="0"/>
              <w:rPr>
                <w:sz w:val="6"/>
                <w:szCs w:val="6"/>
                <w:color w:val="auto"/>
              </w:rPr>
            </w:pPr>
          </w:p>
        </w:tc>
        <w:tc>
          <w:tcPr>
            <w:tcW w:w="960" w:type="dxa"/>
            <w:vAlign w:val="bottom"/>
            <w:shd w:val="clear" w:color="auto" w:fill="B9D9EB"/>
          </w:tcPr>
          <w:p>
            <w:pPr>
              <w:spacing w:after="0"/>
              <w:rPr>
                <w:sz w:val="6"/>
                <w:szCs w:val="6"/>
                <w:color w:val="auto"/>
              </w:rPr>
            </w:pPr>
          </w:p>
        </w:tc>
        <w:tc>
          <w:tcPr>
            <w:tcW w:w="80" w:type="dxa"/>
            <w:vAlign w:val="bottom"/>
            <w:shd w:val="clear" w:color="auto" w:fill="B9D9EB"/>
          </w:tcPr>
          <w:p>
            <w:pPr>
              <w:spacing w:after="0"/>
              <w:rPr>
                <w:sz w:val="6"/>
                <w:szCs w:val="6"/>
                <w:color w:val="auto"/>
              </w:rPr>
            </w:pPr>
          </w:p>
        </w:tc>
        <w:tc>
          <w:tcPr>
            <w:tcW w:w="100" w:type="dxa"/>
            <w:vAlign w:val="bottom"/>
            <w:shd w:val="clear" w:color="auto" w:fill="B9D9EB"/>
          </w:tcPr>
          <w:p>
            <w:pPr>
              <w:spacing w:after="0"/>
              <w:rPr>
                <w:sz w:val="6"/>
                <w:szCs w:val="6"/>
                <w:color w:val="auto"/>
              </w:rPr>
            </w:pPr>
          </w:p>
        </w:tc>
        <w:tc>
          <w:tcPr>
            <w:tcW w:w="960" w:type="dxa"/>
            <w:vAlign w:val="bottom"/>
            <w:shd w:val="clear" w:color="auto" w:fill="B9D9EB"/>
          </w:tcPr>
          <w:p>
            <w:pPr>
              <w:spacing w:after="0"/>
              <w:rPr>
                <w:sz w:val="6"/>
                <w:szCs w:val="6"/>
                <w:color w:val="auto"/>
              </w:rPr>
            </w:pPr>
          </w:p>
        </w:tc>
        <w:tc>
          <w:tcPr>
            <w:tcW w:w="100" w:type="dxa"/>
            <w:vAlign w:val="bottom"/>
            <w:shd w:val="clear" w:color="auto" w:fill="B9D9EB"/>
          </w:tcPr>
          <w:p>
            <w:pPr>
              <w:spacing w:after="0"/>
              <w:rPr>
                <w:sz w:val="6"/>
                <w:szCs w:val="6"/>
                <w:color w:val="auto"/>
              </w:rPr>
            </w:pPr>
          </w:p>
        </w:tc>
        <w:tc>
          <w:tcPr>
            <w:tcW w:w="180" w:type="dxa"/>
            <w:vAlign w:val="bottom"/>
            <w:shd w:val="clear" w:color="auto" w:fill="B9D9EB"/>
          </w:tcPr>
          <w:p>
            <w:pPr>
              <w:spacing w:after="0"/>
              <w:rPr>
                <w:sz w:val="6"/>
                <w:szCs w:val="6"/>
                <w:color w:val="auto"/>
              </w:rPr>
            </w:pPr>
          </w:p>
        </w:tc>
        <w:tc>
          <w:tcPr>
            <w:tcW w:w="900" w:type="dxa"/>
            <w:vAlign w:val="bottom"/>
            <w:shd w:val="clear" w:color="auto" w:fill="B9D9EB"/>
          </w:tcPr>
          <w:p>
            <w:pPr>
              <w:spacing w:after="0"/>
              <w:rPr>
                <w:sz w:val="6"/>
                <w:szCs w:val="6"/>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2"/>
                <w:szCs w:val="12"/>
                <w:color w:val="auto"/>
              </w:rPr>
              <w:t>Basic Earnings (Loss) Per Share</w:t>
            </w:r>
          </w:p>
        </w:tc>
        <w:tc>
          <w:tcPr>
            <w:tcW w:w="12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0.48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0.48</w:t>
            </w:r>
          </w:p>
        </w:tc>
      </w:tr>
      <w:tr>
        <w:trPr>
          <w:trHeight w:val="72"/>
        </w:trPr>
        <w:tc>
          <w:tcPr>
            <w:tcW w:w="2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16"/>
        </w:trPr>
        <w:tc>
          <w:tcPr>
            <w:tcW w:w="2740" w:type="dxa"/>
            <w:vAlign w:val="bottom"/>
            <w:gridSpan w:val="2"/>
            <w:shd w:val="clear" w:color="auto" w:fill="B9D9EB"/>
          </w:tcPr>
          <w:p>
            <w:pPr>
              <w:spacing w:after="0"/>
              <w:rPr>
                <w:sz w:val="20"/>
                <w:szCs w:val="20"/>
                <w:color w:val="auto"/>
              </w:rPr>
            </w:pPr>
            <w:r>
              <w:rPr>
                <w:rFonts w:ascii="Arial" w:cs="Arial" w:eastAsia="Arial" w:hAnsi="Arial"/>
                <w:sz w:val="12"/>
                <w:szCs w:val="12"/>
                <w:color w:val="auto"/>
              </w:rPr>
              <w:t>Diluted Earnings (Loss) Per Share</w:t>
            </w:r>
          </w:p>
        </w:tc>
        <w:tc>
          <w:tcPr>
            <w:tcW w:w="120" w:type="dxa"/>
            <w:vAlign w:val="bottom"/>
            <w:shd w:val="clear" w:color="auto" w:fill="B9D9EB"/>
          </w:tcPr>
          <w:p>
            <w:pPr>
              <w:spacing w:after="0"/>
              <w:rPr>
                <w:sz w:val="18"/>
                <w:szCs w:val="18"/>
                <w:color w:val="auto"/>
              </w:rPr>
            </w:pPr>
          </w:p>
        </w:tc>
        <w:tc>
          <w:tcPr>
            <w:tcW w:w="960" w:type="dxa"/>
            <w:vAlign w:val="bottom"/>
            <w:shd w:val="clear" w:color="auto" w:fill="B9D9EB"/>
          </w:tcPr>
          <w:p>
            <w:pPr>
              <w:jc w:val="right"/>
              <w:ind w:right="20"/>
              <w:spacing w:after="0"/>
              <w:rPr>
                <w:sz w:val="20"/>
                <w:szCs w:val="20"/>
                <w:color w:val="auto"/>
              </w:rPr>
            </w:pPr>
            <w:r>
              <w:rPr>
                <w:rFonts w:ascii="Arial" w:cs="Arial" w:eastAsia="Arial" w:hAnsi="Arial"/>
                <w:sz w:val="12"/>
                <w:szCs w:val="12"/>
                <w:color w:val="auto"/>
              </w:rPr>
              <w:t>1.09</w:t>
            </w:r>
          </w:p>
        </w:tc>
        <w:tc>
          <w:tcPr>
            <w:tcW w:w="8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960" w:type="dxa"/>
            <w:vAlign w:val="bottom"/>
            <w:shd w:val="clear" w:color="auto" w:fill="B9D9EB"/>
          </w:tcPr>
          <w:p>
            <w:pPr>
              <w:jc w:val="right"/>
              <w:spacing w:after="0"/>
              <w:rPr>
                <w:sz w:val="20"/>
                <w:szCs w:val="20"/>
                <w:color w:val="auto"/>
              </w:rPr>
            </w:pPr>
            <w:r>
              <w:rPr>
                <w:rFonts w:ascii="Arial" w:cs="Arial" w:eastAsia="Arial" w:hAnsi="Arial"/>
                <w:sz w:val="12"/>
                <w:szCs w:val="12"/>
                <w:color w:val="auto"/>
              </w:rPr>
              <w:t>0.41</w:t>
            </w:r>
          </w:p>
        </w:tc>
        <w:tc>
          <w:tcPr>
            <w:tcW w:w="10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9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0.45</w:t>
            </w:r>
          </w:p>
        </w:tc>
      </w:tr>
      <w:tr>
        <w:trPr>
          <w:trHeight w:val="72"/>
        </w:trPr>
        <w:tc>
          <w:tcPr>
            <w:tcW w:w="2660" w:type="dxa"/>
            <w:vAlign w:val="bottom"/>
            <w:shd w:val="clear" w:color="auto" w:fill="B9D9EB"/>
          </w:tcPr>
          <w:p>
            <w:pPr>
              <w:spacing w:after="0"/>
              <w:rPr>
                <w:sz w:val="6"/>
                <w:szCs w:val="6"/>
                <w:color w:val="auto"/>
              </w:rPr>
            </w:pPr>
          </w:p>
        </w:tc>
        <w:tc>
          <w:tcPr>
            <w:tcW w:w="80" w:type="dxa"/>
            <w:vAlign w:val="bottom"/>
            <w:shd w:val="clear" w:color="auto" w:fill="B9D9EB"/>
          </w:tcPr>
          <w:p>
            <w:pPr>
              <w:spacing w:after="0"/>
              <w:rPr>
                <w:sz w:val="6"/>
                <w:szCs w:val="6"/>
                <w:color w:val="auto"/>
              </w:rPr>
            </w:pPr>
          </w:p>
        </w:tc>
        <w:tc>
          <w:tcPr>
            <w:tcW w:w="120" w:type="dxa"/>
            <w:vAlign w:val="bottom"/>
            <w:shd w:val="clear" w:color="auto" w:fill="B9D9EB"/>
          </w:tcPr>
          <w:p>
            <w:pPr>
              <w:spacing w:after="0"/>
              <w:rPr>
                <w:sz w:val="6"/>
                <w:szCs w:val="6"/>
                <w:color w:val="auto"/>
              </w:rPr>
            </w:pPr>
          </w:p>
        </w:tc>
        <w:tc>
          <w:tcPr>
            <w:tcW w:w="960" w:type="dxa"/>
            <w:vAlign w:val="bottom"/>
            <w:shd w:val="clear" w:color="auto" w:fill="B9D9EB"/>
          </w:tcPr>
          <w:p>
            <w:pPr>
              <w:spacing w:after="0"/>
              <w:rPr>
                <w:sz w:val="6"/>
                <w:szCs w:val="6"/>
                <w:color w:val="auto"/>
              </w:rPr>
            </w:pPr>
          </w:p>
        </w:tc>
        <w:tc>
          <w:tcPr>
            <w:tcW w:w="80" w:type="dxa"/>
            <w:vAlign w:val="bottom"/>
            <w:shd w:val="clear" w:color="auto" w:fill="B9D9EB"/>
          </w:tcPr>
          <w:p>
            <w:pPr>
              <w:spacing w:after="0"/>
              <w:rPr>
                <w:sz w:val="6"/>
                <w:szCs w:val="6"/>
                <w:color w:val="auto"/>
              </w:rPr>
            </w:pPr>
          </w:p>
        </w:tc>
        <w:tc>
          <w:tcPr>
            <w:tcW w:w="100" w:type="dxa"/>
            <w:vAlign w:val="bottom"/>
            <w:shd w:val="clear" w:color="auto" w:fill="B9D9EB"/>
          </w:tcPr>
          <w:p>
            <w:pPr>
              <w:spacing w:after="0"/>
              <w:rPr>
                <w:sz w:val="6"/>
                <w:szCs w:val="6"/>
                <w:color w:val="auto"/>
              </w:rPr>
            </w:pPr>
          </w:p>
        </w:tc>
        <w:tc>
          <w:tcPr>
            <w:tcW w:w="960" w:type="dxa"/>
            <w:vAlign w:val="bottom"/>
            <w:shd w:val="clear" w:color="auto" w:fill="B9D9EB"/>
          </w:tcPr>
          <w:p>
            <w:pPr>
              <w:spacing w:after="0"/>
              <w:rPr>
                <w:sz w:val="6"/>
                <w:szCs w:val="6"/>
                <w:color w:val="auto"/>
              </w:rPr>
            </w:pPr>
          </w:p>
        </w:tc>
        <w:tc>
          <w:tcPr>
            <w:tcW w:w="100" w:type="dxa"/>
            <w:vAlign w:val="bottom"/>
            <w:shd w:val="clear" w:color="auto" w:fill="B9D9EB"/>
          </w:tcPr>
          <w:p>
            <w:pPr>
              <w:spacing w:after="0"/>
              <w:rPr>
                <w:sz w:val="6"/>
                <w:szCs w:val="6"/>
                <w:color w:val="auto"/>
              </w:rPr>
            </w:pPr>
          </w:p>
        </w:tc>
        <w:tc>
          <w:tcPr>
            <w:tcW w:w="180" w:type="dxa"/>
            <w:vAlign w:val="bottom"/>
            <w:shd w:val="clear" w:color="auto" w:fill="B9D9EB"/>
          </w:tcPr>
          <w:p>
            <w:pPr>
              <w:spacing w:after="0"/>
              <w:rPr>
                <w:sz w:val="6"/>
                <w:szCs w:val="6"/>
                <w:color w:val="auto"/>
              </w:rPr>
            </w:pPr>
          </w:p>
        </w:tc>
        <w:tc>
          <w:tcPr>
            <w:tcW w:w="900" w:type="dxa"/>
            <w:vAlign w:val="bottom"/>
            <w:shd w:val="clear" w:color="auto" w:fill="B9D9EB"/>
          </w:tcPr>
          <w:p>
            <w:pPr>
              <w:spacing w:after="0"/>
              <w:rPr>
                <w:sz w:val="6"/>
                <w:szCs w:val="6"/>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2"/>
                <w:szCs w:val="12"/>
                <w:color w:val="auto"/>
              </w:rPr>
              <w:t>Adjusted Diluted Earnings (Loss) Per Share*</w:t>
            </w:r>
          </w:p>
        </w:tc>
        <w:tc>
          <w:tcPr>
            <w:tcW w:w="12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0.87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0.50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68580</wp:posOffset>
            </wp:positionV>
            <wp:extent cx="390334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03345" cy="5715"/>
                    </a:xfrm>
                    <a:prstGeom prst="rect">
                      <a:avLst/>
                    </a:prstGeom>
                    <a:noFill/>
                  </pic:spPr>
                </pic:pic>
              </a:graphicData>
            </a:graphic>
          </wp:anchor>
        </w:drawing>
      </w:r>
    </w:p>
    <w:p>
      <w:pPr>
        <w:spacing w:after="0" w:line="93" w:lineRule="exact"/>
        <w:rPr>
          <w:sz w:val="20"/>
          <w:szCs w:val="20"/>
          <w:color w:val="auto"/>
        </w:rPr>
      </w:pPr>
    </w:p>
    <w:p>
      <w:pPr>
        <w:jc w:val="center"/>
        <w:ind w:right="80"/>
        <w:spacing w:after="0"/>
        <w:rPr>
          <w:sz w:val="20"/>
          <w:szCs w:val="20"/>
          <w:color w:val="auto"/>
        </w:rPr>
      </w:pPr>
      <w:r>
        <w:rPr>
          <w:rFonts w:ascii="Arial" w:cs="Arial" w:eastAsia="Arial" w:hAnsi="Arial"/>
          <w:sz w:val="12"/>
          <w:szCs w:val="12"/>
          <w:i w:val="1"/>
          <w:iCs w:val="1"/>
          <w:color w:val="auto"/>
        </w:rPr>
        <w:t>* A Non-GAAP supporting schedule is included with the statements and schedules attached to this press release.</w:t>
      </w:r>
    </w:p>
    <w:p>
      <w:pPr>
        <w:spacing w:after="0" w:line="294" w:lineRule="exact"/>
        <w:rPr>
          <w:sz w:val="20"/>
          <w:szCs w:val="20"/>
          <w:color w:val="auto"/>
        </w:rPr>
      </w:pPr>
    </w:p>
    <w:p>
      <w:pPr>
        <w:jc w:val="both"/>
        <w:ind w:left="60"/>
        <w:spacing w:after="0" w:line="250" w:lineRule="auto"/>
        <w:rPr>
          <w:sz w:val="20"/>
          <w:szCs w:val="20"/>
          <w:color w:val="auto"/>
        </w:rPr>
      </w:pPr>
      <w:r>
        <w:rPr>
          <w:rFonts w:ascii="Arial" w:cs="Arial" w:eastAsia="Arial" w:hAnsi="Arial"/>
          <w:sz w:val="12"/>
          <w:szCs w:val="12"/>
          <w:color w:val="auto"/>
        </w:rPr>
        <w:t>Robert W. Eifler, President and Chief Executive Officer of Noble Corporation plc, stated “</w:t>
      </w:r>
      <w:r>
        <w:rPr>
          <w:rFonts w:ascii="Arial" w:cs="Arial" w:eastAsia="Arial" w:hAnsi="Arial"/>
          <w:sz w:val="12"/>
          <w:szCs w:val="12"/>
          <w:i w:val="1"/>
          <w:iCs w:val="1"/>
          <w:color w:val="auto"/>
        </w:rPr>
        <w:t>Our third quarter results reflect continued strong operational and financial performance and demonstrate the power of the</w:t>
      </w:r>
      <w:r>
        <w:rPr>
          <w:rFonts w:ascii="Arial" w:cs="Arial" w:eastAsia="Arial" w:hAnsi="Arial"/>
          <w:sz w:val="12"/>
          <w:szCs w:val="12"/>
          <w:color w:val="auto"/>
        </w:rPr>
        <w:t xml:space="preserve"> </w:t>
      </w:r>
      <w:r>
        <w:rPr>
          <w:rFonts w:ascii="Arial" w:cs="Arial" w:eastAsia="Arial" w:hAnsi="Arial"/>
          <w:sz w:val="12"/>
          <w:szCs w:val="12"/>
          <w:i w:val="1"/>
          <w:iCs w:val="1"/>
          <w:color w:val="auto"/>
        </w:rPr>
        <w:t>Noble – Maersk Drilling combination where synergy progress and integration are ahead of schedule. We recently celebrated the one-year anniversary of the combination and I’d like to extend a special thank you to our employees around the world who have been so critical to the success of the integration which has exceeded all expectations. We remain optimistic about expanding free cash flow potential for Noble in the years ahead. To that end, we are pleased to be able to raise our quarterly dividend to $0.40 per share in the fourth quarter.”</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Third Quarter Results</w:t>
      </w:r>
    </w:p>
    <w:p>
      <w:pPr>
        <w:spacing w:after="0" w:line="20" w:lineRule="exact"/>
        <w:rPr>
          <w:sz w:val="20"/>
          <w:szCs w:val="20"/>
          <w:color w:val="auto"/>
        </w:rPr>
      </w:pPr>
    </w:p>
    <w:p>
      <w:pPr>
        <w:jc w:val="both"/>
        <w:ind w:left="60"/>
        <w:spacing w:after="0" w:line="254" w:lineRule="auto"/>
        <w:rPr>
          <w:sz w:val="20"/>
          <w:szCs w:val="20"/>
          <w:color w:val="auto"/>
        </w:rPr>
      </w:pPr>
      <w:r>
        <w:rPr>
          <w:rFonts w:ascii="Arial" w:cs="Arial" w:eastAsia="Arial" w:hAnsi="Arial"/>
          <w:sz w:val="12"/>
          <w:szCs w:val="12"/>
          <w:color w:val="auto"/>
        </w:rPr>
        <w:t>Contract drilling services revenue for the third quarter of 2023 totaled $671 million compared to $606 million in the second quarter, with the sequential increase driven by both higher average dayrates and utilization. Marketed fleet utilization was 78% in the three months ended September 30, 2023, compared to 76% in the previous quarter. Contract drilling services costs for the third quarter were $354 million, a slight decrease versus $363 million the second quarter due to lower repair and maintenance expense. Net income increased to $158 million in the third quarter, up from $66 million in the second quarter, and Adjusted EBITDA increased to $283 million in the third quarter, up from $188 million in the second quarter. Net cash provided by operating activities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60"/>
          </w:cols>
          <w:pgMar w:left="240" w:top="126"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color w:val="auto"/>
        </w:rPr>
        <w:t>in the third quarter was $139 million, capital expenditures were $99 million, and free cash flow (non-GAAP) was $40 million.</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Quarterly Dividend Increase</w:t>
      </w:r>
    </w:p>
    <w:p>
      <w:pPr>
        <w:spacing w:after="0" w:line="2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Noble’s Board of Directors approved an increase of the quarterly interim dividend to $0.40 per share in the fourth quarter of 2023. This dividend is to be payable on December 14th, 2023, to shareholders of record at close of business on November 15th, 2023. The Company intends to continue to pay dividends on a quarterly basis, and the fourth quarter dividend represents $1.60 on an annualized basis.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Future quarterly dividends and other shareholder returns will be subject to, amongst other things, approval by the Board of Directors, and may be modified as market conditions dictate.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Balance Sheet and Capital Allocation</w:t>
      </w:r>
    </w:p>
    <w:p>
      <w:pPr>
        <w:spacing w:after="0" w:line="2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Company's balance sheet as of September 30, 2023, reflected total debt principal value of $600 million and cash (and cash equivalents) of $245 million. Share repurchases totaled $10 million during the third quarter, bringing 2023 year-to-date share repurchases to $80 million, following approximately $86 million of cash used for share repurchases during the fourth quarter of 2022 (including the mandatory purchase associated with the Maersk Drilling squeeze-out).</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Highlights and Backlog</w:t>
      </w:r>
    </w:p>
    <w:p>
      <w:pPr>
        <w:spacing w:after="0" w:line="2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Noble's marketed fleet of sixteen floaters was 92% contracted through the third quarter, compared with 90% in the prior quarter. Recontracting visibility for the marketed fleet continues to be promising, with leading edge dayrates for working tier 1 drillships in the mid to high $400,000s range, and with moderate utilization inefficiencies caused by gaps between programs and scheduled maintenance related downtime.</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Utilization of Noble's thirteen marketed jackups was 61% in the third quarter, compared with 59% utilization during the second quarter. Contracting activity for the jackup fleet has picked up moderately from recent cyclical lows with leading edge fixtures for harsh rigs in the $130,000 to $150,000 range, while persisting soft demand in Norway continues to suppress utilization and dayrate potential for ultra-harsh jackups.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Subsequent to last quarter’s earnings press release, new contracts for Noble’s fleet with total contract value of approximately $240 million (including mobilization payments) include the following:</w:t>
      </w:r>
    </w:p>
    <w:p>
      <w:pPr>
        <w:spacing w:after="0" w:line="164" w:lineRule="exact"/>
        <w:rPr>
          <w:sz w:val="20"/>
          <w:szCs w:val="20"/>
          <w:color w:val="auto"/>
        </w:rPr>
      </w:pPr>
    </w:p>
    <w:p>
      <w:pPr>
        <w:ind w:left="420" w:right="20" w:hanging="212"/>
        <w:spacing w:after="0" w:line="282" w:lineRule="auto"/>
        <w:tabs>
          <w:tab w:leader="none" w:pos="408"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Noble Valiant </w:t>
      </w:r>
      <w:r>
        <w:rPr>
          <w:rFonts w:ascii="Arial" w:cs="Arial" w:eastAsia="Arial" w:hAnsi="Arial"/>
          <w:sz w:val="12"/>
          <w:szCs w:val="12"/>
          <w:color w:val="auto"/>
        </w:rPr>
        <w:t>was awarded a six-month contract with LLOG in the U.S. Gulf of Mexico, expected to commence in January 2024 in direct continuation of the rig’s current contract. The dayrate for this</w:t>
      </w:r>
      <w:r>
        <w:rPr>
          <w:rFonts w:ascii="Arial" w:cs="Arial" w:eastAsia="Arial" w:hAnsi="Arial"/>
          <w:sz w:val="12"/>
          <w:szCs w:val="12"/>
          <w:i w:val="1"/>
          <w:iCs w:val="1"/>
          <w:color w:val="auto"/>
        </w:rPr>
        <w:t xml:space="preserve"> </w:t>
      </w:r>
      <w:r>
        <w:rPr>
          <w:rFonts w:ascii="Arial" w:cs="Arial" w:eastAsia="Arial" w:hAnsi="Arial"/>
          <w:sz w:val="12"/>
          <w:szCs w:val="12"/>
          <w:color w:val="auto"/>
        </w:rPr>
        <w:t>contract is $470,000, excluding additional fees for the use of managed pressure drilling.</w:t>
      </w:r>
    </w:p>
    <w:p>
      <w:pPr>
        <w:spacing w:after="0" w:line="125" w:lineRule="exact"/>
        <w:rPr>
          <w:rFonts w:ascii="Arial" w:cs="Arial" w:eastAsia="Arial" w:hAnsi="Arial"/>
          <w:sz w:val="12"/>
          <w:szCs w:val="12"/>
          <w:i w:val="1"/>
          <w:iCs w:val="1"/>
          <w:color w:val="auto"/>
        </w:rPr>
      </w:pPr>
    </w:p>
    <w:p>
      <w:pPr>
        <w:ind w:left="420" w:right="20" w:hanging="212"/>
        <w:spacing w:after="0" w:line="282" w:lineRule="auto"/>
        <w:tabs>
          <w:tab w:leader="none" w:pos="408"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Noble Regina Allen </w:t>
      </w:r>
      <w:r>
        <w:rPr>
          <w:rFonts w:ascii="Arial" w:cs="Arial" w:eastAsia="Arial" w:hAnsi="Arial"/>
          <w:sz w:val="12"/>
          <w:szCs w:val="12"/>
          <w:color w:val="auto"/>
        </w:rPr>
        <w:t>was awarded a three well (estimated 220 days) contract with TotalEnergies in Argentina. This contract, expected to commence in mid-2024, has an operating dayrate of $150,000</w:t>
      </w:r>
      <w:r>
        <w:rPr>
          <w:rFonts w:ascii="Arial" w:cs="Arial" w:eastAsia="Arial" w:hAnsi="Arial"/>
          <w:sz w:val="12"/>
          <w:szCs w:val="12"/>
          <w:i w:val="1"/>
          <w:iCs w:val="1"/>
          <w:color w:val="auto"/>
        </w:rPr>
        <w:t xml:space="preserve"> </w:t>
      </w:r>
      <w:r>
        <w:rPr>
          <w:rFonts w:ascii="Arial" w:cs="Arial" w:eastAsia="Arial" w:hAnsi="Arial"/>
          <w:sz w:val="12"/>
          <w:szCs w:val="12"/>
          <w:color w:val="auto"/>
        </w:rPr>
        <w:t>excluding additional fees for mobilization and demobilization.</w:t>
      </w:r>
    </w:p>
    <w:p>
      <w:pPr>
        <w:spacing w:after="0" w:line="125" w:lineRule="exact"/>
        <w:rPr>
          <w:rFonts w:ascii="Arial" w:cs="Arial" w:eastAsia="Arial" w:hAnsi="Arial"/>
          <w:sz w:val="12"/>
          <w:szCs w:val="12"/>
          <w:i w:val="1"/>
          <w:iCs w:val="1"/>
          <w:color w:val="auto"/>
        </w:rPr>
      </w:pPr>
    </w:p>
    <w:p>
      <w:pPr>
        <w:ind w:left="420" w:hanging="212"/>
        <w:spacing w:after="0" w:line="282"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Noble Globetrotter I </w:t>
      </w:r>
      <w:r>
        <w:rPr>
          <w:rFonts w:ascii="Arial" w:cs="Arial" w:eastAsia="Arial" w:hAnsi="Arial"/>
          <w:sz w:val="12"/>
          <w:szCs w:val="12"/>
          <w:color w:val="auto"/>
        </w:rPr>
        <w:t>and</w:t>
      </w:r>
      <w:r>
        <w:rPr>
          <w:rFonts w:ascii="Arial" w:cs="Arial" w:eastAsia="Arial" w:hAnsi="Arial"/>
          <w:sz w:val="12"/>
          <w:szCs w:val="12"/>
          <w:i w:val="1"/>
          <w:iCs w:val="1"/>
          <w:color w:val="auto"/>
        </w:rPr>
        <w:t xml:space="preserve"> Noble Globetrotter II </w:t>
      </w:r>
      <w:r>
        <w:rPr>
          <w:rFonts w:ascii="Arial" w:cs="Arial" w:eastAsia="Arial" w:hAnsi="Arial"/>
          <w:sz w:val="12"/>
          <w:szCs w:val="12"/>
          <w:color w:val="auto"/>
        </w:rPr>
        <w:t>have both received additional contract terms from existing customers, with combined additional backlog of approximately $56 million and 5 months, extending</w:t>
      </w:r>
      <w:r>
        <w:rPr>
          <w:rFonts w:ascii="Arial" w:cs="Arial" w:eastAsia="Arial" w:hAnsi="Arial"/>
          <w:sz w:val="12"/>
          <w:szCs w:val="12"/>
          <w:i w:val="1"/>
          <w:iCs w:val="1"/>
          <w:color w:val="auto"/>
        </w:rPr>
        <w:t xml:space="preserve"> </w:t>
      </w:r>
      <w:r>
        <w:rPr>
          <w:rFonts w:ascii="Arial" w:cs="Arial" w:eastAsia="Arial" w:hAnsi="Arial"/>
          <w:sz w:val="12"/>
          <w:szCs w:val="12"/>
          <w:color w:val="auto"/>
        </w:rPr>
        <w:t>both rigs into mid Q1 2024</w:t>
      </w:r>
      <w:r>
        <w:rPr>
          <w:rFonts w:ascii="Arial" w:cs="Arial" w:eastAsia="Arial" w:hAnsi="Arial"/>
          <w:sz w:val="12"/>
          <w:szCs w:val="12"/>
          <w:color w:val="5D6771"/>
        </w:rPr>
        <w:t>.</w:t>
      </w:r>
    </w:p>
    <w:p>
      <w:pPr>
        <w:spacing w:after="0" w:line="125" w:lineRule="exact"/>
        <w:rPr>
          <w:rFonts w:ascii="Arial" w:cs="Arial" w:eastAsia="Arial" w:hAnsi="Arial"/>
          <w:sz w:val="12"/>
          <w:szCs w:val="12"/>
          <w:color w:val="auto"/>
        </w:rPr>
      </w:pPr>
    </w:p>
    <w:p>
      <w:pPr>
        <w:ind w:left="420" w:hanging="212"/>
        <w:spacing w:after="0" w:line="282" w:lineRule="auto"/>
        <w:tabs>
          <w:tab w:leader="none" w:pos="408"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Noble Reacher </w:t>
      </w:r>
      <w:r>
        <w:rPr>
          <w:rFonts w:ascii="Arial" w:cs="Arial" w:eastAsia="Arial" w:hAnsi="Arial"/>
          <w:sz w:val="12"/>
          <w:szCs w:val="12"/>
          <w:color w:val="auto"/>
        </w:rPr>
        <w:t>was extended by 15 months with TotalEnergies in the North Sea via previously priced options (approximately flat with the current dayrate), extending the rig’s firm contracted period to mid-2025 with one year of priced option remaining.</w:t>
      </w:r>
    </w:p>
    <w:p>
      <w:pPr>
        <w:spacing w:after="0" w:line="125" w:lineRule="exact"/>
        <w:rPr>
          <w:rFonts w:ascii="Arial" w:cs="Arial" w:eastAsia="Arial" w:hAnsi="Arial"/>
          <w:sz w:val="12"/>
          <w:szCs w:val="12"/>
          <w:i w:val="1"/>
          <w:iCs w:val="1"/>
          <w:color w:val="auto"/>
        </w:rPr>
      </w:pPr>
    </w:p>
    <w:p>
      <w:pPr>
        <w:ind w:left="420" w:hanging="212"/>
        <w:spacing w:after="0"/>
        <w:tabs>
          <w:tab w:leader="none" w:pos="420"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Noble Resilient </w:t>
      </w:r>
      <w:r>
        <w:rPr>
          <w:rFonts w:ascii="Arial" w:cs="Arial" w:eastAsia="Arial" w:hAnsi="Arial"/>
          <w:sz w:val="12"/>
          <w:szCs w:val="12"/>
          <w:color w:val="auto"/>
        </w:rPr>
        <w:t>was awarded a 120-day contract with Petrogas in the North Sea at a dayrate of $133,000. This contract is expected to commence in Q3 2024.</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Noble's backlog as of October 31, 2023 stands at $4.7 billion.</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Outlook</w:t>
      </w:r>
    </w:p>
    <w:p>
      <w:pPr>
        <w:spacing w:after="0" w:line="11"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For the full year 2023, Noble is increasing guidance for total revenue to a range of $2.5 to $2.6 billion (previously $ 2.35 to $ 2.55 billion) and Adjusted EBITDA to a range of $775 to $825 million (previously $725 to $825 million). Full year 2023 guidance for capital expenditures (net of reimbursable capex) remains unchanged at a range of $325 to $365 million.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689" w:right="299" w:bottom="1440" w:gutter="0" w:footer="0" w:header="0"/>
        </w:sectPr>
      </w:pPr>
    </w:p>
    <w:bookmarkStart w:id="5" w:name="page6"/>
    <w:bookmarkEnd w:id="5"/>
    <w:p>
      <w:pPr>
        <w:ind w:right="180"/>
        <w:spacing w:after="0" w:line="250" w:lineRule="auto"/>
        <w:rPr>
          <w:sz w:val="20"/>
          <w:szCs w:val="20"/>
          <w:color w:val="auto"/>
        </w:rPr>
      </w:pPr>
      <w:r>
        <w:rPr>
          <w:rFonts w:ascii="Arial" w:cs="Arial" w:eastAsia="Arial" w:hAnsi="Arial"/>
          <w:sz w:val="12"/>
          <w:szCs w:val="12"/>
          <w:color w:val="auto"/>
        </w:rPr>
        <w:t>Commenting on Noble’s outlook, Mr. Eifler stated, “</w:t>
      </w:r>
      <w:r>
        <w:rPr>
          <w:rFonts w:ascii="Arial" w:cs="Arial" w:eastAsia="Arial" w:hAnsi="Arial"/>
          <w:sz w:val="12"/>
          <w:szCs w:val="12"/>
          <w:i w:val="1"/>
          <w:iCs w:val="1"/>
          <w:color w:val="auto"/>
        </w:rPr>
        <w:t>Strong year-to-date operational and financial performance has enabled us to increase full year guidance and the quarterly dividend. Our outlook for a sustained</w:t>
      </w:r>
      <w:r>
        <w:rPr>
          <w:rFonts w:ascii="Arial" w:cs="Arial" w:eastAsia="Arial" w:hAnsi="Arial"/>
          <w:sz w:val="12"/>
          <w:szCs w:val="12"/>
          <w:color w:val="auto"/>
        </w:rPr>
        <w:t xml:space="preserve"> </w:t>
      </w:r>
      <w:r>
        <w:rPr>
          <w:rFonts w:ascii="Arial" w:cs="Arial" w:eastAsia="Arial" w:hAnsi="Arial"/>
          <w:sz w:val="12"/>
          <w:szCs w:val="12"/>
          <w:i w:val="1"/>
          <w:iCs w:val="1"/>
          <w:color w:val="auto"/>
        </w:rPr>
        <w:t>long-term up-cycle remains well supported by macro factors and customer dialogue. While moderately lower financial results are expected over the next two quarters due to contract sequencing and scheduled downtime, we continue to expect a nice step up in 2024 compared to 2023.”</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Due to the forward-looking nature of Adjusted EBITDA, management cannot reliably predict certain of the necessary components of the most directly comparable forward-looking GAAP measure. Accordingly, the Company is unable to present a quantitative reconciliation of such forward-looking non-GAAP financial measure to the most directly comparable forward-looking GAAP financial measure without unreasonable effort. The unavailable information could have a significant effect on Noble’s full year 2023 GAAP financial results.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w:t>
      </w:r>
    </w:p>
    <w:p>
      <w:pPr>
        <w:spacing w:after="0" w:line="20"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Noble will host a conference call related to its third quarter 2023 results on Wednesday, November 1st, 2023, at 8:00 a.m. U.S. Central Time. Interested parties may dial +1 929-203-0901 and refer to conference ID 31391 approximately 15 minutes prior to the scheduled start time. Additionally, a live webcast link will be available on the Investor Relations section of the Company’s website. A webcast replay will be accessible for a limited time following the scheduled call.</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additional information, visit </w:t>
      </w:r>
      <w:r>
        <w:rPr>
          <w:rFonts w:ascii="Arial" w:cs="Arial" w:eastAsia="Arial" w:hAnsi="Arial"/>
          <w:sz w:val="12"/>
          <w:szCs w:val="12"/>
          <w:u w:val="single" w:color="auto"/>
          <w:color w:val="002F6C"/>
        </w:rPr>
        <w:t>www.noblecorp.com</w:t>
      </w:r>
      <w:r>
        <w:rPr>
          <w:rFonts w:ascii="Arial" w:cs="Arial" w:eastAsia="Arial" w:hAnsi="Arial"/>
          <w:sz w:val="12"/>
          <w:szCs w:val="12"/>
          <w:color w:val="auto"/>
        </w:rPr>
        <w:t xml:space="preserve"> or email </w:t>
      </w:r>
      <w:r>
        <w:rPr>
          <w:rFonts w:ascii="Arial" w:cs="Arial" w:eastAsia="Arial" w:hAnsi="Arial"/>
          <w:sz w:val="12"/>
          <w:szCs w:val="12"/>
          <w:u w:val="single" w:color="auto"/>
          <w:color w:val="002F6C"/>
        </w:rPr>
        <w:t>investors@noblecorp.com</w:t>
      </w:r>
      <w:r>
        <w:rPr>
          <w:rFonts w:ascii="Arial" w:cs="Arial" w:eastAsia="Arial" w:hAnsi="Arial"/>
          <w:sz w:val="12"/>
          <w:szCs w:val="12"/>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 Noble Corporation plc</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Ian Macpherson</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Vice President - Investor Relations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+1 713-239-6507</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2F6C"/>
        </w:rPr>
        <w:t>imacpherson@noblecorp.com</w:t>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Noble Corporation plc</w:t>
      </w:r>
    </w:p>
    <w:p>
      <w:pPr>
        <w:spacing w:after="0" w:line="2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Noble is a leading offshore drilling contractor for the oil and gas industry. The Company owns and operates one of the most modern, versatile, and technically advanced fleets in the offshore drilling industry. Noble and its predecessors have been engaged in the contract drilling of oil and gas wells since 1921. Noble performs, through its subsidiaries, contract drilling services with a fleet of offshore drilling units focused largely on ultra-deepwater and high specification jackup drilling opportunities in both established and emerging regions worldwide. Additional information on Noble is available at </w:t>
      </w:r>
      <w:r>
        <w:rPr>
          <w:rFonts w:ascii="Arial" w:cs="Arial" w:eastAsia="Arial" w:hAnsi="Arial"/>
          <w:sz w:val="12"/>
          <w:szCs w:val="12"/>
          <w:u w:val="single" w:color="auto"/>
          <w:color w:val="002F6C"/>
        </w:rPr>
        <w:t>www.noblecorp.com</w:t>
      </w:r>
      <w:r>
        <w:rPr>
          <w:rFonts w:ascii="Arial" w:cs="Arial" w:eastAsia="Arial" w:hAnsi="Arial"/>
          <w:sz w:val="12"/>
          <w:szCs w:val="12"/>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Details</w:t>
      </w:r>
    </w:p>
    <w:p>
      <w:pPr>
        <w:spacing w:after="0" w:line="11" w:lineRule="exact"/>
        <w:rPr>
          <w:sz w:val="20"/>
          <w:szCs w:val="20"/>
          <w:color w:val="auto"/>
        </w:rPr>
      </w:pPr>
    </w:p>
    <w:p>
      <w:pPr>
        <w:ind w:right="160"/>
        <w:spacing w:after="0" w:line="290" w:lineRule="auto"/>
        <w:rPr>
          <w:sz w:val="20"/>
          <w:szCs w:val="20"/>
          <w:color w:val="auto"/>
        </w:rPr>
      </w:pPr>
      <w:r>
        <w:rPr>
          <w:rFonts w:ascii="Arial" w:cs="Arial" w:eastAsia="Arial" w:hAnsi="Arial"/>
          <w:sz w:val="11"/>
          <w:szCs w:val="11"/>
          <w:color w:val="auto"/>
        </w:rPr>
        <w:t>Dividends payable to Noble shareholders will generally be paid in U.S. dollars (USD). However, holders of shares in the form of share entitlements admitted to trading on NASDAQ Copenhagen will receive an equivalent dividend payment in Danish krone (DKK) as determined by the exchange rate on a specified date. The holders of such share entitlements bear the risk of fluctuations in USD and DKK exchange rates.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This communication includes “forward-looking statements” within the meaning of Section 27A of the Securities Act and Section 21E of the Exchange Act, as amended. All statements other than statements of historical facts included in this communication are forward looking statements, including those regarding future guidance, including revenue, adjusted EBITDA, the offshore drilling market and demand fundamentals, realization and timing of integration synergies, related costs to achieve, new technology and software platforms, free cash flow expectations, capital expenditure, capital allocation expectations including planned dividend and share repurchases, contract backlog, rig demand, expected future contracts, anticipated contract start dates, dayrates and duration, fleet condition and utilization, 2023 and 2024 financial guidance, business, financial performance and position and our plans, objectives, expectations and intentions related to the Noble-Maersk merger. Forward-looking statements involve risks, uncertainties and assumptions, and actual results may differ materially from any future results expressed or implied by such forward-looking statements. When used in this communication, or in the documents incorporated by reference, the words “anticipate,” “believe,” “continue,” “could,” “estimate,” “expect,” “intend,” “may,” “might,” “on track,” “plan,” “possible,” “potential,” “predict,” “project,” “should,” “would,” “shall,” “target,” “will” and similar expressions are intended to be among the statements that identify forward-looking statements. Although we believe that the expectations reflected in such forward-looking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838" w:right="29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2"/>
          <w:szCs w:val="12"/>
          <w:color w:val="auto"/>
        </w:rPr>
        <w:t>statements are reasonable, we cannot assure you that such expectations will prove to be correct. These forward-looking statements speak only as of the date of this communication and we undertake no obligation to revise or update any forward-looking statement for any reason, except as required by law. Risks and uncertainties include, but are not limited to, those detailed in Noble’s most recent Annual Report on Form 10-K, Quarterly Reports Form 10-Q and other filings with the U.S. Securities and Exchange Commission. We cannot control such risk factors and other uncertainties, and in many cases, we cannot predict the risks and uncertainties that could cause our actual results to differ materially from those indicated by the forward-looking statements. You should consider these risks and uncertainties when you are evaluating us. With respect to our capital allocation policy, distributions to shareholders in the form of either dividends or share buybacks are subject to the Board of Directors’ assessment of factors such as business development, growth strategy, current leverage and financing needs. There can be no assurance that a dividend will be declared or continued.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689" w:right="2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2"/>
          <w:szCs w:val="12"/>
          <w:b w:val="1"/>
          <w:bCs w:val="1"/>
          <w:color w:val="auto"/>
        </w:rPr>
        <w:t>NOBLE CORPORATION plc AND SUBSIDIARIES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per share amounts)</w:t>
      </w:r>
    </w:p>
    <w:p>
      <w:pPr>
        <w:spacing w:after="0" w:line="70" w:lineRule="exact"/>
        <w:rPr>
          <w:sz w:val="20"/>
          <w:szCs w:val="20"/>
          <w:color w:val="auto"/>
        </w:rPr>
      </w:pPr>
    </w:p>
    <w:tbl>
      <w:tblPr>
        <w:tblLayout w:type="fixed"/>
        <w:tblInd w:w="820" w:type="dxa"/>
        <w:tblCellMar>
          <w:top w:w="0" w:type="dxa"/>
          <w:left w:w="0" w:type="dxa"/>
          <w:bottom w:w="0" w:type="dxa"/>
          <w:right w:w="0" w:type="dxa"/>
        </w:tblCellMar>
      </w:tblPr>
      <w:tr>
        <w:trPr>
          <w:trHeight w:val="134"/>
        </w:trPr>
        <w:tc>
          <w:tcPr>
            <w:tcW w:w="6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5"/>
          </w:tcPr>
          <w:p>
            <w:pPr>
              <w:ind w:left="40"/>
              <w:spacing w:after="0"/>
              <w:rPr>
                <w:sz w:val="20"/>
                <w:szCs w:val="20"/>
                <w:color w:val="auto"/>
              </w:rPr>
            </w:pPr>
            <w:r>
              <w:rPr>
                <w:rFonts w:ascii="Arial" w:cs="Arial" w:eastAsia="Arial" w:hAnsi="Arial"/>
                <w:sz w:val="10"/>
                <w:szCs w:val="10"/>
                <w:b w:val="1"/>
                <w:bCs w:val="1"/>
                <w:color w:val="auto"/>
              </w:rPr>
              <w:t>Three Months Ended September 30,</w:t>
            </w:r>
          </w:p>
        </w:tc>
        <w:tc>
          <w:tcPr>
            <w:tcW w:w="120" w:type="dxa"/>
            <w:vAlign w:val="bottom"/>
          </w:tcPr>
          <w:p>
            <w:pPr>
              <w:spacing w:after="0"/>
              <w:rPr>
                <w:sz w:val="11"/>
                <w:szCs w:val="11"/>
                <w:color w:val="auto"/>
              </w:rPr>
            </w:pPr>
          </w:p>
        </w:tc>
        <w:tc>
          <w:tcPr>
            <w:tcW w:w="1840" w:type="dxa"/>
            <w:vAlign w:val="bottom"/>
            <w:gridSpan w:val="4"/>
          </w:tcPr>
          <w:p>
            <w:pPr>
              <w:jc w:val="right"/>
              <w:ind w:right="141"/>
              <w:spacing w:after="0"/>
              <w:rPr>
                <w:sz w:val="20"/>
                <w:szCs w:val="20"/>
                <w:color w:val="auto"/>
              </w:rPr>
            </w:pPr>
            <w:r>
              <w:rPr>
                <w:rFonts w:ascii="Arial" w:cs="Arial" w:eastAsia="Arial" w:hAnsi="Arial"/>
                <w:sz w:val="10"/>
                <w:szCs w:val="10"/>
                <w:b w:val="1"/>
                <w:bCs w:val="1"/>
                <w:color w:val="auto"/>
                <w:w w:val="98"/>
              </w:rPr>
              <w:t>Nine Months Ended September 30,</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2700" w:type="dxa"/>
            <w:vAlign w:val="bottom"/>
            <w:tcBorders>
              <w:bottom w:val="single" w:sz="8" w:color="B9D9EB"/>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top w:val="single" w:sz="8" w:color="auto"/>
              <w:bottom w:val="single" w:sz="8" w:color="B9D9EB"/>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2022</w:t>
            </w:r>
          </w:p>
        </w:tc>
        <w:tc>
          <w:tcPr>
            <w:tcW w:w="120" w:type="dxa"/>
            <w:vAlign w:val="bottom"/>
            <w:tcBorders>
              <w:bottom w:val="single" w:sz="8" w:color="B9D9EB"/>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2023</w:t>
            </w:r>
          </w:p>
        </w:tc>
        <w:tc>
          <w:tcPr>
            <w:tcW w:w="120" w:type="dxa"/>
            <w:vAlign w:val="bottom"/>
            <w:tcBorders>
              <w:top w:val="single" w:sz="8" w:color="auto"/>
              <w:bottom w:val="single" w:sz="8" w:color="B9D9EB"/>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2022</w:t>
            </w:r>
          </w:p>
        </w:tc>
        <w:tc>
          <w:tcPr>
            <w:tcW w:w="0" w:type="dxa"/>
            <w:vAlign w:val="bottom"/>
          </w:tcPr>
          <w:p>
            <w:pPr>
              <w:spacing w:after="0"/>
              <w:rPr>
                <w:sz w:val="1"/>
                <w:szCs w:val="1"/>
                <w:color w:val="auto"/>
              </w:rPr>
            </w:pPr>
          </w:p>
        </w:tc>
      </w:tr>
      <w:tr>
        <w:trPr>
          <w:trHeight w:val="161"/>
        </w:trPr>
        <w:tc>
          <w:tcPr>
            <w:tcW w:w="660" w:type="dxa"/>
            <w:vAlign w:val="bottom"/>
          </w:tcPr>
          <w:p>
            <w:pPr>
              <w:spacing w:after="0"/>
              <w:rPr>
                <w:sz w:val="14"/>
                <w:szCs w:val="14"/>
                <w:color w:val="auto"/>
              </w:rPr>
            </w:pPr>
          </w:p>
        </w:tc>
        <w:tc>
          <w:tcPr>
            <w:tcW w:w="2700" w:type="dxa"/>
            <w:vAlign w:val="bottom"/>
            <w:shd w:val="clear" w:color="auto" w:fill="B9D9EB"/>
          </w:tcPr>
          <w:p>
            <w:pPr>
              <w:ind w:left="20"/>
              <w:spacing w:after="0"/>
              <w:rPr>
                <w:sz w:val="20"/>
                <w:szCs w:val="20"/>
                <w:color w:val="auto"/>
              </w:rPr>
            </w:pPr>
            <w:r>
              <w:rPr>
                <w:rFonts w:ascii="Arial" w:cs="Arial" w:eastAsia="Arial" w:hAnsi="Arial"/>
                <w:sz w:val="12"/>
                <w:szCs w:val="12"/>
                <w:b w:val="1"/>
                <w:bCs w:val="1"/>
                <w:color w:val="auto"/>
              </w:rPr>
              <w:t>Operating revenues</w:t>
            </w:r>
          </w:p>
        </w:tc>
        <w:tc>
          <w:tcPr>
            <w:tcW w:w="120" w:type="dxa"/>
            <w:vAlign w:val="bottom"/>
            <w:shd w:val="clear" w:color="auto" w:fill="B9D9EB"/>
          </w:tcPr>
          <w:p>
            <w:pPr>
              <w:spacing w:after="0"/>
              <w:rPr>
                <w:sz w:val="14"/>
                <w:szCs w:val="14"/>
                <w:color w:val="auto"/>
              </w:rPr>
            </w:pPr>
          </w:p>
        </w:tc>
        <w:tc>
          <w:tcPr>
            <w:tcW w:w="800" w:type="dxa"/>
            <w:vAlign w:val="bottom"/>
            <w:shd w:val="clear" w:color="auto" w:fill="B9D9EB"/>
          </w:tcPr>
          <w:p>
            <w:pPr>
              <w:spacing w:after="0"/>
              <w:rPr>
                <w:sz w:val="14"/>
                <w:szCs w:val="14"/>
                <w:color w:val="auto"/>
              </w:rPr>
            </w:pPr>
          </w:p>
        </w:tc>
        <w:tc>
          <w:tcPr>
            <w:tcW w:w="100" w:type="dxa"/>
            <w:vAlign w:val="bottom"/>
            <w:shd w:val="clear" w:color="auto" w:fill="B9D9EB"/>
          </w:tcPr>
          <w:p>
            <w:pPr>
              <w:spacing w:after="0"/>
              <w:rPr>
                <w:sz w:val="14"/>
                <w:szCs w:val="14"/>
                <w:color w:val="auto"/>
              </w:rPr>
            </w:pPr>
          </w:p>
        </w:tc>
        <w:tc>
          <w:tcPr>
            <w:tcW w:w="220" w:type="dxa"/>
            <w:vAlign w:val="bottom"/>
            <w:shd w:val="clear" w:color="auto" w:fill="B9D9EB"/>
          </w:tcPr>
          <w:p>
            <w:pPr>
              <w:spacing w:after="0"/>
              <w:rPr>
                <w:sz w:val="14"/>
                <w:szCs w:val="14"/>
                <w:color w:val="auto"/>
              </w:rPr>
            </w:pPr>
          </w:p>
        </w:tc>
        <w:tc>
          <w:tcPr>
            <w:tcW w:w="700" w:type="dxa"/>
            <w:vAlign w:val="bottom"/>
            <w:shd w:val="clear" w:color="auto" w:fill="B9D9EB"/>
          </w:tcPr>
          <w:p>
            <w:pPr>
              <w:spacing w:after="0"/>
              <w:rPr>
                <w:sz w:val="14"/>
                <w:szCs w:val="14"/>
                <w:color w:val="auto"/>
              </w:rPr>
            </w:pPr>
          </w:p>
        </w:tc>
        <w:tc>
          <w:tcPr>
            <w:tcW w:w="120" w:type="dxa"/>
            <w:vAlign w:val="bottom"/>
            <w:shd w:val="clear" w:color="auto" w:fill="B9D9EB"/>
          </w:tcPr>
          <w:p>
            <w:pPr>
              <w:spacing w:after="0"/>
              <w:rPr>
                <w:sz w:val="14"/>
                <w:szCs w:val="14"/>
                <w:color w:val="auto"/>
              </w:rPr>
            </w:pPr>
          </w:p>
        </w:tc>
        <w:tc>
          <w:tcPr>
            <w:tcW w:w="120" w:type="dxa"/>
            <w:vAlign w:val="bottom"/>
            <w:shd w:val="clear" w:color="auto" w:fill="B9D9EB"/>
          </w:tcPr>
          <w:p>
            <w:pPr>
              <w:spacing w:after="0"/>
              <w:rPr>
                <w:sz w:val="14"/>
                <w:szCs w:val="14"/>
                <w:color w:val="auto"/>
              </w:rPr>
            </w:pPr>
          </w:p>
        </w:tc>
        <w:tc>
          <w:tcPr>
            <w:tcW w:w="800" w:type="dxa"/>
            <w:vAlign w:val="bottom"/>
            <w:shd w:val="clear" w:color="auto" w:fill="B9D9EB"/>
          </w:tcPr>
          <w:p>
            <w:pPr>
              <w:spacing w:after="0"/>
              <w:rPr>
                <w:sz w:val="14"/>
                <w:szCs w:val="14"/>
                <w:color w:val="auto"/>
              </w:rPr>
            </w:pPr>
          </w:p>
        </w:tc>
        <w:tc>
          <w:tcPr>
            <w:tcW w:w="120" w:type="dxa"/>
            <w:vAlign w:val="bottom"/>
            <w:shd w:val="clear" w:color="auto" w:fill="B9D9EB"/>
          </w:tcPr>
          <w:p>
            <w:pPr>
              <w:spacing w:after="0"/>
              <w:rPr>
                <w:sz w:val="14"/>
                <w:szCs w:val="14"/>
                <w:color w:val="auto"/>
              </w:rPr>
            </w:pPr>
          </w:p>
        </w:tc>
        <w:tc>
          <w:tcPr>
            <w:tcW w:w="200" w:type="dxa"/>
            <w:vAlign w:val="bottom"/>
            <w:shd w:val="clear" w:color="auto" w:fill="B9D9EB"/>
          </w:tcPr>
          <w:p>
            <w:pPr>
              <w:spacing w:after="0"/>
              <w:rPr>
                <w:sz w:val="14"/>
                <w:szCs w:val="14"/>
                <w:color w:val="auto"/>
              </w:rPr>
            </w:pPr>
          </w:p>
        </w:tc>
        <w:tc>
          <w:tcPr>
            <w:tcW w:w="720" w:type="dxa"/>
            <w:vAlign w:val="bottom"/>
            <w:shd w:val="clear" w:color="auto" w:fill="B9D9EB"/>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700" w:type="dxa"/>
            <w:vAlign w:val="bottom"/>
          </w:tcPr>
          <w:p>
            <w:pPr>
              <w:ind w:left="160"/>
              <w:spacing w:after="0"/>
              <w:rPr>
                <w:sz w:val="20"/>
                <w:szCs w:val="20"/>
                <w:color w:val="auto"/>
              </w:rPr>
            </w:pPr>
            <w:r>
              <w:rPr>
                <w:rFonts w:ascii="Arial" w:cs="Arial" w:eastAsia="Arial" w:hAnsi="Arial"/>
                <w:sz w:val="12"/>
                <w:szCs w:val="12"/>
                <w:color w:val="auto"/>
              </w:rPr>
              <w:t>Contract drilling services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671,004</w:t>
            </w:r>
          </w:p>
        </w:tc>
        <w:tc>
          <w:tcPr>
            <w:tcW w:w="10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289,494</w:t>
            </w:r>
          </w:p>
        </w:tc>
        <w:tc>
          <w:tcPr>
            <w:tcW w:w="120" w:type="dxa"/>
            <w:vAlign w:val="bottom"/>
          </w:tcPr>
          <w:p>
            <w:pPr>
              <w:spacing w:after="0"/>
              <w:rPr>
                <w:sz w:val="15"/>
                <w:szCs w:val="15"/>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1,852,474</w:t>
            </w:r>
          </w:p>
        </w:tc>
        <w:tc>
          <w:tcPr>
            <w:tcW w:w="12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746,992</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700" w:type="dxa"/>
            <w:vAlign w:val="bottom"/>
            <w:shd w:val="clear" w:color="auto" w:fill="B9D9EB"/>
          </w:tcPr>
          <w:p>
            <w:pPr>
              <w:ind w:left="160"/>
              <w:spacing w:after="0"/>
              <w:rPr>
                <w:sz w:val="20"/>
                <w:szCs w:val="20"/>
                <w:color w:val="auto"/>
              </w:rPr>
            </w:pPr>
            <w:r>
              <w:rPr>
                <w:rFonts w:ascii="Arial" w:cs="Arial" w:eastAsia="Arial" w:hAnsi="Arial"/>
                <w:sz w:val="12"/>
                <w:szCs w:val="12"/>
                <w:color w:val="auto"/>
              </w:rPr>
              <w:t>Reimbursables and other</w:t>
            </w:r>
          </w:p>
        </w:tc>
        <w:tc>
          <w:tcPr>
            <w:tcW w:w="120" w:type="dxa"/>
            <w:vAlign w:val="bottom"/>
            <w:tcBorders>
              <w:bottom w:val="single" w:sz="8" w:color="auto"/>
            </w:tcBorders>
            <w:shd w:val="clear" w:color="auto" w:fill="B9D9EB"/>
          </w:tcPr>
          <w:p>
            <w:pPr>
              <w:spacing w:after="0"/>
              <w:rPr>
                <w:sz w:val="15"/>
                <w:szCs w:val="15"/>
                <w:color w:val="auto"/>
              </w:rPr>
            </w:pPr>
          </w:p>
        </w:tc>
        <w:tc>
          <w:tcPr>
            <w:tcW w:w="8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26,446</w:t>
            </w:r>
          </w:p>
        </w:tc>
        <w:tc>
          <w:tcPr>
            <w:tcW w:w="100" w:type="dxa"/>
            <w:vAlign w:val="bottom"/>
            <w:shd w:val="clear" w:color="auto" w:fill="B9D9EB"/>
          </w:tcPr>
          <w:p>
            <w:pPr>
              <w:spacing w:after="0"/>
              <w:rPr>
                <w:sz w:val="15"/>
                <w:szCs w:val="15"/>
                <w:color w:val="auto"/>
              </w:rPr>
            </w:pPr>
          </w:p>
        </w:tc>
        <w:tc>
          <w:tcPr>
            <w:tcW w:w="220" w:type="dxa"/>
            <w:vAlign w:val="bottom"/>
            <w:tcBorders>
              <w:bottom w:val="single" w:sz="8" w:color="auto"/>
            </w:tcBorders>
            <w:shd w:val="clear" w:color="auto" w:fill="B9D9EB"/>
          </w:tcPr>
          <w:p>
            <w:pPr>
              <w:spacing w:after="0"/>
              <w:rPr>
                <w:sz w:val="15"/>
                <w:szCs w:val="15"/>
                <w:color w:val="auto"/>
              </w:rPr>
            </w:pPr>
          </w:p>
        </w:tc>
        <w:tc>
          <w:tcPr>
            <w:tcW w:w="7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16,378</w:t>
            </w:r>
          </w:p>
        </w:tc>
        <w:tc>
          <w:tcPr>
            <w:tcW w:w="120" w:type="dxa"/>
            <w:vAlign w:val="bottom"/>
            <w:shd w:val="clear" w:color="auto" w:fill="B9D9EB"/>
          </w:tcPr>
          <w:p>
            <w:pPr>
              <w:spacing w:after="0"/>
              <w:rPr>
                <w:sz w:val="15"/>
                <w:szCs w:val="15"/>
                <w:color w:val="auto"/>
              </w:rPr>
            </w:pPr>
          </w:p>
        </w:tc>
        <w:tc>
          <w:tcPr>
            <w:tcW w:w="120" w:type="dxa"/>
            <w:vAlign w:val="bottom"/>
            <w:tcBorders>
              <w:bottom w:val="single" w:sz="8" w:color="auto"/>
            </w:tcBorders>
            <w:shd w:val="clear" w:color="auto" w:fill="B9D9EB"/>
          </w:tcPr>
          <w:p>
            <w:pPr>
              <w:spacing w:after="0"/>
              <w:rPr>
                <w:sz w:val="15"/>
                <w:szCs w:val="15"/>
                <w:color w:val="auto"/>
              </w:rPr>
            </w:pPr>
          </w:p>
        </w:tc>
        <w:tc>
          <w:tcPr>
            <w:tcW w:w="8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93,565</w:t>
            </w:r>
          </w:p>
        </w:tc>
        <w:tc>
          <w:tcPr>
            <w:tcW w:w="120" w:type="dxa"/>
            <w:vAlign w:val="bottom"/>
            <w:shd w:val="clear" w:color="auto" w:fill="B9D9EB"/>
          </w:tcPr>
          <w:p>
            <w:pPr>
              <w:spacing w:after="0"/>
              <w:rPr>
                <w:sz w:val="15"/>
                <w:szCs w:val="15"/>
                <w:color w:val="auto"/>
              </w:rPr>
            </w:pPr>
          </w:p>
        </w:tc>
        <w:tc>
          <w:tcPr>
            <w:tcW w:w="200" w:type="dxa"/>
            <w:vAlign w:val="bottom"/>
            <w:tcBorders>
              <w:bottom w:val="single" w:sz="8" w:color="auto"/>
            </w:tcBorders>
            <w:shd w:val="clear" w:color="auto" w:fill="B9D9EB"/>
          </w:tcPr>
          <w:p>
            <w:pPr>
              <w:spacing w:after="0"/>
              <w:rPr>
                <w:sz w:val="15"/>
                <w:szCs w:val="15"/>
                <w:color w:val="auto"/>
              </w:rPr>
            </w:pPr>
          </w:p>
        </w:tc>
        <w:tc>
          <w:tcPr>
            <w:tcW w:w="720" w:type="dxa"/>
            <w:vAlign w:val="bottom"/>
            <w:tcBorders>
              <w:bottom w:val="single" w:sz="8" w:color="auto"/>
            </w:tcBorders>
            <w:shd w:val="clear" w:color="auto" w:fill="B9D9EB"/>
          </w:tcPr>
          <w:p>
            <w:pPr>
              <w:jc w:val="right"/>
              <w:ind w:right="21"/>
              <w:spacing w:after="0"/>
              <w:rPr>
                <w:sz w:val="20"/>
                <w:szCs w:val="20"/>
                <w:color w:val="auto"/>
              </w:rPr>
            </w:pPr>
            <w:r>
              <w:rPr>
                <w:rFonts w:ascii="Arial" w:cs="Arial" w:eastAsia="Arial" w:hAnsi="Arial"/>
                <w:sz w:val="12"/>
                <w:szCs w:val="12"/>
                <w:color w:val="auto"/>
              </w:rPr>
              <w:t>44,263</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2700" w:type="dxa"/>
            <w:vAlign w:val="bottom"/>
            <w:tcBorders>
              <w:bottom w:val="single" w:sz="8" w:color="B9D9EB"/>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697,450</w:t>
            </w:r>
          </w:p>
        </w:tc>
        <w:tc>
          <w:tcPr>
            <w:tcW w:w="100" w:type="dxa"/>
            <w:vAlign w:val="bottom"/>
            <w:tcBorders>
              <w:bottom w:val="single" w:sz="8" w:color="B9D9EB"/>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305,872</w:t>
            </w:r>
          </w:p>
        </w:tc>
        <w:tc>
          <w:tcPr>
            <w:tcW w:w="120" w:type="dxa"/>
            <w:vAlign w:val="bottom"/>
            <w:tcBorders>
              <w:bottom w:val="single" w:sz="8" w:color="B9D9EB"/>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1,946,039</w:t>
            </w:r>
          </w:p>
        </w:tc>
        <w:tc>
          <w:tcPr>
            <w:tcW w:w="120" w:type="dxa"/>
            <w:vAlign w:val="bottom"/>
            <w:tcBorders>
              <w:bottom w:val="single" w:sz="8" w:color="B9D9EB"/>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791,255</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2700" w:type="dxa"/>
            <w:vAlign w:val="bottom"/>
            <w:shd w:val="clear" w:color="auto" w:fill="B9D9EB"/>
          </w:tcPr>
          <w:p>
            <w:pPr>
              <w:ind w:left="20"/>
              <w:spacing w:after="0"/>
              <w:rPr>
                <w:sz w:val="20"/>
                <w:szCs w:val="20"/>
                <w:color w:val="auto"/>
              </w:rPr>
            </w:pPr>
            <w:r>
              <w:rPr>
                <w:rFonts w:ascii="Arial" w:cs="Arial" w:eastAsia="Arial" w:hAnsi="Arial"/>
                <w:sz w:val="12"/>
                <w:szCs w:val="12"/>
                <w:b w:val="1"/>
                <w:bCs w:val="1"/>
                <w:color w:val="auto"/>
              </w:rPr>
              <w:t>Operating costs and expenses</w:t>
            </w:r>
          </w:p>
        </w:tc>
        <w:tc>
          <w:tcPr>
            <w:tcW w:w="120" w:type="dxa"/>
            <w:vAlign w:val="bottom"/>
            <w:shd w:val="clear" w:color="auto" w:fill="B9D9EB"/>
          </w:tcPr>
          <w:p>
            <w:pPr>
              <w:spacing w:after="0"/>
              <w:rPr>
                <w:sz w:val="13"/>
                <w:szCs w:val="13"/>
                <w:color w:val="auto"/>
              </w:rPr>
            </w:pPr>
          </w:p>
        </w:tc>
        <w:tc>
          <w:tcPr>
            <w:tcW w:w="800" w:type="dxa"/>
            <w:vAlign w:val="bottom"/>
            <w:shd w:val="clear" w:color="auto" w:fill="B9D9EB"/>
          </w:tcPr>
          <w:p>
            <w:pPr>
              <w:spacing w:after="0"/>
              <w:rPr>
                <w:sz w:val="13"/>
                <w:szCs w:val="13"/>
                <w:color w:val="auto"/>
              </w:rPr>
            </w:pPr>
          </w:p>
        </w:tc>
        <w:tc>
          <w:tcPr>
            <w:tcW w:w="100" w:type="dxa"/>
            <w:vAlign w:val="bottom"/>
            <w:shd w:val="clear" w:color="auto" w:fill="B9D9EB"/>
          </w:tcPr>
          <w:p>
            <w:pPr>
              <w:spacing w:after="0"/>
              <w:rPr>
                <w:sz w:val="13"/>
                <w:szCs w:val="13"/>
                <w:color w:val="auto"/>
              </w:rPr>
            </w:pPr>
          </w:p>
        </w:tc>
        <w:tc>
          <w:tcPr>
            <w:tcW w:w="220" w:type="dxa"/>
            <w:vAlign w:val="bottom"/>
            <w:shd w:val="clear" w:color="auto" w:fill="B9D9EB"/>
          </w:tcPr>
          <w:p>
            <w:pPr>
              <w:spacing w:after="0"/>
              <w:rPr>
                <w:sz w:val="13"/>
                <w:szCs w:val="13"/>
                <w:color w:val="auto"/>
              </w:rPr>
            </w:pPr>
          </w:p>
        </w:tc>
        <w:tc>
          <w:tcPr>
            <w:tcW w:w="700" w:type="dxa"/>
            <w:vAlign w:val="bottom"/>
            <w:shd w:val="clear" w:color="auto" w:fill="B9D9EB"/>
          </w:tcPr>
          <w:p>
            <w:pPr>
              <w:spacing w:after="0"/>
              <w:rPr>
                <w:sz w:val="13"/>
                <w:szCs w:val="13"/>
                <w:color w:val="auto"/>
              </w:rPr>
            </w:pPr>
          </w:p>
        </w:tc>
        <w:tc>
          <w:tcPr>
            <w:tcW w:w="120" w:type="dxa"/>
            <w:vAlign w:val="bottom"/>
            <w:shd w:val="clear" w:color="auto" w:fill="B9D9EB"/>
          </w:tcPr>
          <w:p>
            <w:pPr>
              <w:spacing w:after="0"/>
              <w:rPr>
                <w:sz w:val="13"/>
                <w:szCs w:val="13"/>
                <w:color w:val="auto"/>
              </w:rPr>
            </w:pPr>
          </w:p>
        </w:tc>
        <w:tc>
          <w:tcPr>
            <w:tcW w:w="120" w:type="dxa"/>
            <w:vAlign w:val="bottom"/>
            <w:shd w:val="clear" w:color="auto" w:fill="B9D9EB"/>
          </w:tcPr>
          <w:p>
            <w:pPr>
              <w:spacing w:after="0"/>
              <w:rPr>
                <w:sz w:val="13"/>
                <w:szCs w:val="13"/>
                <w:color w:val="auto"/>
              </w:rPr>
            </w:pPr>
          </w:p>
        </w:tc>
        <w:tc>
          <w:tcPr>
            <w:tcW w:w="800" w:type="dxa"/>
            <w:vAlign w:val="bottom"/>
            <w:shd w:val="clear" w:color="auto" w:fill="B9D9EB"/>
          </w:tcPr>
          <w:p>
            <w:pPr>
              <w:spacing w:after="0"/>
              <w:rPr>
                <w:sz w:val="13"/>
                <w:szCs w:val="13"/>
                <w:color w:val="auto"/>
              </w:rPr>
            </w:pPr>
          </w:p>
        </w:tc>
        <w:tc>
          <w:tcPr>
            <w:tcW w:w="120" w:type="dxa"/>
            <w:vAlign w:val="bottom"/>
            <w:shd w:val="clear" w:color="auto" w:fill="B9D9EB"/>
          </w:tcPr>
          <w:p>
            <w:pPr>
              <w:spacing w:after="0"/>
              <w:rPr>
                <w:sz w:val="13"/>
                <w:szCs w:val="13"/>
                <w:color w:val="auto"/>
              </w:rPr>
            </w:pPr>
          </w:p>
        </w:tc>
        <w:tc>
          <w:tcPr>
            <w:tcW w:w="200" w:type="dxa"/>
            <w:vAlign w:val="bottom"/>
            <w:shd w:val="clear" w:color="auto" w:fill="B9D9EB"/>
          </w:tcPr>
          <w:p>
            <w:pPr>
              <w:spacing w:after="0"/>
              <w:rPr>
                <w:sz w:val="13"/>
                <w:szCs w:val="13"/>
                <w:color w:val="auto"/>
              </w:rPr>
            </w:pPr>
          </w:p>
        </w:tc>
        <w:tc>
          <w:tcPr>
            <w:tcW w:w="720" w:type="dxa"/>
            <w:vAlign w:val="bottom"/>
            <w:shd w:val="clear" w:color="auto" w:fill="B9D9EB"/>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700" w:type="dxa"/>
            <w:vAlign w:val="bottom"/>
          </w:tcPr>
          <w:p>
            <w:pPr>
              <w:ind w:left="160"/>
              <w:spacing w:after="0"/>
              <w:rPr>
                <w:sz w:val="20"/>
                <w:szCs w:val="20"/>
                <w:color w:val="auto"/>
              </w:rPr>
            </w:pPr>
            <w:r>
              <w:rPr>
                <w:rFonts w:ascii="Arial" w:cs="Arial" w:eastAsia="Arial" w:hAnsi="Arial"/>
                <w:sz w:val="12"/>
                <w:szCs w:val="12"/>
                <w:color w:val="auto"/>
              </w:rPr>
              <w:t>Contract drilling services</w:t>
            </w:r>
          </w:p>
        </w:tc>
        <w:tc>
          <w:tcPr>
            <w:tcW w:w="1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354,199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186,482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1,078,521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530,710</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700" w:type="dxa"/>
            <w:vAlign w:val="bottom"/>
            <w:shd w:val="clear" w:color="auto" w:fill="B9D9EB"/>
          </w:tcPr>
          <w:p>
            <w:pPr>
              <w:ind w:left="160"/>
              <w:spacing w:after="0"/>
              <w:rPr>
                <w:sz w:val="20"/>
                <w:szCs w:val="20"/>
                <w:color w:val="auto"/>
              </w:rPr>
            </w:pPr>
            <w:r>
              <w:rPr>
                <w:rFonts w:ascii="Arial" w:cs="Arial" w:eastAsia="Arial" w:hAnsi="Arial"/>
                <w:sz w:val="12"/>
                <w:szCs w:val="12"/>
                <w:color w:val="auto"/>
              </w:rPr>
              <w:t>Reimbursables</w:t>
            </w:r>
          </w:p>
        </w:tc>
        <w:tc>
          <w:tcPr>
            <w:tcW w:w="120" w:type="dxa"/>
            <w:vAlign w:val="bottom"/>
            <w:shd w:val="clear" w:color="auto" w:fill="B9D9EB"/>
          </w:tcPr>
          <w:p>
            <w:pPr>
              <w:spacing w:after="0"/>
              <w:rPr>
                <w:sz w:val="15"/>
                <w:szCs w:val="15"/>
                <w:color w:val="auto"/>
              </w:rPr>
            </w:pP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16,682</w:t>
            </w:r>
          </w:p>
        </w:tc>
        <w:tc>
          <w:tcPr>
            <w:tcW w:w="100" w:type="dxa"/>
            <w:vAlign w:val="bottom"/>
            <w:shd w:val="clear" w:color="auto" w:fill="B9D9EB"/>
          </w:tcPr>
          <w:p>
            <w:pPr>
              <w:spacing w:after="0"/>
              <w:rPr>
                <w:sz w:val="15"/>
                <w:szCs w:val="15"/>
                <w:color w:val="auto"/>
              </w:rPr>
            </w:pPr>
          </w:p>
        </w:tc>
        <w:tc>
          <w:tcPr>
            <w:tcW w:w="220" w:type="dxa"/>
            <w:vAlign w:val="bottom"/>
            <w:shd w:val="clear" w:color="auto" w:fill="B9D9EB"/>
          </w:tcPr>
          <w:p>
            <w:pPr>
              <w:spacing w:after="0"/>
              <w:rPr>
                <w:sz w:val="15"/>
                <w:szCs w:val="15"/>
                <w:color w:val="auto"/>
              </w:rPr>
            </w:pPr>
          </w:p>
        </w:tc>
        <w:tc>
          <w:tcPr>
            <w:tcW w:w="7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13,284</w:t>
            </w:r>
          </w:p>
        </w:tc>
        <w:tc>
          <w:tcPr>
            <w:tcW w:w="120" w:type="dxa"/>
            <w:vAlign w:val="bottom"/>
            <w:shd w:val="clear" w:color="auto" w:fill="B9D9EB"/>
          </w:tcPr>
          <w:p>
            <w:pPr>
              <w:spacing w:after="0"/>
              <w:rPr>
                <w:sz w:val="15"/>
                <w:szCs w:val="15"/>
                <w:color w:val="auto"/>
              </w:rPr>
            </w:pPr>
          </w:p>
        </w:tc>
        <w:tc>
          <w:tcPr>
            <w:tcW w:w="120" w:type="dxa"/>
            <w:vAlign w:val="bottom"/>
            <w:shd w:val="clear" w:color="auto" w:fill="B9D9EB"/>
          </w:tcPr>
          <w:p>
            <w:pPr>
              <w:spacing w:after="0"/>
              <w:rPr>
                <w:sz w:val="15"/>
                <w:szCs w:val="15"/>
                <w:color w:val="auto"/>
              </w:rPr>
            </w:pP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67,484</w:t>
            </w:r>
          </w:p>
        </w:tc>
        <w:tc>
          <w:tcPr>
            <w:tcW w:w="120" w:type="dxa"/>
            <w:vAlign w:val="bottom"/>
            <w:shd w:val="clear" w:color="auto" w:fill="B9D9EB"/>
          </w:tcPr>
          <w:p>
            <w:pPr>
              <w:spacing w:after="0"/>
              <w:rPr>
                <w:sz w:val="15"/>
                <w:szCs w:val="15"/>
                <w:color w:val="auto"/>
              </w:rPr>
            </w:pPr>
          </w:p>
        </w:tc>
        <w:tc>
          <w:tcPr>
            <w:tcW w:w="200" w:type="dxa"/>
            <w:vAlign w:val="bottom"/>
            <w:shd w:val="clear" w:color="auto" w:fill="B9D9EB"/>
          </w:tcPr>
          <w:p>
            <w:pPr>
              <w:spacing w:after="0"/>
              <w:rPr>
                <w:sz w:val="15"/>
                <w:szCs w:val="15"/>
                <w:color w:val="auto"/>
              </w:rPr>
            </w:pPr>
          </w:p>
        </w:tc>
        <w:tc>
          <w:tcPr>
            <w:tcW w:w="720" w:type="dxa"/>
            <w:vAlign w:val="bottom"/>
            <w:shd w:val="clear" w:color="auto" w:fill="B9D9EB"/>
          </w:tcPr>
          <w:p>
            <w:pPr>
              <w:jc w:val="right"/>
              <w:ind w:right="21"/>
              <w:spacing w:after="0"/>
              <w:rPr>
                <w:sz w:val="20"/>
                <w:szCs w:val="20"/>
                <w:color w:val="auto"/>
              </w:rPr>
            </w:pPr>
            <w:r>
              <w:rPr>
                <w:rFonts w:ascii="Arial" w:cs="Arial" w:eastAsia="Arial" w:hAnsi="Arial"/>
                <w:sz w:val="12"/>
                <w:szCs w:val="12"/>
                <w:color w:val="auto"/>
              </w:rPr>
              <w:t>37,095</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700" w:type="dxa"/>
            <w:vAlign w:val="bottom"/>
          </w:tcPr>
          <w:p>
            <w:pPr>
              <w:ind w:left="160"/>
              <w:spacing w:after="0"/>
              <w:rPr>
                <w:sz w:val="20"/>
                <w:szCs w:val="20"/>
                <w:color w:val="auto"/>
              </w:rPr>
            </w:pPr>
            <w:r>
              <w:rPr>
                <w:rFonts w:ascii="Arial" w:cs="Arial" w:eastAsia="Arial" w:hAnsi="Arial"/>
                <w:sz w:val="12"/>
                <w:szCs w:val="12"/>
                <w:color w:val="auto"/>
              </w:rPr>
              <w:t>Depreciation and amortization</w:t>
            </w:r>
          </w:p>
        </w:tc>
        <w:tc>
          <w:tcPr>
            <w:tcW w:w="1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77,146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24,868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218,412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77,109</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700" w:type="dxa"/>
            <w:vAlign w:val="bottom"/>
            <w:shd w:val="clear" w:color="auto" w:fill="B9D9EB"/>
          </w:tcPr>
          <w:p>
            <w:pPr>
              <w:ind w:left="160"/>
              <w:spacing w:after="0"/>
              <w:rPr>
                <w:sz w:val="20"/>
                <w:szCs w:val="20"/>
                <w:color w:val="auto"/>
              </w:rPr>
            </w:pPr>
            <w:r>
              <w:rPr>
                <w:rFonts w:ascii="Arial" w:cs="Arial" w:eastAsia="Arial" w:hAnsi="Arial"/>
                <w:sz w:val="12"/>
                <w:szCs w:val="12"/>
                <w:color w:val="auto"/>
              </w:rPr>
              <w:t>General and administrative</w:t>
            </w:r>
          </w:p>
        </w:tc>
        <w:tc>
          <w:tcPr>
            <w:tcW w:w="120" w:type="dxa"/>
            <w:vAlign w:val="bottom"/>
            <w:shd w:val="clear" w:color="auto" w:fill="B9D9EB"/>
          </w:tcPr>
          <w:p>
            <w:pPr>
              <w:spacing w:after="0"/>
              <w:rPr>
                <w:sz w:val="15"/>
                <w:szCs w:val="15"/>
                <w:color w:val="auto"/>
              </w:rPr>
            </w:pP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33,039</w:t>
            </w:r>
          </w:p>
        </w:tc>
        <w:tc>
          <w:tcPr>
            <w:tcW w:w="100" w:type="dxa"/>
            <w:vAlign w:val="bottom"/>
            <w:shd w:val="clear" w:color="auto" w:fill="B9D9EB"/>
          </w:tcPr>
          <w:p>
            <w:pPr>
              <w:spacing w:after="0"/>
              <w:rPr>
                <w:sz w:val="15"/>
                <w:szCs w:val="15"/>
                <w:color w:val="auto"/>
              </w:rPr>
            </w:pPr>
          </w:p>
        </w:tc>
        <w:tc>
          <w:tcPr>
            <w:tcW w:w="220" w:type="dxa"/>
            <w:vAlign w:val="bottom"/>
            <w:shd w:val="clear" w:color="auto" w:fill="B9D9EB"/>
          </w:tcPr>
          <w:p>
            <w:pPr>
              <w:spacing w:after="0"/>
              <w:rPr>
                <w:sz w:val="15"/>
                <w:szCs w:val="15"/>
                <w:color w:val="auto"/>
              </w:rPr>
            </w:pPr>
          </w:p>
        </w:tc>
        <w:tc>
          <w:tcPr>
            <w:tcW w:w="7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18,089</w:t>
            </w:r>
          </w:p>
        </w:tc>
        <w:tc>
          <w:tcPr>
            <w:tcW w:w="120" w:type="dxa"/>
            <w:vAlign w:val="bottom"/>
            <w:shd w:val="clear" w:color="auto" w:fill="B9D9EB"/>
          </w:tcPr>
          <w:p>
            <w:pPr>
              <w:spacing w:after="0"/>
              <w:rPr>
                <w:sz w:val="15"/>
                <w:szCs w:val="15"/>
                <w:color w:val="auto"/>
              </w:rPr>
            </w:pPr>
          </w:p>
        </w:tc>
        <w:tc>
          <w:tcPr>
            <w:tcW w:w="120" w:type="dxa"/>
            <w:vAlign w:val="bottom"/>
            <w:shd w:val="clear" w:color="auto" w:fill="B9D9EB"/>
          </w:tcPr>
          <w:p>
            <w:pPr>
              <w:spacing w:after="0"/>
              <w:rPr>
                <w:sz w:val="15"/>
                <w:szCs w:val="15"/>
                <w:color w:val="auto"/>
              </w:rPr>
            </w:pP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95,428</w:t>
            </w:r>
          </w:p>
        </w:tc>
        <w:tc>
          <w:tcPr>
            <w:tcW w:w="120" w:type="dxa"/>
            <w:vAlign w:val="bottom"/>
            <w:shd w:val="clear" w:color="auto" w:fill="B9D9EB"/>
          </w:tcPr>
          <w:p>
            <w:pPr>
              <w:spacing w:after="0"/>
              <w:rPr>
                <w:sz w:val="15"/>
                <w:szCs w:val="15"/>
                <w:color w:val="auto"/>
              </w:rPr>
            </w:pPr>
          </w:p>
        </w:tc>
        <w:tc>
          <w:tcPr>
            <w:tcW w:w="200" w:type="dxa"/>
            <w:vAlign w:val="bottom"/>
            <w:shd w:val="clear" w:color="auto" w:fill="B9D9EB"/>
          </w:tcPr>
          <w:p>
            <w:pPr>
              <w:spacing w:after="0"/>
              <w:rPr>
                <w:sz w:val="15"/>
                <w:szCs w:val="15"/>
                <w:color w:val="auto"/>
              </w:rPr>
            </w:pPr>
          </w:p>
        </w:tc>
        <w:tc>
          <w:tcPr>
            <w:tcW w:w="720" w:type="dxa"/>
            <w:vAlign w:val="bottom"/>
            <w:shd w:val="clear" w:color="auto" w:fill="B9D9EB"/>
          </w:tcPr>
          <w:p>
            <w:pPr>
              <w:jc w:val="right"/>
              <w:ind w:right="21"/>
              <w:spacing w:after="0"/>
              <w:rPr>
                <w:sz w:val="20"/>
                <w:szCs w:val="20"/>
                <w:color w:val="auto"/>
              </w:rPr>
            </w:pPr>
            <w:r>
              <w:rPr>
                <w:rFonts w:ascii="Arial" w:cs="Arial" w:eastAsia="Arial" w:hAnsi="Arial"/>
                <w:sz w:val="12"/>
                <w:szCs w:val="12"/>
                <w:color w:val="auto"/>
              </w:rPr>
              <w:t>52,300</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700" w:type="dxa"/>
            <w:vAlign w:val="bottom"/>
          </w:tcPr>
          <w:p>
            <w:pPr>
              <w:ind w:left="160"/>
              <w:spacing w:after="0"/>
              <w:rPr>
                <w:sz w:val="20"/>
                <w:szCs w:val="20"/>
                <w:color w:val="auto"/>
              </w:rPr>
            </w:pPr>
            <w:r>
              <w:rPr>
                <w:rFonts w:ascii="Arial" w:cs="Arial" w:eastAsia="Arial" w:hAnsi="Arial"/>
                <w:sz w:val="12"/>
                <w:szCs w:val="12"/>
                <w:color w:val="auto"/>
              </w:rPr>
              <w:t>Merger and integration costs</w:t>
            </w:r>
          </w:p>
        </w:tc>
        <w:tc>
          <w:tcPr>
            <w:tcW w:w="1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12,966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9,338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47,049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27,916</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2700" w:type="dxa"/>
            <w:vAlign w:val="bottom"/>
            <w:shd w:val="clear" w:color="auto" w:fill="B9D9EB"/>
          </w:tcPr>
          <w:p>
            <w:pPr>
              <w:ind w:left="160"/>
              <w:spacing w:after="0"/>
              <w:rPr>
                <w:sz w:val="20"/>
                <w:szCs w:val="20"/>
                <w:color w:val="auto"/>
              </w:rPr>
            </w:pPr>
            <w:r>
              <w:rPr>
                <w:rFonts w:ascii="Arial" w:cs="Arial" w:eastAsia="Arial" w:hAnsi="Arial"/>
                <w:sz w:val="12"/>
                <w:szCs w:val="12"/>
                <w:color w:val="auto"/>
              </w:rPr>
              <w:t>(Gain) loss on sale of operating assets, net</w:t>
            </w:r>
          </w:p>
        </w:tc>
        <w:tc>
          <w:tcPr>
            <w:tcW w:w="120" w:type="dxa"/>
            <w:vAlign w:val="bottom"/>
            <w:shd w:val="clear" w:color="auto" w:fill="B9D9EB"/>
          </w:tcPr>
          <w:p>
            <w:pPr>
              <w:spacing w:after="0"/>
              <w:rPr>
                <w:sz w:val="19"/>
                <w:szCs w:val="19"/>
                <w:color w:val="auto"/>
              </w:rPr>
            </w:pPr>
          </w:p>
        </w:tc>
        <w:tc>
          <w:tcPr>
            <w:tcW w:w="900" w:type="dxa"/>
            <w:vAlign w:val="bottom"/>
            <w:gridSpan w:val="2"/>
            <w:shd w:val="clear" w:color="auto" w:fill="B9D9EB"/>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B9D9EB"/>
          </w:tcPr>
          <w:p>
            <w:pPr>
              <w:spacing w:after="0"/>
              <w:rPr>
                <w:sz w:val="19"/>
                <w:szCs w:val="19"/>
                <w:color w:val="auto"/>
              </w:rPr>
            </w:pPr>
          </w:p>
        </w:tc>
        <w:tc>
          <w:tcPr>
            <w:tcW w:w="7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354</w:t>
            </w:r>
          </w:p>
        </w:tc>
        <w:tc>
          <w:tcPr>
            <w:tcW w:w="12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920" w:type="dxa"/>
            <w:vAlign w:val="bottom"/>
            <w:gridSpan w:val="2"/>
            <w:shd w:val="clear" w:color="auto" w:fill="B9D9EB"/>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shd w:val="clear" w:color="auto" w:fill="B9D9EB"/>
          </w:tcPr>
          <w:p>
            <w:pPr>
              <w:spacing w:after="0"/>
              <w:rPr>
                <w:sz w:val="19"/>
                <w:szCs w:val="19"/>
                <w:color w:val="auto"/>
              </w:rPr>
            </w:pPr>
          </w:p>
        </w:tc>
        <w:tc>
          <w:tcPr>
            <w:tcW w:w="7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(3,105)</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700" w:type="dxa"/>
            <w:vAlign w:val="bottom"/>
            <w:tcBorders>
              <w:bottom w:val="single" w:sz="8" w:color="B9D9EB"/>
            </w:tcBorders>
          </w:tcPr>
          <w:p>
            <w:pPr>
              <w:ind w:left="160"/>
              <w:spacing w:after="0"/>
              <w:rPr>
                <w:sz w:val="20"/>
                <w:szCs w:val="20"/>
                <w:color w:val="auto"/>
              </w:rPr>
            </w:pPr>
            <w:r>
              <w:rPr>
                <w:rFonts w:ascii="Arial" w:cs="Arial" w:eastAsia="Arial" w:hAnsi="Arial"/>
                <w:sz w:val="12"/>
                <w:szCs w:val="12"/>
                <w:color w:val="auto"/>
              </w:rPr>
              <w:t>Hurricane losses and (recoveries), net</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2,642</w:t>
            </w:r>
          </w:p>
        </w:tc>
        <w:tc>
          <w:tcPr>
            <w:tcW w:w="100" w:type="dxa"/>
            <w:vAlign w:val="bottom"/>
            <w:tcBorders>
              <w:bottom w:val="single" w:sz="8" w:color="B9D9E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1,896</w:t>
            </w:r>
          </w:p>
        </w:tc>
        <w:tc>
          <w:tcPr>
            <w:tcW w:w="120" w:type="dxa"/>
            <w:vAlign w:val="bottom"/>
            <w:tcBorders>
              <w:bottom w:val="single" w:sz="8" w:color="B9D9E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22,120</w:t>
            </w:r>
          </w:p>
        </w:tc>
        <w:tc>
          <w:tcPr>
            <w:tcW w:w="120" w:type="dxa"/>
            <w:vAlign w:val="bottom"/>
            <w:tcBorders>
              <w:bottom w:val="single" w:sz="8" w:color="B9D9E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4,701</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2700" w:type="dxa"/>
            <w:vAlign w:val="bottom"/>
            <w:shd w:val="clear" w:color="auto" w:fill="B9D9EB"/>
          </w:tcPr>
          <w:p>
            <w:pPr>
              <w:spacing w:after="0"/>
              <w:rPr>
                <w:sz w:val="13"/>
                <w:szCs w:val="13"/>
                <w:color w:val="auto"/>
              </w:rPr>
            </w:pPr>
          </w:p>
        </w:tc>
        <w:tc>
          <w:tcPr>
            <w:tcW w:w="120" w:type="dxa"/>
            <w:vAlign w:val="bottom"/>
            <w:tcBorders>
              <w:bottom w:val="single" w:sz="8" w:color="auto"/>
            </w:tcBorders>
            <w:shd w:val="clear" w:color="auto" w:fill="B9D9EB"/>
          </w:tcPr>
          <w:p>
            <w:pPr>
              <w:spacing w:after="0"/>
              <w:rPr>
                <w:sz w:val="13"/>
                <w:szCs w:val="13"/>
                <w:color w:val="auto"/>
              </w:rPr>
            </w:pPr>
          </w:p>
        </w:tc>
        <w:tc>
          <w:tcPr>
            <w:tcW w:w="8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496,674</w:t>
            </w:r>
          </w:p>
        </w:tc>
        <w:tc>
          <w:tcPr>
            <w:tcW w:w="100" w:type="dxa"/>
            <w:vAlign w:val="bottom"/>
            <w:shd w:val="clear" w:color="auto" w:fill="B9D9EB"/>
          </w:tcPr>
          <w:p>
            <w:pPr>
              <w:spacing w:after="0"/>
              <w:rPr>
                <w:sz w:val="13"/>
                <w:szCs w:val="13"/>
                <w:color w:val="auto"/>
              </w:rPr>
            </w:pPr>
          </w:p>
        </w:tc>
        <w:tc>
          <w:tcPr>
            <w:tcW w:w="220" w:type="dxa"/>
            <w:vAlign w:val="bottom"/>
            <w:tcBorders>
              <w:bottom w:val="single" w:sz="8" w:color="auto"/>
            </w:tcBorders>
            <w:shd w:val="clear" w:color="auto" w:fill="B9D9EB"/>
          </w:tcPr>
          <w:p>
            <w:pPr>
              <w:spacing w:after="0"/>
              <w:rPr>
                <w:sz w:val="13"/>
                <w:szCs w:val="13"/>
                <w:color w:val="auto"/>
              </w:rPr>
            </w:pPr>
          </w:p>
        </w:tc>
        <w:tc>
          <w:tcPr>
            <w:tcW w:w="7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254,311</w:t>
            </w:r>
          </w:p>
        </w:tc>
        <w:tc>
          <w:tcPr>
            <w:tcW w:w="120" w:type="dxa"/>
            <w:vAlign w:val="bottom"/>
            <w:shd w:val="clear" w:color="auto" w:fill="B9D9EB"/>
          </w:tcPr>
          <w:p>
            <w:pPr>
              <w:spacing w:after="0"/>
              <w:rPr>
                <w:sz w:val="13"/>
                <w:szCs w:val="13"/>
                <w:color w:val="auto"/>
              </w:rPr>
            </w:pPr>
          </w:p>
        </w:tc>
        <w:tc>
          <w:tcPr>
            <w:tcW w:w="120" w:type="dxa"/>
            <w:vAlign w:val="bottom"/>
            <w:tcBorders>
              <w:bottom w:val="single" w:sz="8" w:color="auto"/>
            </w:tcBorders>
            <w:shd w:val="clear" w:color="auto" w:fill="B9D9EB"/>
          </w:tcPr>
          <w:p>
            <w:pPr>
              <w:spacing w:after="0"/>
              <w:rPr>
                <w:sz w:val="13"/>
                <w:szCs w:val="13"/>
                <w:color w:val="auto"/>
              </w:rPr>
            </w:pPr>
          </w:p>
        </w:tc>
        <w:tc>
          <w:tcPr>
            <w:tcW w:w="8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1,529,014</w:t>
            </w:r>
          </w:p>
        </w:tc>
        <w:tc>
          <w:tcPr>
            <w:tcW w:w="120" w:type="dxa"/>
            <w:vAlign w:val="bottom"/>
            <w:shd w:val="clear" w:color="auto" w:fill="B9D9EB"/>
          </w:tcPr>
          <w:p>
            <w:pPr>
              <w:spacing w:after="0"/>
              <w:rPr>
                <w:sz w:val="13"/>
                <w:szCs w:val="13"/>
                <w:color w:val="auto"/>
              </w:rPr>
            </w:pPr>
          </w:p>
        </w:tc>
        <w:tc>
          <w:tcPr>
            <w:tcW w:w="200" w:type="dxa"/>
            <w:vAlign w:val="bottom"/>
            <w:tcBorders>
              <w:bottom w:val="single" w:sz="8" w:color="auto"/>
            </w:tcBorders>
            <w:shd w:val="clear" w:color="auto" w:fill="B9D9EB"/>
          </w:tcPr>
          <w:p>
            <w:pPr>
              <w:spacing w:after="0"/>
              <w:rPr>
                <w:sz w:val="13"/>
                <w:szCs w:val="13"/>
                <w:color w:val="auto"/>
              </w:rPr>
            </w:pPr>
          </w:p>
        </w:tc>
        <w:tc>
          <w:tcPr>
            <w:tcW w:w="720" w:type="dxa"/>
            <w:vAlign w:val="bottom"/>
            <w:tcBorders>
              <w:bottom w:val="single" w:sz="8" w:color="auto"/>
            </w:tcBorders>
            <w:shd w:val="clear" w:color="auto" w:fill="B9D9EB"/>
          </w:tcPr>
          <w:p>
            <w:pPr>
              <w:jc w:val="right"/>
              <w:ind w:right="21"/>
              <w:spacing w:after="0"/>
              <w:rPr>
                <w:sz w:val="20"/>
                <w:szCs w:val="20"/>
                <w:color w:val="auto"/>
              </w:rPr>
            </w:pPr>
            <w:r>
              <w:rPr>
                <w:rFonts w:ascii="Arial" w:cs="Arial" w:eastAsia="Arial" w:hAnsi="Arial"/>
                <w:sz w:val="12"/>
                <w:szCs w:val="12"/>
                <w:color w:val="auto"/>
              </w:rPr>
              <w:t>726,726</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2700" w:type="dxa"/>
            <w:vAlign w:val="bottom"/>
          </w:tcPr>
          <w:p>
            <w:pPr>
              <w:ind w:left="20"/>
              <w:spacing w:after="0"/>
              <w:rPr>
                <w:sz w:val="20"/>
                <w:szCs w:val="20"/>
                <w:color w:val="auto"/>
              </w:rPr>
            </w:pPr>
            <w:r>
              <w:rPr>
                <w:rFonts w:ascii="Arial" w:cs="Arial" w:eastAsia="Arial" w:hAnsi="Arial"/>
                <w:sz w:val="12"/>
                <w:szCs w:val="12"/>
                <w:b w:val="1"/>
                <w:bCs w:val="1"/>
                <w:color w:val="auto"/>
              </w:rPr>
              <w:t>Operating income (loss)</w:t>
            </w:r>
          </w:p>
        </w:tc>
        <w:tc>
          <w:tcPr>
            <w:tcW w:w="12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200,776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51,561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417,025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64,529</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700" w:type="dxa"/>
            <w:vAlign w:val="bottom"/>
            <w:shd w:val="clear" w:color="auto" w:fill="B9D9EB"/>
          </w:tcPr>
          <w:p>
            <w:pPr>
              <w:ind w:left="20"/>
              <w:spacing w:after="0"/>
              <w:rPr>
                <w:sz w:val="20"/>
                <w:szCs w:val="20"/>
                <w:color w:val="auto"/>
              </w:rPr>
            </w:pPr>
            <w:r>
              <w:rPr>
                <w:rFonts w:ascii="Arial" w:cs="Arial" w:eastAsia="Arial" w:hAnsi="Arial"/>
                <w:sz w:val="12"/>
                <w:szCs w:val="12"/>
                <w:b w:val="1"/>
                <w:bCs w:val="1"/>
                <w:color w:val="auto"/>
              </w:rPr>
              <w:t>Other income (expense)</w:t>
            </w:r>
          </w:p>
        </w:tc>
        <w:tc>
          <w:tcPr>
            <w:tcW w:w="120" w:type="dxa"/>
            <w:vAlign w:val="bottom"/>
            <w:shd w:val="clear" w:color="auto" w:fill="B9D9EB"/>
          </w:tcPr>
          <w:p>
            <w:pPr>
              <w:spacing w:after="0"/>
              <w:rPr>
                <w:sz w:val="15"/>
                <w:szCs w:val="15"/>
                <w:color w:val="auto"/>
              </w:rPr>
            </w:pPr>
          </w:p>
        </w:tc>
        <w:tc>
          <w:tcPr>
            <w:tcW w:w="800" w:type="dxa"/>
            <w:vAlign w:val="bottom"/>
            <w:shd w:val="clear" w:color="auto" w:fill="B9D9EB"/>
          </w:tcPr>
          <w:p>
            <w:pPr>
              <w:spacing w:after="0"/>
              <w:rPr>
                <w:sz w:val="15"/>
                <w:szCs w:val="15"/>
                <w:color w:val="auto"/>
              </w:rPr>
            </w:pPr>
          </w:p>
        </w:tc>
        <w:tc>
          <w:tcPr>
            <w:tcW w:w="100" w:type="dxa"/>
            <w:vAlign w:val="bottom"/>
            <w:shd w:val="clear" w:color="auto" w:fill="B9D9EB"/>
          </w:tcPr>
          <w:p>
            <w:pPr>
              <w:spacing w:after="0"/>
              <w:rPr>
                <w:sz w:val="15"/>
                <w:szCs w:val="15"/>
                <w:color w:val="auto"/>
              </w:rPr>
            </w:pPr>
          </w:p>
        </w:tc>
        <w:tc>
          <w:tcPr>
            <w:tcW w:w="220" w:type="dxa"/>
            <w:vAlign w:val="bottom"/>
            <w:shd w:val="clear" w:color="auto" w:fill="B9D9EB"/>
          </w:tcPr>
          <w:p>
            <w:pPr>
              <w:spacing w:after="0"/>
              <w:rPr>
                <w:sz w:val="15"/>
                <w:szCs w:val="15"/>
                <w:color w:val="auto"/>
              </w:rPr>
            </w:pPr>
          </w:p>
        </w:tc>
        <w:tc>
          <w:tcPr>
            <w:tcW w:w="700" w:type="dxa"/>
            <w:vAlign w:val="bottom"/>
            <w:shd w:val="clear" w:color="auto" w:fill="B9D9EB"/>
          </w:tcPr>
          <w:p>
            <w:pPr>
              <w:spacing w:after="0"/>
              <w:rPr>
                <w:sz w:val="15"/>
                <w:szCs w:val="15"/>
                <w:color w:val="auto"/>
              </w:rPr>
            </w:pPr>
          </w:p>
        </w:tc>
        <w:tc>
          <w:tcPr>
            <w:tcW w:w="120" w:type="dxa"/>
            <w:vAlign w:val="bottom"/>
            <w:shd w:val="clear" w:color="auto" w:fill="B9D9EB"/>
          </w:tcPr>
          <w:p>
            <w:pPr>
              <w:spacing w:after="0"/>
              <w:rPr>
                <w:sz w:val="15"/>
                <w:szCs w:val="15"/>
                <w:color w:val="auto"/>
              </w:rPr>
            </w:pPr>
          </w:p>
        </w:tc>
        <w:tc>
          <w:tcPr>
            <w:tcW w:w="120" w:type="dxa"/>
            <w:vAlign w:val="bottom"/>
            <w:shd w:val="clear" w:color="auto" w:fill="B9D9EB"/>
          </w:tcPr>
          <w:p>
            <w:pPr>
              <w:spacing w:after="0"/>
              <w:rPr>
                <w:sz w:val="15"/>
                <w:szCs w:val="15"/>
                <w:color w:val="auto"/>
              </w:rPr>
            </w:pPr>
          </w:p>
        </w:tc>
        <w:tc>
          <w:tcPr>
            <w:tcW w:w="800" w:type="dxa"/>
            <w:vAlign w:val="bottom"/>
            <w:shd w:val="clear" w:color="auto" w:fill="B9D9EB"/>
          </w:tcPr>
          <w:p>
            <w:pPr>
              <w:spacing w:after="0"/>
              <w:rPr>
                <w:sz w:val="15"/>
                <w:szCs w:val="15"/>
                <w:color w:val="auto"/>
              </w:rPr>
            </w:pPr>
          </w:p>
        </w:tc>
        <w:tc>
          <w:tcPr>
            <w:tcW w:w="120" w:type="dxa"/>
            <w:vAlign w:val="bottom"/>
            <w:shd w:val="clear" w:color="auto" w:fill="B9D9EB"/>
          </w:tcPr>
          <w:p>
            <w:pPr>
              <w:spacing w:after="0"/>
              <w:rPr>
                <w:sz w:val="15"/>
                <w:szCs w:val="15"/>
                <w:color w:val="auto"/>
              </w:rPr>
            </w:pPr>
          </w:p>
        </w:tc>
        <w:tc>
          <w:tcPr>
            <w:tcW w:w="200" w:type="dxa"/>
            <w:vAlign w:val="bottom"/>
            <w:shd w:val="clear" w:color="auto" w:fill="B9D9EB"/>
          </w:tcPr>
          <w:p>
            <w:pPr>
              <w:spacing w:after="0"/>
              <w:rPr>
                <w:sz w:val="15"/>
                <w:szCs w:val="15"/>
                <w:color w:val="auto"/>
              </w:rPr>
            </w:pPr>
          </w:p>
        </w:tc>
        <w:tc>
          <w:tcPr>
            <w:tcW w:w="720" w:type="dxa"/>
            <w:vAlign w:val="bottom"/>
            <w:shd w:val="clear" w:color="auto" w:fill="B9D9E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700" w:type="dxa"/>
            <w:vAlign w:val="bottom"/>
          </w:tcPr>
          <w:p>
            <w:pPr>
              <w:ind w:left="160"/>
              <w:spacing w:after="0"/>
              <w:rPr>
                <w:sz w:val="20"/>
                <w:szCs w:val="20"/>
                <w:color w:val="auto"/>
              </w:rPr>
            </w:pPr>
            <w:r>
              <w:rPr>
                <w:rFonts w:ascii="Arial" w:cs="Arial" w:eastAsia="Arial" w:hAnsi="Arial"/>
                <w:sz w:val="12"/>
                <w:szCs w:val="12"/>
                <w:color w:val="auto"/>
              </w:rPr>
              <w:t>Interest expense, net of amounts capitalized</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(13,005)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(7,943)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(44,539)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(23,338)</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700" w:type="dxa"/>
            <w:vAlign w:val="bottom"/>
            <w:shd w:val="clear" w:color="auto" w:fill="B9D9EB"/>
          </w:tcPr>
          <w:p>
            <w:pPr>
              <w:ind w:left="160"/>
              <w:spacing w:after="0"/>
              <w:rPr>
                <w:sz w:val="20"/>
                <w:szCs w:val="20"/>
                <w:color w:val="auto"/>
              </w:rPr>
            </w:pPr>
            <w:r>
              <w:rPr>
                <w:rFonts w:ascii="Arial" w:cs="Arial" w:eastAsia="Arial" w:hAnsi="Arial"/>
                <w:sz w:val="12"/>
                <w:szCs w:val="12"/>
                <w:color w:val="auto"/>
              </w:rPr>
              <w:t>Gain on bargain purchase</w:t>
            </w:r>
          </w:p>
        </w:tc>
        <w:tc>
          <w:tcPr>
            <w:tcW w:w="120" w:type="dxa"/>
            <w:vAlign w:val="bottom"/>
            <w:shd w:val="clear" w:color="auto" w:fill="B9D9EB"/>
          </w:tcPr>
          <w:p>
            <w:pPr>
              <w:spacing w:after="0"/>
              <w:rPr>
                <w:sz w:val="15"/>
                <w:szCs w:val="15"/>
                <w:color w:val="auto"/>
              </w:rPr>
            </w:pP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5,005</w:t>
            </w:r>
          </w:p>
        </w:tc>
        <w:tc>
          <w:tcPr>
            <w:tcW w:w="100" w:type="dxa"/>
            <w:vAlign w:val="bottom"/>
            <w:shd w:val="clear" w:color="auto" w:fill="B9D9EB"/>
          </w:tcPr>
          <w:p>
            <w:pPr>
              <w:spacing w:after="0"/>
              <w:rPr>
                <w:sz w:val="15"/>
                <w:szCs w:val="15"/>
                <w:color w:val="auto"/>
              </w:rPr>
            </w:pPr>
          </w:p>
        </w:tc>
        <w:tc>
          <w:tcPr>
            <w:tcW w:w="220" w:type="dxa"/>
            <w:vAlign w:val="bottom"/>
            <w:shd w:val="clear" w:color="auto" w:fill="B9D9EB"/>
          </w:tcPr>
          <w:p>
            <w:pPr>
              <w:spacing w:after="0"/>
              <w:rPr>
                <w:sz w:val="15"/>
                <w:szCs w:val="15"/>
                <w:color w:val="auto"/>
              </w:rPr>
            </w:pPr>
          </w:p>
        </w:tc>
        <w:tc>
          <w:tcPr>
            <w:tcW w:w="820" w:type="dxa"/>
            <w:vAlign w:val="bottom"/>
            <w:gridSpan w:val="2"/>
            <w:shd w:val="clear" w:color="auto" w:fill="B9D9EB"/>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B9D9EB"/>
          </w:tcPr>
          <w:p>
            <w:pPr>
              <w:spacing w:after="0"/>
              <w:rPr>
                <w:sz w:val="15"/>
                <w:szCs w:val="15"/>
                <w:color w:val="auto"/>
              </w:rPr>
            </w:pP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5,005</w:t>
            </w:r>
          </w:p>
        </w:tc>
        <w:tc>
          <w:tcPr>
            <w:tcW w:w="120" w:type="dxa"/>
            <w:vAlign w:val="bottom"/>
            <w:shd w:val="clear" w:color="auto" w:fill="B9D9EB"/>
          </w:tcPr>
          <w:p>
            <w:pPr>
              <w:spacing w:after="0"/>
              <w:rPr>
                <w:sz w:val="15"/>
                <w:szCs w:val="15"/>
                <w:color w:val="auto"/>
              </w:rPr>
            </w:pPr>
          </w:p>
        </w:tc>
        <w:tc>
          <w:tcPr>
            <w:tcW w:w="200" w:type="dxa"/>
            <w:vAlign w:val="bottom"/>
            <w:shd w:val="clear" w:color="auto" w:fill="B9D9EB"/>
          </w:tcPr>
          <w:p>
            <w:pPr>
              <w:spacing w:after="0"/>
              <w:rPr>
                <w:sz w:val="15"/>
                <w:szCs w:val="15"/>
                <w:color w:val="auto"/>
              </w:rPr>
            </w:pPr>
          </w:p>
        </w:tc>
        <w:tc>
          <w:tcPr>
            <w:tcW w:w="720" w:type="dxa"/>
            <w:vAlign w:val="bottom"/>
            <w:shd w:val="clear" w:color="auto" w:fill="B9D9EB"/>
          </w:tcPr>
          <w:p>
            <w:pPr>
              <w:jc w:val="right"/>
              <w:ind w:right="2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700" w:type="dxa"/>
            <w:vAlign w:val="bottom"/>
          </w:tcPr>
          <w:p>
            <w:pPr>
              <w:ind w:left="160"/>
              <w:spacing w:after="0"/>
              <w:rPr>
                <w:sz w:val="20"/>
                <w:szCs w:val="20"/>
                <w:color w:val="auto"/>
              </w:rPr>
            </w:pPr>
            <w:r>
              <w:rPr>
                <w:rFonts w:ascii="Arial" w:cs="Arial" w:eastAsia="Arial" w:hAnsi="Arial"/>
                <w:sz w:val="12"/>
                <w:szCs w:val="12"/>
                <w:color w:val="auto"/>
              </w:rPr>
              <w:t>Gain (loss) on extinguishment of debt, net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(26,397)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700" w:type="dxa"/>
            <w:vAlign w:val="bottom"/>
            <w:shd w:val="clear" w:color="auto" w:fill="B9D9EB"/>
          </w:tcPr>
          <w:p>
            <w:pPr>
              <w:ind w:left="160"/>
              <w:spacing w:after="0"/>
              <w:rPr>
                <w:sz w:val="20"/>
                <w:szCs w:val="20"/>
                <w:color w:val="auto"/>
              </w:rPr>
            </w:pPr>
            <w:r>
              <w:rPr>
                <w:rFonts w:ascii="Arial" w:cs="Arial" w:eastAsia="Arial" w:hAnsi="Arial"/>
                <w:sz w:val="12"/>
                <w:szCs w:val="12"/>
                <w:color w:val="auto"/>
              </w:rPr>
              <w:t>Interest income and other, net</w:t>
            </w:r>
          </w:p>
        </w:tc>
        <w:tc>
          <w:tcPr>
            <w:tcW w:w="120" w:type="dxa"/>
            <w:vAlign w:val="bottom"/>
            <w:tcBorders>
              <w:bottom w:val="single" w:sz="8" w:color="auto"/>
            </w:tcBorders>
            <w:shd w:val="clear" w:color="auto" w:fill="B9D9EB"/>
          </w:tcPr>
          <w:p>
            <w:pPr>
              <w:spacing w:after="0"/>
              <w:rPr>
                <w:sz w:val="15"/>
                <w:szCs w:val="15"/>
                <w:color w:val="auto"/>
              </w:rPr>
            </w:pPr>
          </w:p>
        </w:tc>
        <w:tc>
          <w:tcPr>
            <w:tcW w:w="8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17,206</w:t>
            </w:r>
          </w:p>
        </w:tc>
        <w:tc>
          <w:tcPr>
            <w:tcW w:w="100" w:type="dxa"/>
            <w:vAlign w:val="bottom"/>
            <w:shd w:val="clear" w:color="auto" w:fill="B9D9EB"/>
          </w:tcPr>
          <w:p>
            <w:pPr>
              <w:spacing w:after="0"/>
              <w:rPr>
                <w:sz w:val="15"/>
                <w:szCs w:val="15"/>
                <w:color w:val="auto"/>
              </w:rPr>
            </w:pPr>
          </w:p>
        </w:tc>
        <w:tc>
          <w:tcPr>
            <w:tcW w:w="220" w:type="dxa"/>
            <w:vAlign w:val="bottom"/>
            <w:tcBorders>
              <w:bottom w:val="single" w:sz="8" w:color="auto"/>
            </w:tcBorders>
            <w:shd w:val="clear" w:color="auto" w:fill="B9D9EB"/>
          </w:tcPr>
          <w:p>
            <w:pPr>
              <w:spacing w:after="0"/>
              <w:rPr>
                <w:sz w:val="15"/>
                <w:szCs w:val="15"/>
                <w:color w:val="auto"/>
              </w:rPr>
            </w:pPr>
          </w:p>
        </w:tc>
        <w:tc>
          <w:tcPr>
            <w:tcW w:w="7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3,235</w:t>
            </w:r>
          </w:p>
        </w:tc>
        <w:tc>
          <w:tcPr>
            <w:tcW w:w="120" w:type="dxa"/>
            <w:vAlign w:val="bottom"/>
            <w:shd w:val="clear" w:color="auto" w:fill="B9D9EB"/>
          </w:tcPr>
          <w:p>
            <w:pPr>
              <w:spacing w:after="0"/>
              <w:rPr>
                <w:sz w:val="15"/>
                <w:szCs w:val="15"/>
                <w:color w:val="auto"/>
              </w:rPr>
            </w:pPr>
          </w:p>
        </w:tc>
        <w:tc>
          <w:tcPr>
            <w:tcW w:w="120" w:type="dxa"/>
            <w:vAlign w:val="bottom"/>
            <w:tcBorders>
              <w:bottom w:val="single" w:sz="8" w:color="auto"/>
            </w:tcBorders>
            <w:shd w:val="clear" w:color="auto" w:fill="B9D9EB"/>
          </w:tcPr>
          <w:p>
            <w:pPr>
              <w:spacing w:after="0"/>
              <w:rPr>
                <w:sz w:val="15"/>
                <w:szCs w:val="15"/>
                <w:color w:val="auto"/>
              </w:rPr>
            </w:pPr>
          </w:p>
        </w:tc>
        <w:tc>
          <w:tcPr>
            <w:tcW w:w="8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16,292</w:t>
            </w:r>
          </w:p>
        </w:tc>
        <w:tc>
          <w:tcPr>
            <w:tcW w:w="120" w:type="dxa"/>
            <w:vAlign w:val="bottom"/>
            <w:shd w:val="clear" w:color="auto" w:fill="B9D9EB"/>
          </w:tcPr>
          <w:p>
            <w:pPr>
              <w:spacing w:after="0"/>
              <w:rPr>
                <w:sz w:val="15"/>
                <w:szCs w:val="15"/>
                <w:color w:val="auto"/>
              </w:rPr>
            </w:pPr>
          </w:p>
        </w:tc>
        <w:tc>
          <w:tcPr>
            <w:tcW w:w="200" w:type="dxa"/>
            <w:vAlign w:val="bottom"/>
            <w:tcBorders>
              <w:bottom w:val="single" w:sz="8" w:color="auto"/>
            </w:tcBorders>
            <w:shd w:val="clear" w:color="auto" w:fill="B9D9EB"/>
          </w:tcPr>
          <w:p>
            <w:pPr>
              <w:spacing w:after="0"/>
              <w:rPr>
                <w:sz w:val="15"/>
                <w:szCs w:val="15"/>
                <w:color w:val="auto"/>
              </w:rPr>
            </w:pPr>
          </w:p>
        </w:tc>
        <w:tc>
          <w:tcPr>
            <w:tcW w:w="720" w:type="dxa"/>
            <w:vAlign w:val="bottom"/>
            <w:tcBorders>
              <w:bottom w:val="single" w:sz="8" w:color="auto"/>
            </w:tcBorders>
            <w:shd w:val="clear" w:color="auto" w:fill="B9D9EB"/>
          </w:tcPr>
          <w:p>
            <w:pPr>
              <w:jc w:val="right"/>
              <w:ind w:right="21"/>
              <w:spacing w:after="0"/>
              <w:rPr>
                <w:sz w:val="20"/>
                <w:szCs w:val="20"/>
                <w:color w:val="auto"/>
              </w:rPr>
            </w:pPr>
            <w:r>
              <w:rPr>
                <w:rFonts w:ascii="Arial" w:cs="Arial" w:eastAsia="Arial" w:hAnsi="Arial"/>
                <w:sz w:val="12"/>
                <w:szCs w:val="12"/>
                <w:color w:val="auto"/>
              </w:rPr>
              <w:t>4,766</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2700" w:type="dxa"/>
            <w:vAlign w:val="bottom"/>
          </w:tcPr>
          <w:p>
            <w:pPr>
              <w:ind w:left="20"/>
              <w:spacing w:after="0"/>
              <w:rPr>
                <w:sz w:val="20"/>
                <w:szCs w:val="20"/>
                <w:color w:val="auto"/>
              </w:rPr>
            </w:pPr>
            <w:r>
              <w:rPr>
                <w:rFonts w:ascii="Arial" w:cs="Arial" w:eastAsia="Arial" w:hAnsi="Arial"/>
                <w:sz w:val="12"/>
                <w:szCs w:val="12"/>
                <w:b w:val="1"/>
                <w:bCs w:val="1"/>
                <w:color w:val="auto"/>
              </w:rPr>
              <w:t>Income (loss) before income taxes</w:t>
            </w:r>
          </w:p>
        </w:tc>
        <w:tc>
          <w:tcPr>
            <w:tcW w:w="12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209,982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46,657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367,386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45,761</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700" w:type="dxa"/>
            <w:vAlign w:val="bottom"/>
            <w:shd w:val="clear" w:color="auto" w:fill="B9D9EB"/>
          </w:tcPr>
          <w:p>
            <w:pPr>
              <w:ind w:left="160"/>
              <w:spacing w:after="0"/>
              <w:rPr>
                <w:sz w:val="20"/>
                <w:szCs w:val="20"/>
                <w:color w:val="auto"/>
              </w:rPr>
            </w:pPr>
            <w:r>
              <w:rPr>
                <w:rFonts w:ascii="Arial" w:cs="Arial" w:eastAsia="Arial" w:hAnsi="Arial"/>
                <w:sz w:val="12"/>
                <w:szCs w:val="12"/>
                <w:color w:val="auto"/>
              </w:rPr>
              <w:t>Income tax benefit (provision)</w:t>
            </w:r>
          </w:p>
        </w:tc>
        <w:tc>
          <w:tcPr>
            <w:tcW w:w="120" w:type="dxa"/>
            <w:vAlign w:val="bottom"/>
            <w:tcBorders>
              <w:bottom w:val="single" w:sz="8" w:color="auto"/>
            </w:tcBorders>
            <w:shd w:val="clear" w:color="auto" w:fill="B9D9EB"/>
          </w:tcPr>
          <w:p>
            <w:pPr>
              <w:spacing w:after="0"/>
              <w:rPr>
                <w:sz w:val="15"/>
                <w:szCs w:val="15"/>
                <w:color w:val="auto"/>
              </w:rPr>
            </w:pPr>
          </w:p>
        </w:tc>
        <w:tc>
          <w:tcPr>
            <w:tcW w:w="8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(51,659)</w:t>
            </w:r>
          </w:p>
        </w:tc>
        <w:tc>
          <w:tcPr>
            <w:tcW w:w="100" w:type="dxa"/>
            <w:vAlign w:val="bottom"/>
            <w:shd w:val="clear" w:color="auto" w:fill="B9D9EB"/>
          </w:tcPr>
          <w:p>
            <w:pPr>
              <w:spacing w:after="0"/>
              <w:rPr>
                <w:sz w:val="15"/>
                <w:szCs w:val="15"/>
                <w:color w:val="auto"/>
              </w:rPr>
            </w:pPr>
          </w:p>
        </w:tc>
        <w:tc>
          <w:tcPr>
            <w:tcW w:w="220" w:type="dxa"/>
            <w:vAlign w:val="bottom"/>
            <w:tcBorders>
              <w:bottom w:val="single" w:sz="8" w:color="auto"/>
            </w:tcBorders>
            <w:shd w:val="clear" w:color="auto" w:fill="B9D9EB"/>
          </w:tcPr>
          <w:p>
            <w:pPr>
              <w:spacing w:after="0"/>
              <w:rPr>
                <w:sz w:val="15"/>
                <w:szCs w:val="15"/>
                <w:color w:val="auto"/>
              </w:rPr>
            </w:pPr>
          </w:p>
        </w:tc>
        <w:tc>
          <w:tcPr>
            <w:tcW w:w="7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(13,072)</w:t>
            </w:r>
          </w:p>
        </w:tc>
        <w:tc>
          <w:tcPr>
            <w:tcW w:w="120" w:type="dxa"/>
            <w:vAlign w:val="bottom"/>
            <w:shd w:val="clear" w:color="auto" w:fill="B9D9EB"/>
          </w:tcPr>
          <w:p>
            <w:pPr>
              <w:spacing w:after="0"/>
              <w:rPr>
                <w:sz w:val="15"/>
                <w:szCs w:val="15"/>
                <w:color w:val="auto"/>
              </w:rPr>
            </w:pPr>
          </w:p>
        </w:tc>
        <w:tc>
          <w:tcPr>
            <w:tcW w:w="120" w:type="dxa"/>
            <w:vAlign w:val="bottom"/>
            <w:tcBorders>
              <w:bottom w:val="single" w:sz="8" w:color="auto"/>
            </w:tcBorders>
            <w:shd w:val="clear" w:color="auto" w:fill="B9D9EB"/>
          </w:tcPr>
          <w:p>
            <w:pPr>
              <w:spacing w:after="0"/>
              <w:rPr>
                <w:sz w:val="15"/>
                <w:szCs w:val="15"/>
                <w:color w:val="auto"/>
              </w:rPr>
            </w:pPr>
          </w:p>
        </w:tc>
        <w:tc>
          <w:tcPr>
            <w:tcW w:w="8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(35,184)</w:t>
            </w:r>
          </w:p>
        </w:tc>
        <w:tc>
          <w:tcPr>
            <w:tcW w:w="120" w:type="dxa"/>
            <w:vAlign w:val="bottom"/>
            <w:shd w:val="clear" w:color="auto" w:fill="B9D9EB"/>
          </w:tcPr>
          <w:p>
            <w:pPr>
              <w:spacing w:after="0"/>
              <w:rPr>
                <w:sz w:val="15"/>
                <w:szCs w:val="15"/>
                <w:color w:val="auto"/>
              </w:rPr>
            </w:pPr>
          </w:p>
        </w:tc>
        <w:tc>
          <w:tcPr>
            <w:tcW w:w="200" w:type="dxa"/>
            <w:vAlign w:val="bottom"/>
            <w:tcBorders>
              <w:bottom w:val="single" w:sz="8" w:color="auto"/>
            </w:tcBorders>
            <w:shd w:val="clear" w:color="auto" w:fill="B9D9EB"/>
          </w:tcPr>
          <w:p>
            <w:pPr>
              <w:spacing w:after="0"/>
              <w:rPr>
                <w:sz w:val="15"/>
                <w:szCs w:val="15"/>
                <w:color w:val="auto"/>
              </w:rPr>
            </w:pPr>
          </w:p>
        </w:tc>
        <w:tc>
          <w:tcPr>
            <w:tcW w:w="7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(11,775)</w:t>
            </w: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2700" w:type="dxa"/>
            <w:vAlign w:val="bottom"/>
            <w:tcBorders>
              <w:bottom w:val="single" w:sz="8" w:color="B9D9EB"/>
            </w:tcBorders>
          </w:tcPr>
          <w:p>
            <w:pPr>
              <w:ind w:left="20"/>
              <w:spacing w:after="0"/>
              <w:rPr>
                <w:sz w:val="20"/>
                <w:szCs w:val="20"/>
                <w:color w:val="auto"/>
              </w:rPr>
            </w:pPr>
            <w:r>
              <w:rPr>
                <w:rFonts w:ascii="Arial" w:cs="Arial" w:eastAsia="Arial" w:hAnsi="Arial"/>
                <w:sz w:val="12"/>
                <w:szCs w:val="12"/>
                <w:b w:val="1"/>
                <w:bCs w:val="1"/>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158,323</w:t>
            </w:r>
          </w:p>
        </w:tc>
        <w:tc>
          <w:tcPr>
            <w:tcW w:w="100" w:type="dxa"/>
            <w:vAlign w:val="bottom"/>
            <w:tcBorders>
              <w:bottom w:val="single" w:sz="8" w:color="B9D9EB"/>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33,585</w:t>
            </w:r>
          </w:p>
        </w:tc>
        <w:tc>
          <w:tcPr>
            <w:tcW w:w="120" w:type="dxa"/>
            <w:vAlign w:val="bottom"/>
            <w:tcBorders>
              <w:bottom w:val="single" w:sz="8" w:color="B9D9EB"/>
            </w:tcBorders>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332,202</w:t>
            </w:r>
          </w:p>
        </w:tc>
        <w:tc>
          <w:tcPr>
            <w:tcW w:w="120" w:type="dxa"/>
            <w:vAlign w:val="bottom"/>
            <w:tcBorders>
              <w:bottom w:val="single" w:sz="8" w:color="B9D9EB"/>
            </w:tcBorders>
          </w:tcPr>
          <w:p>
            <w:pPr>
              <w:spacing w:after="0"/>
              <w:rPr>
                <w:sz w:val="13"/>
                <w:szCs w:val="13"/>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33,986</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2700" w:type="dxa"/>
            <w:vAlign w:val="bottom"/>
            <w:shd w:val="clear" w:color="auto" w:fill="B9D9EB"/>
          </w:tcPr>
          <w:p>
            <w:pPr>
              <w:ind w:left="20"/>
              <w:spacing w:after="0"/>
              <w:rPr>
                <w:sz w:val="20"/>
                <w:szCs w:val="20"/>
                <w:color w:val="auto"/>
              </w:rPr>
            </w:pPr>
            <w:r>
              <w:rPr>
                <w:rFonts w:ascii="Arial" w:cs="Arial" w:eastAsia="Arial" w:hAnsi="Arial"/>
                <w:sz w:val="12"/>
                <w:szCs w:val="12"/>
                <w:b w:val="1"/>
                <w:bCs w:val="1"/>
                <w:color w:val="auto"/>
              </w:rPr>
              <w:t>Per share data</w:t>
            </w:r>
          </w:p>
        </w:tc>
        <w:tc>
          <w:tcPr>
            <w:tcW w:w="120" w:type="dxa"/>
            <w:vAlign w:val="bottom"/>
            <w:shd w:val="clear" w:color="auto" w:fill="B9D9EB"/>
          </w:tcPr>
          <w:p>
            <w:pPr>
              <w:spacing w:after="0"/>
              <w:rPr>
                <w:sz w:val="14"/>
                <w:szCs w:val="14"/>
                <w:color w:val="auto"/>
              </w:rPr>
            </w:pPr>
          </w:p>
        </w:tc>
        <w:tc>
          <w:tcPr>
            <w:tcW w:w="800" w:type="dxa"/>
            <w:vAlign w:val="bottom"/>
            <w:shd w:val="clear" w:color="auto" w:fill="B9D9EB"/>
          </w:tcPr>
          <w:p>
            <w:pPr>
              <w:spacing w:after="0"/>
              <w:rPr>
                <w:sz w:val="14"/>
                <w:szCs w:val="14"/>
                <w:color w:val="auto"/>
              </w:rPr>
            </w:pPr>
          </w:p>
        </w:tc>
        <w:tc>
          <w:tcPr>
            <w:tcW w:w="100" w:type="dxa"/>
            <w:vAlign w:val="bottom"/>
            <w:shd w:val="clear" w:color="auto" w:fill="B9D9EB"/>
          </w:tcPr>
          <w:p>
            <w:pPr>
              <w:spacing w:after="0"/>
              <w:rPr>
                <w:sz w:val="14"/>
                <w:szCs w:val="14"/>
                <w:color w:val="auto"/>
              </w:rPr>
            </w:pPr>
          </w:p>
        </w:tc>
        <w:tc>
          <w:tcPr>
            <w:tcW w:w="220" w:type="dxa"/>
            <w:vAlign w:val="bottom"/>
            <w:shd w:val="clear" w:color="auto" w:fill="B9D9EB"/>
          </w:tcPr>
          <w:p>
            <w:pPr>
              <w:spacing w:after="0"/>
              <w:rPr>
                <w:sz w:val="14"/>
                <w:szCs w:val="14"/>
                <w:color w:val="auto"/>
              </w:rPr>
            </w:pPr>
          </w:p>
        </w:tc>
        <w:tc>
          <w:tcPr>
            <w:tcW w:w="700" w:type="dxa"/>
            <w:vAlign w:val="bottom"/>
            <w:shd w:val="clear" w:color="auto" w:fill="B9D9EB"/>
          </w:tcPr>
          <w:p>
            <w:pPr>
              <w:spacing w:after="0"/>
              <w:rPr>
                <w:sz w:val="14"/>
                <w:szCs w:val="14"/>
                <w:color w:val="auto"/>
              </w:rPr>
            </w:pPr>
          </w:p>
        </w:tc>
        <w:tc>
          <w:tcPr>
            <w:tcW w:w="120" w:type="dxa"/>
            <w:vAlign w:val="bottom"/>
            <w:shd w:val="clear" w:color="auto" w:fill="B9D9EB"/>
          </w:tcPr>
          <w:p>
            <w:pPr>
              <w:spacing w:after="0"/>
              <w:rPr>
                <w:sz w:val="14"/>
                <w:szCs w:val="14"/>
                <w:color w:val="auto"/>
              </w:rPr>
            </w:pPr>
          </w:p>
        </w:tc>
        <w:tc>
          <w:tcPr>
            <w:tcW w:w="120" w:type="dxa"/>
            <w:vAlign w:val="bottom"/>
            <w:shd w:val="clear" w:color="auto" w:fill="B9D9EB"/>
          </w:tcPr>
          <w:p>
            <w:pPr>
              <w:spacing w:after="0"/>
              <w:rPr>
                <w:sz w:val="14"/>
                <w:szCs w:val="14"/>
                <w:color w:val="auto"/>
              </w:rPr>
            </w:pPr>
          </w:p>
        </w:tc>
        <w:tc>
          <w:tcPr>
            <w:tcW w:w="800" w:type="dxa"/>
            <w:vAlign w:val="bottom"/>
            <w:shd w:val="clear" w:color="auto" w:fill="B9D9EB"/>
          </w:tcPr>
          <w:p>
            <w:pPr>
              <w:spacing w:after="0"/>
              <w:rPr>
                <w:sz w:val="14"/>
                <w:szCs w:val="14"/>
                <w:color w:val="auto"/>
              </w:rPr>
            </w:pPr>
          </w:p>
        </w:tc>
        <w:tc>
          <w:tcPr>
            <w:tcW w:w="120" w:type="dxa"/>
            <w:vAlign w:val="bottom"/>
            <w:shd w:val="clear" w:color="auto" w:fill="B9D9EB"/>
          </w:tcPr>
          <w:p>
            <w:pPr>
              <w:spacing w:after="0"/>
              <w:rPr>
                <w:sz w:val="14"/>
                <w:szCs w:val="14"/>
                <w:color w:val="auto"/>
              </w:rPr>
            </w:pPr>
          </w:p>
        </w:tc>
        <w:tc>
          <w:tcPr>
            <w:tcW w:w="200" w:type="dxa"/>
            <w:vAlign w:val="bottom"/>
            <w:shd w:val="clear" w:color="auto" w:fill="B9D9EB"/>
          </w:tcPr>
          <w:p>
            <w:pPr>
              <w:spacing w:after="0"/>
              <w:rPr>
                <w:sz w:val="14"/>
                <w:szCs w:val="14"/>
                <w:color w:val="auto"/>
              </w:rPr>
            </w:pPr>
          </w:p>
        </w:tc>
        <w:tc>
          <w:tcPr>
            <w:tcW w:w="720" w:type="dxa"/>
            <w:vAlign w:val="bottom"/>
            <w:shd w:val="clear" w:color="auto" w:fill="B9D9EB"/>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700" w:type="dxa"/>
            <w:vAlign w:val="bottom"/>
            <w:tcBorders>
              <w:bottom w:val="single" w:sz="8" w:color="B9D9EB"/>
            </w:tcBorders>
          </w:tcPr>
          <w:p>
            <w:pPr>
              <w:ind w:left="20"/>
              <w:spacing w:after="0"/>
              <w:rPr>
                <w:sz w:val="20"/>
                <w:szCs w:val="20"/>
                <w:color w:val="auto"/>
              </w:rPr>
            </w:pPr>
            <w:r>
              <w:rPr>
                <w:rFonts w:ascii="Arial" w:cs="Arial" w:eastAsia="Arial" w:hAnsi="Arial"/>
                <w:sz w:val="12"/>
                <w:szCs w:val="12"/>
                <w:color w:val="auto"/>
              </w:rPr>
              <w:t>Basic:</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B9D9E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B9D9E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B9D9E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2700" w:type="dxa"/>
            <w:vAlign w:val="bottom"/>
            <w:tcBorders>
              <w:bottom w:val="single" w:sz="8" w:color="B9D9EB"/>
            </w:tcBorders>
            <w:shd w:val="clear" w:color="auto" w:fill="B9D9EB"/>
          </w:tcPr>
          <w:p>
            <w:pPr>
              <w:ind w:left="160"/>
              <w:spacing w:after="0" w:line="133" w:lineRule="exact"/>
              <w:rPr>
                <w:sz w:val="20"/>
                <w:szCs w:val="20"/>
                <w:color w:val="auto"/>
              </w:rPr>
            </w:pPr>
            <w:r>
              <w:rPr>
                <w:rFonts w:ascii="Arial" w:cs="Arial" w:eastAsia="Arial" w:hAnsi="Arial"/>
                <w:sz w:val="12"/>
                <w:szCs w:val="12"/>
                <w:color w:val="auto"/>
              </w:rPr>
              <w:t>Net income (loss)</w:t>
            </w:r>
          </w:p>
        </w:tc>
        <w:tc>
          <w:tcPr>
            <w:tcW w:w="1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1.14</w:t>
            </w:r>
          </w:p>
        </w:tc>
        <w:tc>
          <w:tcPr>
            <w:tcW w:w="100" w:type="dxa"/>
            <w:vAlign w:val="bottom"/>
            <w:tcBorders>
              <w:bottom w:val="single" w:sz="8" w:color="B9D9EB"/>
            </w:tcBorders>
            <w:shd w:val="clear" w:color="auto" w:fill="B9D9EB"/>
          </w:tcPr>
          <w:p>
            <w:pPr>
              <w:spacing w:after="0"/>
              <w:rPr>
                <w:sz w:val="14"/>
                <w:szCs w:val="14"/>
                <w:color w:val="auto"/>
              </w:rPr>
            </w:pPr>
          </w:p>
        </w:tc>
        <w:tc>
          <w:tcPr>
            <w:tcW w:w="220" w:type="dxa"/>
            <w:vAlign w:val="bottom"/>
            <w:tcBorders>
              <w:bottom w:val="single" w:sz="8" w:color="auto"/>
            </w:tcBorders>
            <w:shd w:val="clear" w:color="auto" w:fill="B9D9EB"/>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0.48</w:t>
            </w:r>
          </w:p>
        </w:tc>
        <w:tc>
          <w:tcPr>
            <w:tcW w:w="120" w:type="dxa"/>
            <w:vAlign w:val="bottom"/>
            <w:tcBorders>
              <w:bottom w:val="single" w:sz="8" w:color="B9D9EB"/>
            </w:tcBorders>
            <w:shd w:val="clear" w:color="auto" w:fill="B9D9EB"/>
          </w:tcPr>
          <w:p>
            <w:pPr>
              <w:spacing w:after="0"/>
              <w:rPr>
                <w:sz w:val="14"/>
                <w:szCs w:val="14"/>
                <w:color w:val="auto"/>
              </w:rPr>
            </w:pPr>
          </w:p>
        </w:tc>
        <w:tc>
          <w:tcPr>
            <w:tcW w:w="120" w:type="dxa"/>
            <w:vAlign w:val="bottom"/>
            <w:tcBorders>
              <w:bottom w:val="single" w:sz="8" w:color="auto"/>
            </w:tcBorders>
            <w:shd w:val="clear" w:color="auto" w:fill="B9D9EB"/>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2.42</w:t>
            </w:r>
          </w:p>
        </w:tc>
        <w:tc>
          <w:tcPr>
            <w:tcW w:w="120" w:type="dxa"/>
            <w:vAlign w:val="bottom"/>
            <w:tcBorders>
              <w:bottom w:val="single" w:sz="8" w:color="B9D9EB"/>
            </w:tcBorders>
            <w:shd w:val="clear" w:color="auto" w:fill="B9D9EB"/>
          </w:tcPr>
          <w:p>
            <w:pPr>
              <w:spacing w:after="0"/>
              <w:rPr>
                <w:sz w:val="14"/>
                <w:szCs w:val="14"/>
                <w:color w:val="auto"/>
              </w:rPr>
            </w:pPr>
          </w:p>
        </w:tc>
        <w:tc>
          <w:tcPr>
            <w:tcW w:w="200" w:type="dxa"/>
            <w:vAlign w:val="bottom"/>
            <w:tcBorders>
              <w:bottom w:val="single" w:sz="8" w:color="auto"/>
            </w:tcBorders>
            <w:shd w:val="clear" w:color="auto" w:fill="B9D9EB"/>
          </w:tcPr>
          <w:p>
            <w:pPr>
              <w:jc w:val="right"/>
              <w:ind w:right="6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B9D9EB"/>
          </w:tcPr>
          <w:p>
            <w:pPr>
              <w:jc w:val="right"/>
              <w:ind w:right="21"/>
              <w:spacing w:after="0"/>
              <w:rPr>
                <w:sz w:val="20"/>
                <w:szCs w:val="20"/>
                <w:color w:val="auto"/>
              </w:rPr>
            </w:pPr>
            <w:r>
              <w:rPr>
                <w:rFonts w:ascii="Arial" w:cs="Arial" w:eastAsia="Arial" w:hAnsi="Arial"/>
                <w:sz w:val="12"/>
                <w:szCs w:val="12"/>
                <w:color w:val="auto"/>
              </w:rPr>
              <w:t>0.49</w:t>
            </w: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2700" w:type="dxa"/>
            <w:vAlign w:val="bottom"/>
            <w:tcBorders>
              <w:bottom w:val="single" w:sz="8" w:color="B9D9EB"/>
            </w:tcBorders>
          </w:tcPr>
          <w:p>
            <w:pPr>
              <w:ind w:left="20"/>
              <w:spacing w:after="0"/>
              <w:rPr>
                <w:sz w:val="20"/>
                <w:szCs w:val="20"/>
                <w:color w:val="auto"/>
              </w:rPr>
            </w:pPr>
            <w:r>
              <w:rPr>
                <w:rFonts w:ascii="Arial" w:cs="Arial" w:eastAsia="Arial" w:hAnsi="Arial"/>
                <w:sz w:val="12"/>
                <w:szCs w:val="12"/>
                <w:color w:val="auto"/>
              </w:rPr>
              <w:t>Diluted:</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B9D9EB"/>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B9D9EB"/>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B9D9EB"/>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w w:val="95"/>
              </w:rPr>
              <w:t>(Unaudited)</w:t>
            </w:r>
          </w:p>
        </w:tc>
        <w:tc>
          <w:tcPr>
            <w:tcW w:w="2700" w:type="dxa"/>
            <w:vAlign w:val="bottom"/>
            <w:tcBorders>
              <w:bottom w:val="single" w:sz="8" w:color="B9D9EB"/>
            </w:tcBorders>
            <w:shd w:val="clear" w:color="auto" w:fill="B9D9EB"/>
          </w:tcPr>
          <w:p>
            <w:pPr>
              <w:ind w:left="160"/>
              <w:spacing w:after="0" w:line="133" w:lineRule="exact"/>
              <w:rPr>
                <w:sz w:val="20"/>
                <w:szCs w:val="20"/>
                <w:color w:val="auto"/>
              </w:rPr>
            </w:pPr>
            <w:r>
              <w:rPr>
                <w:rFonts w:ascii="Arial" w:cs="Arial" w:eastAsia="Arial" w:hAnsi="Arial"/>
                <w:sz w:val="12"/>
                <w:szCs w:val="12"/>
                <w:color w:val="auto"/>
              </w:rPr>
              <w:t>Net income (loss)</w:t>
            </w:r>
          </w:p>
        </w:tc>
        <w:tc>
          <w:tcPr>
            <w:tcW w:w="1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1.09</w:t>
            </w:r>
          </w:p>
        </w:tc>
        <w:tc>
          <w:tcPr>
            <w:tcW w:w="100" w:type="dxa"/>
            <w:vAlign w:val="bottom"/>
            <w:tcBorders>
              <w:bottom w:val="single" w:sz="8" w:color="B9D9EB"/>
            </w:tcBorders>
            <w:shd w:val="clear" w:color="auto" w:fill="B9D9EB"/>
          </w:tcPr>
          <w:p>
            <w:pPr>
              <w:spacing w:after="0"/>
              <w:rPr>
                <w:sz w:val="13"/>
                <w:szCs w:val="13"/>
                <w:color w:val="auto"/>
              </w:rPr>
            </w:pPr>
          </w:p>
        </w:tc>
        <w:tc>
          <w:tcPr>
            <w:tcW w:w="220" w:type="dxa"/>
            <w:vAlign w:val="bottom"/>
            <w:tcBorders>
              <w:bottom w:val="single" w:sz="8" w:color="auto"/>
            </w:tcBorders>
            <w:shd w:val="clear" w:color="auto" w:fill="B9D9EB"/>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0.41</w:t>
            </w:r>
          </w:p>
        </w:tc>
        <w:tc>
          <w:tcPr>
            <w:tcW w:w="120" w:type="dxa"/>
            <w:vAlign w:val="bottom"/>
            <w:tcBorders>
              <w:bottom w:val="single" w:sz="8" w:color="B9D9EB"/>
            </w:tcBorders>
            <w:shd w:val="clear" w:color="auto" w:fill="B9D9EB"/>
          </w:tcPr>
          <w:p>
            <w:pPr>
              <w:spacing w:after="0"/>
              <w:rPr>
                <w:sz w:val="13"/>
                <w:szCs w:val="13"/>
                <w:color w:val="auto"/>
              </w:rPr>
            </w:pPr>
          </w:p>
        </w:tc>
        <w:tc>
          <w:tcPr>
            <w:tcW w:w="120" w:type="dxa"/>
            <w:vAlign w:val="bottom"/>
            <w:tcBorders>
              <w:bottom w:val="single" w:sz="8" w:color="auto"/>
            </w:tcBorders>
            <w:shd w:val="clear" w:color="auto" w:fill="B9D9EB"/>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2.29</w:t>
            </w:r>
          </w:p>
        </w:tc>
        <w:tc>
          <w:tcPr>
            <w:tcW w:w="120" w:type="dxa"/>
            <w:vAlign w:val="bottom"/>
            <w:tcBorders>
              <w:bottom w:val="single" w:sz="8" w:color="B9D9EB"/>
            </w:tcBorders>
            <w:shd w:val="clear" w:color="auto" w:fill="B9D9EB"/>
          </w:tcPr>
          <w:p>
            <w:pPr>
              <w:spacing w:after="0"/>
              <w:rPr>
                <w:sz w:val="13"/>
                <w:szCs w:val="13"/>
                <w:color w:val="auto"/>
              </w:rPr>
            </w:pPr>
          </w:p>
        </w:tc>
        <w:tc>
          <w:tcPr>
            <w:tcW w:w="200" w:type="dxa"/>
            <w:vAlign w:val="bottom"/>
            <w:tcBorders>
              <w:bottom w:val="single" w:sz="8" w:color="auto"/>
            </w:tcBorders>
            <w:shd w:val="clear" w:color="auto" w:fill="B9D9EB"/>
          </w:tcPr>
          <w:p>
            <w:pPr>
              <w:jc w:val="right"/>
              <w:ind w:right="6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B9D9EB"/>
          </w:tcPr>
          <w:p>
            <w:pPr>
              <w:jc w:val="right"/>
              <w:ind w:right="21"/>
              <w:spacing w:after="0"/>
              <w:rPr>
                <w:sz w:val="20"/>
                <w:szCs w:val="20"/>
                <w:color w:val="auto"/>
              </w:rPr>
            </w:pPr>
            <w:r>
              <w:rPr>
                <w:rFonts w:ascii="Arial" w:cs="Arial" w:eastAsia="Arial" w:hAnsi="Arial"/>
                <w:sz w:val="12"/>
                <w:szCs w:val="12"/>
                <w:color w:val="auto"/>
              </w:rPr>
              <w:t>0.42</w:t>
            </w:r>
          </w:p>
        </w:tc>
        <w:tc>
          <w:tcPr>
            <w:tcW w:w="0" w:type="dxa"/>
            <w:vAlign w:val="bottom"/>
          </w:tcPr>
          <w:p>
            <w:pPr>
              <w:spacing w:after="0"/>
              <w:rPr>
                <w:sz w:val="1"/>
                <w:szCs w:val="1"/>
                <w:color w:val="auto"/>
              </w:rPr>
            </w:pPr>
          </w:p>
        </w:tc>
      </w:tr>
      <w:tr>
        <w:trPr>
          <w:trHeight w:val="71"/>
        </w:trPr>
        <w:tc>
          <w:tcPr>
            <w:tcW w:w="660" w:type="dxa"/>
            <w:vAlign w:val="bottom"/>
            <w:vMerge w:val="continue"/>
          </w:tcPr>
          <w:p>
            <w:pPr>
              <w:spacing w:after="0"/>
              <w:rPr>
                <w:sz w:val="6"/>
                <w:szCs w:val="6"/>
                <w:color w:val="auto"/>
              </w:rPr>
            </w:pPr>
          </w:p>
        </w:tc>
        <w:tc>
          <w:tcPr>
            <w:tcW w:w="2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restart"/>
          </w:tcPr>
          <w:p>
            <w:pPr>
              <w:jc w:val="right"/>
              <w:ind w:right="50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6"/>
        </w:trPr>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80" w:right="1440"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5"/>
          </w:tcPr>
          <w:p>
            <w:pPr>
              <w:jc w:val="center"/>
              <w:ind w:left="40"/>
              <w:spacing w:after="0"/>
              <w:rPr>
                <w:sz w:val="20"/>
                <w:szCs w:val="20"/>
                <w:color w:val="auto"/>
              </w:rPr>
            </w:pPr>
            <w:r>
              <w:rPr>
                <w:rFonts w:ascii="Arial" w:cs="Arial" w:eastAsia="Arial" w:hAnsi="Arial"/>
                <w:sz w:val="12"/>
                <w:szCs w:val="12"/>
                <w:b w:val="1"/>
                <w:bCs w:val="1"/>
                <w:color w:val="auto"/>
                <w:w w:val="99"/>
              </w:rPr>
              <w:t>NOBLE CORPORATION plc AND SUBSIDIARIES</w:t>
            </w:r>
          </w:p>
        </w:tc>
      </w:tr>
      <w:tr>
        <w:trPr>
          <w:trHeight w:val="144"/>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5"/>
          </w:tcPr>
          <w:p>
            <w:pPr>
              <w:jc w:val="center"/>
              <w:ind w:left="40"/>
              <w:spacing w:after="0"/>
              <w:rPr>
                <w:sz w:val="20"/>
                <w:szCs w:val="20"/>
                <w:color w:val="auto"/>
              </w:rPr>
            </w:pPr>
            <w:r>
              <w:rPr>
                <w:rFonts w:ascii="Arial" w:cs="Arial" w:eastAsia="Arial" w:hAnsi="Arial"/>
                <w:sz w:val="12"/>
                <w:szCs w:val="12"/>
                <w:b w:val="1"/>
                <w:bCs w:val="1"/>
                <w:color w:val="auto"/>
                <w:w w:val="99"/>
              </w:rPr>
              <w:t>CONDENSED CONSOLIDATED BALANCE SHEETS</w:t>
            </w:r>
          </w:p>
        </w:tc>
      </w:tr>
      <w:tr>
        <w:trPr>
          <w:trHeight w:val="144"/>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(In thousands)</w:t>
            </w:r>
          </w:p>
        </w:tc>
      </w:tr>
      <w:tr>
        <w:trPr>
          <w:trHeight w:val="167"/>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1080"/>
              <w:spacing w:after="0"/>
              <w:rPr>
                <w:sz w:val="20"/>
                <w:szCs w:val="20"/>
                <w:color w:val="auto"/>
              </w:rPr>
            </w:pPr>
            <w:r>
              <w:rPr>
                <w:rFonts w:ascii="Arial" w:cs="Arial" w:eastAsia="Arial" w:hAnsi="Arial"/>
                <w:sz w:val="12"/>
                <w:szCs w:val="12"/>
                <w:b w:val="1"/>
                <w:bCs w:val="1"/>
                <w:color w:val="auto"/>
                <w:w w:val="98"/>
              </w:rPr>
              <w:t>(Unaudited)</w:t>
            </w:r>
          </w:p>
        </w:tc>
      </w:tr>
      <w:tr>
        <w:trPr>
          <w:trHeight w:val="333"/>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0"/>
                <w:szCs w:val="10"/>
                <w:b w:val="1"/>
                <w:bCs w:val="1"/>
                <w:color w:val="auto"/>
              </w:rPr>
              <w:t>September 30, 2023</w:t>
            </w:r>
          </w:p>
        </w:tc>
        <w:tc>
          <w:tcPr>
            <w:tcW w:w="100" w:type="dxa"/>
            <w:vAlign w:val="bottom"/>
          </w:tcPr>
          <w:p>
            <w:pPr>
              <w:spacing w:after="0"/>
              <w:rPr>
                <w:sz w:val="24"/>
                <w:szCs w:val="24"/>
                <w:color w:val="auto"/>
              </w:rPr>
            </w:pPr>
          </w:p>
        </w:tc>
        <w:tc>
          <w:tcPr>
            <w:tcW w:w="1780" w:type="dxa"/>
            <w:vAlign w:val="bottom"/>
            <w:gridSpan w:val="2"/>
          </w:tcPr>
          <w:p>
            <w:pPr>
              <w:ind w:left="20"/>
              <w:spacing w:after="0"/>
              <w:rPr>
                <w:sz w:val="20"/>
                <w:szCs w:val="20"/>
                <w:color w:val="auto"/>
              </w:rPr>
            </w:pPr>
            <w:r>
              <w:rPr>
                <w:rFonts w:ascii="Arial" w:cs="Arial" w:eastAsia="Arial" w:hAnsi="Arial"/>
                <w:sz w:val="10"/>
                <w:szCs w:val="10"/>
                <w:b w:val="1"/>
                <w:bCs w:val="1"/>
                <w:color w:val="auto"/>
              </w:rPr>
              <w:t>December 31, 2022</w:t>
            </w:r>
          </w:p>
        </w:tc>
      </w:tr>
      <w:tr>
        <w:trPr>
          <w:trHeight w:val="161"/>
        </w:trPr>
        <w:tc>
          <w:tcPr>
            <w:tcW w:w="4000" w:type="dxa"/>
            <w:vAlign w:val="bottom"/>
            <w:tcBorders>
              <w:top w:val="single" w:sz="8" w:color="B9D9EB"/>
            </w:tcBorders>
            <w:shd w:val="clear" w:color="auto" w:fill="B9D9EB"/>
          </w:tcPr>
          <w:p>
            <w:pPr>
              <w:ind w:left="1700"/>
              <w:spacing w:after="0"/>
              <w:rPr>
                <w:sz w:val="20"/>
                <w:szCs w:val="20"/>
                <w:color w:val="auto"/>
              </w:rPr>
            </w:pPr>
            <w:r>
              <w:rPr>
                <w:rFonts w:ascii="Arial" w:cs="Arial" w:eastAsia="Arial" w:hAnsi="Arial"/>
                <w:sz w:val="12"/>
                <w:szCs w:val="12"/>
                <w:b w:val="1"/>
                <w:bCs w:val="1"/>
                <w:color w:val="auto"/>
              </w:rPr>
              <w:t>ASSETS</w:t>
            </w:r>
          </w:p>
        </w:tc>
        <w:tc>
          <w:tcPr>
            <w:tcW w:w="100" w:type="dxa"/>
            <w:vAlign w:val="bottom"/>
            <w:tcBorders>
              <w:top w:val="single" w:sz="8" w:color="auto"/>
            </w:tcBorders>
            <w:shd w:val="clear" w:color="auto" w:fill="B9D9EB"/>
          </w:tcPr>
          <w:p>
            <w:pPr>
              <w:spacing w:after="0"/>
              <w:rPr>
                <w:sz w:val="14"/>
                <w:szCs w:val="14"/>
                <w:color w:val="auto"/>
              </w:rPr>
            </w:pPr>
          </w:p>
        </w:tc>
        <w:tc>
          <w:tcPr>
            <w:tcW w:w="1000" w:type="dxa"/>
            <w:vAlign w:val="bottom"/>
            <w:tcBorders>
              <w:top w:val="single" w:sz="8" w:color="auto"/>
            </w:tcBorders>
            <w:shd w:val="clear" w:color="auto" w:fill="B9D9EB"/>
          </w:tcPr>
          <w:p>
            <w:pPr>
              <w:spacing w:after="0"/>
              <w:rPr>
                <w:sz w:val="14"/>
                <w:szCs w:val="14"/>
                <w:color w:val="auto"/>
              </w:rPr>
            </w:pPr>
          </w:p>
        </w:tc>
        <w:tc>
          <w:tcPr>
            <w:tcW w:w="100" w:type="dxa"/>
            <w:vAlign w:val="bottom"/>
            <w:tcBorders>
              <w:top w:val="single" w:sz="8" w:color="B9D9EB"/>
            </w:tcBorders>
            <w:shd w:val="clear" w:color="auto" w:fill="B9D9EB"/>
          </w:tcPr>
          <w:p>
            <w:pPr>
              <w:spacing w:after="0"/>
              <w:rPr>
                <w:sz w:val="14"/>
                <w:szCs w:val="14"/>
                <w:color w:val="auto"/>
              </w:rPr>
            </w:pPr>
          </w:p>
        </w:tc>
        <w:tc>
          <w:tcPr>
            <w:tcW w:w="100" w:type="dxa"/>
            <w:vAlign w:val="bottom"/>
            <w:tcBorders>
              <w:top w:val="single" w:sz="8" w:color="auto"/>
            </w:tcBorders>
            <w:shd w:val="clear" w:color="auto" w:fill="B9D9EB"/>
          </w:tcPr>
          <w:p>
            <w:pPr>
              <w:spacing w:after="0"/>
              <w:rPr>
                <w:sz w:val="14"/>
                <w:szCs w:val="14"/>
                <w:color w:val="auto"/>
              </w:rPr>
            </w:pPr>
          </w:p>
        </w:tc>
        <w:tc>
          <w:tcPr>
            <w:tcW w:w="1000" w:type="dxa"/>
            <w:vAlign w:val="bottom"/>
            <w:tcBorders>
              <w:top w:val="single" w:sz="8" w:color="auto"/>
            </w:tcBorders>
            <w:shd w:val="clear" w:color="auto" w:fill="B9D9EB"/>
          </w:tcPr>
          <w:p>
            <w:pPr>
              <w:spacing w:after="0"/>
              <w:rPr>
                <w:sz w:val="14"/>
                <w:szCs w:val="14"/>
                <w:color w:val="auto"/>
              </w:rPr>
            </w:pPr>
          </w:p>
        </w:tc>
        <w:tc>
          <w:tcPr>
            <w:tcW w:w="780" w:type="dxa"/>
            <w:vAlign w:val="bottom"/>
          </w:tcPr>
          <w:p>
            <w:pPr>
              <w:spacing w:after="0"/>
              <w:rPr>
                <w:sz w:val="14"/>
                <w:szCs w:val="14"/>
                <w:color w:val="auto"/>
              </w:rPr>
            </w:pPr>
          </w:p>
        </w:tc>
      </w:tr>
      <w:tr>
        <w:trPr>
          <w:trHeight w:val="180"/>
        </w:trPr>
        <w:tc>
          <w:tcPr>
            <w:tcW w:w="4000" w:type="dxa"/>
            <w:vAlign w:val="bottom"/>
          </w:tcPr>
          <w:p>
            <w:pPr>
              <w:spacing w:after="0"/>
              <w:rPr>
                <w:sz w:val="20"/>
                <w:szCs w:val="20"/>
                <w:color w:val="auto"/>
              </w:rPr>
            </w:pPr>
            <w:r>
              <w:rPr>
                <w:rFonts w:ascii="Arial" w:cs="Arial" w:eastAsia="Arial" w:hAnsi="Arial"/>
                <w:sz w:val="12"/>
                <w:szCs w:val="12"/>
                <w:color w:val="auto"/>
              </w:rPr>
              <w:t>Current assets</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4000" w:type="dxa"/>
            <w:vAlign w:val="bottom"/>
            <w:shd w:val="clear" w:color="auto" w:fill="B9D9EB"/>
          </w:tcPr>
          <w:p>
            <w:pPr>
              <w:ind w:left="14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244,792</w:t>
            </w:r>
          </w:p>
        </w:tc>
        <w:tc>
          <w:tcPr>
            <w:tcW w:w="100" w:type="dxa"/>
            <w:vAlign w:val="bottom"/>
            <w:shd w:val="clear" w:color="auto" w:fill="B9D9EB"/>
          </w:tcPr>
          <w:p>
            <w:pPr>
              <w:spacing w:after="0"/>
              <w:rPr>
                <w:sz w:val="15"/>
                <w:szCs w:val="15"/>
                <w:color w:val="auto"/>
              </w:rPr>
            </w:pPr>
          </w:p>
        </w:tc>
        <w:tc>
          <w:tcPr>
            <w:tcW w:w="100" w:type="dxa"/>
            <w:vAlign w:val="bottom"/>
            <w:shd w:val="clear" w:color="auto" w:fill="B9D9EB"/>
          </w:tcPr>
          <w:p>
            <w:pPr>
              <w:ind w:left="2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476,206</w:t>
            </w:r>
          </w:p>
        </w:tc>
        <w:tc>
          <w:tcPr>
            <w:tcW w:w="780" w:type="dxa"/>
            <w:vAlign w:val="bottom"/>
          </w:tcPr>
          <w:p>
            <w:pPr>
              <w:spacing w:after="0"/>
              <w:rPr>
                <w:sz w:val="15"/>
                <w:szCs w:val="15"/>
                <w:color w:val="auto"/>
              </w:rPr>
            </w:pPr>
          </w:p>
        </w:tc>
      </w:tr>
      <w:tr>
        <w:trPr>
          <w:trHeight w:val="180"/>
        </w:trPr>
        <w:tc>
          <w:tcPr>
            <w:tcW w:w="4000" w:type="dxa"/>
            <w:vAlign w:val="bottom"/>
          </w:tcPr>
          <w:p>
            <w:pPr>
              <w:ind w:left="140"/>
              <w:spacing w:after="0"/>
              <w:rPr>
                <w:sz w:val="20"/>
                <w:szCs w:val="20"/>
                <w:color w:val="auto"/>
              </w:rPr>
            </w:pPr>
            <w:r>
              <w:rPr>
                <w:rFonts w:ascii="Arial" w:cs="Arial" w:eastAsia="Arial" w:hAnsi="Arial"/>
                <w:sz w:val="12"/>
                <w:szCs w:val="12"/>
                <w:color w:val="auto"/>
              </w:rPr>
              <w:t>Accounts receivable, net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638,746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468,802</w:t>
            </w:r>
          </w:p>
        </w:tc>
        <w:tc>
          <w:tcPr>
            <w:tcW w:w="780" w:type="dxa"/>
            <w:vAlign w:val="bottom"/>
          </w:tcPr>
          <w:p>
            <w:pPr>
              <w:spacing w:after="0"/>
              <w:rPr>
                <w:sz w:val="15"/>
                <w:szCs w:val="15"/>
                <w:color w:val="auto"/>
              </w:rPr>
            </w:pPr>
          </w:p>
        </w:tc>
      </w:tr>
      <w:tr>
        <w:trPr>
          <w:trHeight w:val="180"/>
        </w:trPr>
        <w:tc>
          <w:tcPr>
            <w:tcW w:w="4000" w:type="dxa"/>
            <w:vAlign w:val="bottom"/>
            <w:shd w:val="clear" w:color="auto" w:fill="B9D9EB"/>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100" w:type="dxa"/>
            <w:vAlign w:val="bottom"/>
            <w:tcBorders>
              <w:bottom w:val="single" w:sz="8" w:color="auto"/>
            </w:tcBorders>
            <w:shd w:val="clear" w:color="auto" w:fill="B9D9EB"/>
          </w:tcPr>
          <w:p>
            <w:pPr>
              <w:spacing w:after="0"/>
              <w:rPr>
                <w:sz w:val="15"/>
                <w:szCs w:val="15"/>
                <w:color w:val="auto"/>
              </w:rPr>
            </w:pPr>
          </w:p>
        </w:tc>
        <w:tc>
          <w:tcPr>
            <w:tcW w:w="10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147,912</w:t>
            </w:r>
          </w:p>
        </w:tc>
        <w:tc>
          <w:tcPr>
            <w:tcW w:w="100" w:type="dxa"/>
            <w:vAlign w:val="bottom"/>
            <w:shd w:val="clear" w:color="auto" w:fill="B9D9EB"/>
          </w:tcPr>
          <w:p>
            <w:pPr>
              <w:spacing w:after="0"/>
              <w:rPr>
                <w:sz w:val="15"/>
                <w:szCs w:val="15"/>
                <w:color w:val="auto"/>
              </w:rPr>
            </w:pPr>
          </w:p>
        </w:tc>
        <w:tc>
          <w:tcPr>
            <w:tcW w:w="100" w:type="dxa"/>
            <w:vAlign w:val="bottom"/>
            <w:tcBorders>
              <w:bottom w:val="single" w:sz="8" w:color="auto"/>
            </w:tcBorders>
            <w:shd w:val="clear" w:color="auto" w:fill="B9D9EB"/>
          </w:tcPr>
          <w:p>
            <w:pPr>
              <w:spacing w:after="0"/>
              <w:rPr>
                <w:sz w:val="15"/>
                <w:szCs w:val="15"/>
                <w:color w:val="auto"/>
              </w:rPr>
            </w:pPr>
          </w:p>
        </w:tc>
        <w:tc>
          <w:tcPr>
            <w:tcW w:w="10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106,782</w:t>
            </w:r>
          </w:p>
        </w:tc>
        <w:tc>
          <w:tcPr>
            <w:tcW w:w="780" w:type="dxa"/>
            <w:vAlign w:val="bottom"/>
          </w:tcPr>
          <w:p>
            <w:pPr>
              <w:spacing w:after="0"/>
              <w:rPr>
                <w:sz w:val="15"/>
                <w:szCs w:val="15"/>
                <w:color w:val="auto"/>
              </w:rPr>
            </w:pPr>
          </w:p>
        </w:tc>
      </w:tr>
      <w:tr>
        <w:trPr>
          <w:trHeight w:val="160"/>
        </w:trPr>
        <w:tc>
          <w:tcPr>
            <w:tcW w:w="400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Total current assets</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1,031,450</w:t>
            </w:r>
          </w:p>
        </w:tc>
        <w:tc>
          <w:tcPr>
            <w:tcW w:w="100" w:type="dxa"/>
            <w:vAlign w:val="bottom"/>
            <w:tcBorders>
              <w:bottom w:val="single" w:sz="8" w:color="B9D9EB"/>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1,051,790</w:t>
            </w:r>
          </w:p>
        </w:tc>
        <w:tc>
          <w:tcPr>
            <w:tcW w:w="780" w:type="dxa"/>
            <w:vAlign w:val="bottom"/>
          </w:tcPr>
          <w:p>
            <w:pPr>
              <w:spacing w:after="0"/>
              <w:rPr>
                <w:sz w:val="13"/>
                <w:szCs w:val="13"/>
                <w:color w:val="auto"/>
              </w:rPr>
            </w:pPr>
          </w:p>
        </w:tc>
      </w:tr>
      <w:tr>
        <w:trPr>
          <w:trHeight w:val="160"/>
        </w:trPr>
        <w:tc>
          <w:tcPr>
            <w:tcW w:w="4000" w:type="dxa"/>
            <w:vAlign w:val="bottom"/>
            <w:shd w:val="clear" w:color="auto" w:fill="B9D9EB"/>
          </w:tcPr>
          <w:p>
            <w:pPr>
              <w:spacing w:after="0"/>
              <w:rPr>
                <w:sz w:val="20"/>
                <w:szCs w:val="20"/>
                <w:color w:val="auto"/>
              </w:rPr>
            </w:pPr>
            <w:r>
              <w:rPr>
                <w:rFonts w:ascii="Arial" w:cs="Arial" w:eastAsia="Arial" w:hAnsi="Arial"/>
                <w:sz w:val="12"/>
                <w:szCs w:val="12"/>
                <w:color w:val="auto"/>
              </w:rPr>
              <w:t>Intangible assets</w:t>
            </w:r>
          </w:p>
        </w:tc>
        <w:tc>
          <w:tcPr>
            <w:tcW w:w="100" w:type="dxa"/>
            <w:vAlign w:val="bottom"/>
            <w:shd w:val="clear" w:color="auto" w:fill="B9D9EB"/>
          </w:tcPr>
          <w:p>
            <w:pPr>
              <w:spacing w:after="0"/>
              <w:rPr>
                <w:sz w:val="13"/>
                <w:szCs w:val="13"/>
                <w:color w:val="auto"/>
              </w:rPr>
            </w:pPr>
          </w:p>
        </w:tc>
        <w:tc>
          <w:tcPr>
            <w:tcW w:w="10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11,341</w:t>
            </w:r>
          </w:p>
        </w:tc>
        <w:tc>
          <w:tcPr>
            <w:tcW w:w="100" w:type="dxa"/>
            <w:vAlign w:val="bottom"/>
            <w:shd w:val="clear" w:color="auto" w:fill="B9D9EB"/>
          </w:tcPr>
          <w:p>
            <w:pPr>
              <w:spacing w:after="0"/>
              <w:rPr>
                <w:sz w:val="13"/>
                <w:szCs w:val="13"/>
                <w:color w:val="auto"/>
              </w:rPr>
            </w:pPr>
          </w:p>
        </w:tc>
        <w:tc>
          <w:tcPr>
            <w:tcW w:w="100" w:type="dxa"/>
            <w:vAlign w:val="bottom"/>
            <w:shd w:val="clear" w:color="auto" w:fill="B9D9EB"/>
          </w:tcPr>
          <w:p>
            <w:pPr>
              <w:spacing w:after="0"/>
              <w:rPr>
                <w:sz w:val="13"/>
                <w:szCs w:val="13"/>
                <w:color w:val="auto"/>
              </w:rPr>
            </w:pPr>
          </w:p>
        </w:tc>
        <w:tc>
          <w:tcPr>
            <w:tcW w:w="10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34,372</w:t>
            </w:r>
          </w:p>
        </w:tc>
        <w:tc>
          <w:tcPr>
            <w:tcW w:w="780" w:type="dxa"/>
            <w:vAlign w:val="bottom"/>
          </w:tcPr>
          <w:p>
            <w:pPr>
              <w:spacing w:after="0"/>
              <w:rPr>
                <w:sz w:val="13"/>
                <w:szCs w:val="13"/>
                <w:color w:val="auto"/>
              </w:rPr>
            </w:pPr>
          </w:p>
        </w:tc>
      </w:tr>
      <w:tr>
        <w:trPr>
          <w:trHeight w:val="180"/>
        </w:trPr>
        <w:tc>
          <w:tcPr>
            <w:tcW w:w="4000" w:type="dxa"/>
            <w:vAlign w:val="bottom"/>
          </w:tcPr>
          <w:p>
            <w:pPr>
              <w:spacing w:after="0"/>
              <w:rPr>
                <w:sz w:val="20"/>
                <w:szCs w:val="20"/>
                <w:color w:val="auto"/>
              </w:rPr>
            </w:pPr>
            <w:r>
              <w:rPr>
                <w:rFonts w:ascii="Arial" w:cs="Arial" w:eastAsia="Arial" w:hAnsi="Arial"/>
                <w:sz w:val="12"/>
                <w:szCs w:val="12"/>
                <w:color w:val="auto"/>
              </w:rPr>
              <w:t>Property and equipment, at cost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4,413,310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4,163,205</w:t>
            </w:r>
          </w:p>
        </w:tc>
        <w:tc>
          <w:tcPr>
            <w:tcW w:w="780" w:type="dxa"/>
            <w:vAlign w:val="bottom"/>
          </w:tcPr>
          <w:p>
            <w:pPr>
              <w:spacing w:after="0"/>
              <w:rPr>
                <w:sz w:val="15"/>
                <w:szCs w:val="15"/>
                <w:color w:val="auto"/>
              </w:rPr>
            </w:pPr>
          </w:p>
        </w:tc>
      </w:tr>
      <w:tr>
        <w:trPr>
          <w:trHeight w:val="180"/>
        </w:trPr>
        <w:tc>
          <w:tcPr>
            <w:tcW w:w="4000" w:type="dxa"/>
            <w:vAlign w:val="bottom"/>
            <w:shd w:val="clear" w:color="auto" w:fill="B9D9EB"/>
          </w:tcPr>
          <w:p>
            <w:pPr>
              <w:ind w:left="140"/>
              <w:spacing w:after="0"/>
              <w:rPr>
                <w:sz w:val="20"/>
                <w:szCs w:val="20"/>
                <w:color w:val="auto"/>
              </w:rPr>
            </w:pPr>
            <w:r>
              <w:rPr>
                <w:rFonts w:ascii="Arial" w:cs="Arial" w:eastAsia="Arial" w:hAnsi="Arial"/>
                <w:sz w:val="12"/>
                <w:szCs w:val="12"/>
                <w:color w:val="auto"/>
              </w:rPr>
              <w:t>Accumulated depreciation</w:t>
            </w:r>
          </w:p>
        </w:tc>
        <w:tc>
          <w:tcPr>
            <w:tcW w:w="100" w:type="dxa"/>
            <w:vAlign w:val="bottom"/>
            <w:tcBorders>
              <w:bottom w:val="single" w:sz="8" w:color="auto"/>
            </w:tcBorders>
            <w:shd w:val="clear" w:color="auto" w:fill="B9D9EB"/>
          </w:tcPr>
          <w:p>
            <w:pPr>
              <w:spacing w:after="0"/>
              <w:rPr>
                <w:sz w:val="15"/>
                <w:szCs w:val="15"/>
                <w:color w:val="auto"/>
              </w:rPr>
            </w:pPr>
          </w:p>
        </w:tc>
        <w:tc>
          <w:tcPr>
            <w:tcW w:w="10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(399,005)</w:t>
            </w:r>
          </w:p>
        </w:tc>
        <w:tc>
          <w:tcPr>
            <w:tcW w:w="100" w:type="dxa"/>
            <w:vAlign w:val="bottom"/>
            <w:shd w:val="clear" w:color="auto" w:fill="B9D9EB"/>
          </w:tcPr>
          <w:p>
            <w:pPr>
              <w:spacing w:after="0"/>
              <w:rPr>
                <w:sz w:val="15"/>
                <w:szCs w:val="15"/>
                <w:color w:val="auto"/>
              </w:rPr>
            </w:pPr>
          </w:p>
        </w:tc>
        <w:tc>
          <w:tcPr>
            <w:tcW w:w="100" w:type="dxa"/>
            <w:vAlign w:val="bottom"/>
            <w:tcBorders>
              <w:bottom w:val="single" w:sz="8" w:color="auto"/>
            </w:tcBorders>
            <w:shd w:val="clear" w:color="auto" w:fill="B9D9EB"/>
          </w:tcPr>
          <w:p>
            <w:pPr>
              <w:spacing w:after="0"/>
              <w:rPr>
                <w:sz w:val="15"/>
                <w:szCs w:val="15"/>
                <w:color w:val="auto"/>
              </w:rPr>
            </w:pPr>
          </w:p>
        </w:tc>
        <w:tc>
          <w:tcPr>
            <w:tcW w:w="10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(181,904)</w:t>
            </w:r>
          </w:p>
        </w:tc>
        <w:tc>
          <w:tcPr>
            <w:tcW w:w="780" w:type="dxa"/>
            <w:vAlign w:val="bottom"/>
          </w:tcPr>
          <w:p>
            <w:pPr>
              <w:spacing w:after="0"/>
              <w:rPr>
                <w:sz w:val="15"/>
                <w:szCs w:val="15"/>
                <w:color w:val="auto"/>
              </w:rPr>
            </w:pPr>
          </w:p>
        </w:tc>
      </w:tr>
      <w:tr>
        <w:trPr>
          <w:trHeight w:val="160"/>
        </w:trPr>
        <w:tc>
          <w:tcPr>
            <w:tcW w:w="400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4,014,305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3,981,301</w:t>
            </w:r>
          </w:p>
        </w:tc>
        <w:tc>
          <w:tcPr>
            <w:tcW w:w="780" w:type="dxa"/>
            <w:vAlign w:val="bottom"/>
          </w:tcPr>
          <w:p>
            <w:pPr>
              <w:spacing w:after="0"/>
              <w:rPr>
                <w:sz w:val="13"/>
                <w:szCs w:val="13"/>
                <w:color w:val="auto"/>
              </w:rPr>
            </w:pPr>
          </w:p>
        </w:tc>
      </w:tr>
      <w:tr>
        <w:trPr>
          <w:trHeight w:val="180"/>
        </w:trPr>
        <w:tc>
          <w:tcPr>
            <w:tcW w:w="4000" w:type="dxa"/>
            <w:vAlign w:val="bottom"/>
            <w:shd w:val="clear" w:color="auto" w:fill="B9D9EB"/>
          </w:tcPr>
          <w:p>
            <w:pPr>
              <w:spacing w:after="0"/>
              <w:rPr>
                <w:sz w:val="20"/>
                <w:szCs w:val="20"/>
                <w:color w:val="auto"/>
              </w:rPr>
            </w:pPr>
            <w:r>
              <w:rPr>
                <w:rFonts w:ascii="Arial" w:cs="Arial" w:eastAsia="Arial" w:hAnsi="Arial"/>
                <w:sz w:val="12"/>
                <w:szCs w:val="12"/>
                <w:color w:val="auto"/>
              </w:rPr>
              <w:t>Goodwill</w:t>
            </w:r>
          </w:p>
        </w:tc>
        <w:tc>
          <w:tcPr>
            <w:tcW w:w="100" w:type="dxa"/>
            <w:vAlign w:val="bottom"/>
            <w:shd w:val="clear" w:color="auto" w:fill="B9D9EB"/>
          </w:tcPr>
          <w:p>
            <w:pPr>
              <w:spacing w:after="0"/>
              <w:rPr>
                <w:sz w:val="15"/>
                <w:szCs w:val="15"/>
                <w:color w:val="auto"/>
              </w:rPr>
            </w:pPr>
          </w:p>
        </w:tc>
        <w:tc>
          <w:tcPr>
            <w:tcW w:w="1100" w:type="dxa"/>
            <w:vAlign w:val="bottom"/>
            <w:gridSpan w:val="2"/>
            <w:shd w:val="clear" w:color="auto" w:fill="B9D9EB"/>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B9D9EB"/>
          </w:tcPr>
          <w:p>
            <w:pPr>
              <w:spacing w:after="0"/>
              <w:rPr>
                <w:sz w:val="15"/>
                <w:szCs w:val="15"/>
                <w:color w:val="auto"/>
              </w:rPr>
            </w:pPr>
          </w:p>
        </w:tc>
        <w:tc>
          <w:tcPr>
            <w:tcW w:w="10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26,016</w:t>
            </w:r>
          </w:p>
        </w:tc>
        <w:tc>
          <w:tcPr>
            <w:tcW w:w="780" w:type="dxa"/>
            <w:vAlign w:val="bottom"/>
          </w:tcPr>
          <w:p>
            <w:pPr>
              <w:spacing w:after="0"/>
              <w:rPr>
                <w:sz w:val="15"/>
                <w:szCs w:val="15"/>
                <w:color w:val="auto"/>
              </w:rPr>
            </w:pPr>
          </w:p>
        </w:tc>
      </w:tr>
      <w:tr>
        <w:trPr>
          <w:trHeight w:val="180"/>
        </w:trPr>
        <w:tc>
          <w:tcPr>
            <w:tcW w:w="400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Other assets</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211,820</w:t>
            </w:r>
          </w:p>
        </w:tc>
        <w:tc>
          <w:tcPr>
            <w:tcW w:w="100" w:type="dxa"/>
            <w:vAlign w:val="bottom"/>
            <w:tcBorders>
              <w:bottom w:val="single" w:sz="8" w:color="B9D9E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141,385</w:t>
            </w:r>
          </w:p>
        </w:tc>
        <w:tc>
          <w:tcPr>
            <w:tcW w:w="780" w:type="dxa"/>
            <w:vAlign w:val="bottom"/>
          </w:tcPr>
          <w:p>
            <w:pPr>
              <w:spacing w:after="0"/>
              <w:rPr>
                <w:sz w:val="15"/>
                <w:szCs w:val="15"/>
                <w:color w:val="auto"/>
              </w:rPr>
            </w:pPr>
          </w:p>
        </w:tc>
      </w:tr>
      <w:tr>
        <w:trPr>
          <w:trHeight w:val="162"/>
        </w:trPr>
        <w:tc>
          <w:tcPr>
            <w:tcW w:w="4000" w:type="dxa"/>
            <w:vAlign w:val="bottom"/>
            <w:tcBorders>
              <w:bottom w:val="single" w:sz="8" w:color="B9D9EB"/>
            </w:tcBorders>
            <w:shd w:val="clear" w:color="auto" w:fill="B9D9EB"/>
          </w:tcPr>
          <w:p>
            <w:pPr>
              <w:ind w:left="300"/>
              <w:spacing w:after="0"/>
              <w:rPr>
                <w:sz w:val="20"/>
                <w:szCs w:val="20"/>
                <w:color w:val="auto"/>
              </w:rPr>
            </w:pPr>
            <w:r>
              <w:rPr>
                <w:rFonts w:ascii="Arial" w:cs="Arial" w:eastAsia="Arial" w:hAnsi="Arial"/>
                <w:sz w:val="12"/>
                <w:szCs w:val="12"/>
                <w:b w:val="1"/>
                <w:bCs w:val="1"/>
                <w:color w:val="auto"/>
              </w:rPr>
              <w:t>Total assets</w:t>
            </w:r>
          </w:p>
        </w:tc>
        <w:tc>
          <w:tcPr>
            <w:tcW w:w="1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5,268,916</w:t>
            </w:r>
          </w:p>
        </w:tc>
        <w:tc>
          <w:tcPr>
            <w:tcW w:w="100" w:type="dxa"/>
            <w:vAlign w:val="bottom"/>
            <w:tcBorders>
              <w:bottom w:val="single" w:sz="8" w:color="B9D9EB"/>
            </w:tcBorders>
            <w:shd w:val="clear" w:color="auto" w:fill="B9D9EB"/>
          </w:tcPr>
          <w:p>
            <w:pPr>
              <w:spacing w:after="0"/>
              <w:rPr>
                <w:sz w:val="14"/>
                <w:szCs w:val="14"/>
                <w:color w:val="auto"/>
              </w:rPr>
            </w:pPr>
          </w:p>
        </w:tc>
        <w:tc>
          <w:tcPr>
            <w:tcW w:w="100" w:type="dxa"/>
            <w:vAlign w:val="bottom"/>
            <w:tcBorders>
              <w:bottom w:val="single" w:sz="8" w:color="auto"/>
            </w:tcBorders>
            <w:shd w:val="clear" w:color="auto" w:fill="B9D9EB"/>
          </w:tcPr>
          <w:p>
            <w:pPr>
              <w:ind w:left="2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5,234,864</w:t>
            </w:r>
          </w:p>
        </w:tc>
        <w:tc>
          <w:tcPr>
            <w:tcW w:w="780" w:type="dxa"/>
            <w:vAlign w:val="bottom"/>
          </w:tcPr>
          <w:p>
            <w:pPr>
              <w:spacing w:after="0"/>
              <w:rPr>
                <w:sz w:val="14"/>
                <w:szCs w:val="14"/>
                <w:color w:val="auto"/>
              </w:rPr>
            </w:pPr>
          </w:p>
        </w:tc>
      </w:tr>
      <w:tr>
        <w:trPr>
          <w:trHeight w:val="158"/>
        </w:trPr>
        <w:tc>
          <w:tcPr>
            <w:tcW w:w="4000" w:type="dxa"/>
            <w:vAlign w:val="bottom"/>
          </w:tcPr>
          <w:p>
            <w:pPr>
              <w:ind w:left="1220"/>
              <w:spacing w:after="0"/>
              <w:rPr>
                <w:sz w:val="20"/>
                <w:szCs w:val="20"/>
                <w:color w:val="auto"/>
              </w:rPr>
            </w:pPr>
            <w:r>
              <w:rPr>
                <w:rFonts w:ascii="Arial" w:cs="Arial" w:eastAsia="Arial" w:hAnsi="Arial"/>
                <w:sz w:val="12"/>
                <w:szCs w:val="12"/>
                <w:b w:val="1"/>
                <w:bCs w:val="1"/>
                <w:color w:val="auto"/>
              </w:rPr>
              <w:t>LIABILITIES AND EQUITY</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0"/>
        </w:trPr>
        <w:tc>
          <w:tcPr>
            <w:tcW w:w="4000" w:type="dxa"/>
            <w:vAlign w:val="bottom"/>
            <w:shd w:val="clear" w:color="auto" w:fill="B9D9EB"/>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shd w:val="clear" w:color="auto" w:fill="B9D9EB"/>
          </w:tcPr>
          <w:p>
            <w:pPr>
              <w:spacing w:after="0"/>
              <w:rPr>
                <w:sz w:val="15"/>
                <w:szCs w:val="15"/>
                <w:color w:val="auto"/>
              </w:rPr>
            </w:pPr>
          </w:p>
        </w:tc>
        <w:tc>
          <w:tcPr>
            <w:tcW w:w="1000" w:type="dxa"/>
            <w:vAlign w:val="bottom"/>
            <w:shd w:val="clear" w:color="auto" w:fill="B9D9EB"/>
          </w:tcPr>
          <w:p>
            <w:pPr>
              <w:spacing w:after="0"/>
              <w:rPr>
                <w:sz w:val="15"/>
                <w:szCs w:val="15"/>
                <w:color w:val="auto"/>
              </w:rPr>
            </w:pPr>
          </w:p>
        </w:tc>
        <w:tc>
          <w:tcPr>
            <w:tcW w:w="100" w:type="dxa"/>
            <w:vAlign w:val="bottom"/>
            <w:shd w:val="clear" w:color="auto" w:fill="B9D9EB"/>
          </w:tcPr>
          <w:p>
            <w:pPr>
              <w:spacing w:after="0"/>
              <w:rPr>
                <w:sz w:val="15"/>
                <w:szCs w:val="15"/>
                <w:color w:val="auto"/>
              </w:rPr>
            </w:pPr>
          </w:p>
        </w:tc>
        <w:tc>
          <w:tcPr>
            <w:tcW w:w="100" w:type="dxa"/>
            <w:vAlign w:val="bottom"/>
            <w:shd w:val="clear" w:color="auto" w:fill="B9D9EB"/>
          </w:tcPr>
          <w:p>
            <w:pPr>
              <w:spacing w:after="0"/>
              <w:rPr>
                <w:sz w:val="15"/>
                <w:szCs w:val="15"/>
                <w:color w:val="auto"/>
              </w:rPr>
            </w:pPr>
          </w:p>
        </w:tc>
        <w:tc>
          <w:tcPr>
            <w:tcW w:w="1000" w:type="dxa"/>
            <w:vAlign w:val="bottom"/>
            <w:shd w:val="clear" w:color="auto" w:fill="B9D9EB"/>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4000" w:type="dxa"/>
            <w:vAlign w:val="bottom"/>
          </w:tcPr>
          <w:p>
            <w:pPr>
              <w:ind w:left="140"/>
              <w:spacing w:after="0"/>
              <w:rPr>
                <w:sz w:val="20"/>
                <w:szCs w:val="20"/>
                <w:color w:val="auto"/>
              </w:rPr>
            </w:pPr>
            <w:r>
              <w:rPr>
                <w:rFonts w:ascii="Arial" w:cs="Arial" w:eastAsia="Arial" w:hAnsi="Arial"/>
                <w:sz w:val="12"/>
                <w:szCs w:val="12"/>
                <w:color w:val="auto"/>
              </w:rPr>
              <w:t>Current maturities of long-term debt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159,715</w:t>
            </w:r>
          </w:p>
        </w:tc>
        <w:tc>
          <w:tcPr>
            <w:tcW w:w="780" w:type="dxa"/>
            <w:vAlign w:val="bottom"/>
          </w:tcPr>
          <w:p>
            <w:pPr>
              <w:spacing w:after="0"/>
              <w:rPr>
                <w:sz w:val="15"/>
                <w:szCs w:val="15"/>
                <w:color w:val="auto"/>
              </w:rPr>
            </w:pPr>
          </w:p>
        </w:tc>
      </w:tr>
      <w:tr>
        <w:trPr>
          <w:trHeight w:val="180"/>
        </w:trPr>
        <w:tc>
          <w:tcPr>
            <w:tcW w:w="4000" w:type="dxa"/>
            <w:vAlign w:val="bottom"/>
            <w:shd w:val="clear" w:color="auto" w:fill="B9D9EB"/>
          </w:tcPr>
          <w:p>
            <w:pPr>
              <w:ind w:left="140"/>
              <w:spacing w:after="0"/>
              <w:rPr>
                <w:sz w:val="20"/>
                <w:szCs w:val="20"/>
                <w:color w:val="auto"/>
              </w:rPr>
            </w:pPr>
            <w:r>
              <w:rPr>
                <w:rFonts w:ascii="Arial" w:cs="Arial" w:eastAsia="Arial" w:hAnsi="Arial"/>
                <w:sz w:val="12"/>
                <w:szCs w:val="12"/>
                <w:color w:val="auto"/>
              </w:rPr>
              <w:t>Accounts payable</w:t>
            </w:r>
          </w:p>
        </w:tc>
        <w:tc>
          <w:tcPr>
            <w:tcW w:w="100" w:type="dxa"/>
            <w:vAlign w:val="bottom"/>
            <w:shd w:val="clear" w:color="auto" w:fill="B9D9EB"/>
          </w:tcPr>
          <w:p>
            <w:pPr>
              <w:spacing w:after="0"/>
              <w:rPr>
                <w:sz w:val="15"/>
                <w:szCs w:val="15"/>
                <w:color w:val="auto"/>
              </w:rPr>
            </w:pPr>
          </w:p>
        </w:tc>
        <w:tc>
          <w:tcPr>
            <w:tcW w:w="10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281,266</w:t>
            </w:r>
          </w:p>
        </w:tc>
        <w:tc>
          <w:tcPr>
            <w:tcW w:w="100" w:type="dxa"/>
            <w:vAlign w:val="bottom"/>
            <w:shd w:val="clear" w:color="auto" w:fill="B9D9EB"/>
          </w:tcPr>
          <w:p>
            <w:pPr>
              <w:spacing w:after="0"/>
              <w:rPr>
                <w:sz w:val="15"/>
                <w:szCs w:val="15"/>
                <w:color w:val="auto"/>
              </w:rPr>
            </w:pPr>
          </w:p>
        </w:tc>
        <w:tc>
          <w:tcPr>
            <w:tcW w:w="100" w:type="dxa"/>
            <w:vAlign w:val="bottom"/>
            <w:shd w:val="clear" w:color="auto" w:fill="B9D9EB"/>
          </w:tcPr>
          <w:p>
            <w:pPr>
              <w:spacing w:after="0"/>
              <w:rPr>
                <w:sz w:val="15"/>
                <w:szCs w:val="15"/>
                <w:color w:val="auto"/>
              </w:rPr>
            </w:pPr>
          </w:p>
        </w:tc>
        <w:tc>
          <w:tcPr>
            <w:tcW w:w="10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290,690</w:t>
            </w:r>
          </w:p>
        </w:tc>
        <w:tc>
          <w:tcPr>
            <w:tcW w:w="780" w:type="dxa"/>
            <w:vAlign w:val="bottom"/>
          </w:tcPr>
          <w:p>
            <w:pPr>
              <w:spacing w:after="0"/>
              <w:rPr>
                <w:sz w:val="15"/>
                <w:szCs w:val="15"/>
                <w:color w:val="auto"/>
              </w:rPr>
            </w:pPr>
          </w:p>
        </w:tc>
      </w:tr>
      <w:tr>
        <w:trPr>
          <w:trHeight w:val="180"/>
        </w:trPr>
        <w:tc>
          <w:tcPr>
            <w:tcW w:w="4000" w:type="dxa"/>
            <w:vAlign w:val="bottom"/>
          </w:tcPr>
          <w:p>
            <w:pPr>
              <w:ind w:left="140"/>
              <w:spacing w:after="0"/>
              <w:rPr>
                <w:sz w:val="20"/>
                <w:szCs w:val="20"/>
                <w:color w:val="auto"/>
              </w:rPr>
            </w:pPr>
            <w:r>
              <w:rPr>
                <w:rFonts w:ascii="Arial" w:cs="Arial" w:eastAsia="Arial" w:hAnsi="Arial"/>
                <w:sz w:val="12"/>
                <w:szCs w:val="12"/>
                <w:color w:val="auto"/>
              </w:rPr>
              <w:t>Accrued payroll and related costs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88,953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76,185</w:t>
            </w:r>
          </w:p>
        </w:tc>
        <w:tc>
          <w:tcPr>
            <w:tcW w:w="780" w:type="dxa"/>
            <w:vAlign w:val="bottom"/>
          </w:tcPr>
          <w:p>
            <w:pPr>
              <w:spacing w:after="0"/>
              <w:rPr>
                <w:sz w:val="15"/>
                <w:szCs w:val="15"/>
                <w:color w:val="auto"/>
              </w:rPr>
            </w:pPr>
          </w:p>
        </w:tc>
      </w:tr>
      <w:tr>
        <w:trPr>
          <w:trHeight w:val="180"/>
        </w:trPr>
        <w:tc>
          <w:tcPr>
            <w:tcW w:w="4000" w:type="dxa"/>
            <w:vAlign w:val="bottom"/>
            <w:shd w:val="clear" w:color="auto" w:fill="B9D9EB"/>
          </w:tcPr>
          <w:p>
            <w:pPr>
              <w:ind w:left="140"/>
              <w:spacing w:after="0"/>
              <w:rPr>
                <w:sz w:val="20"/>
                <w:szCs w:val="20"/>
                <w:color w:val="auto"/>
              </w:rPr>
            </w:pPr>
            <w:r>
              <w:rPr>
                <w:rFonts w:ascii="Arial" w:cs="Arial" w:eastAsia="Arial" w:hAnsi="Arial"/>
                <w:sz w:val="12"/>
                <w:szCs w:val="12"/>
                <w:color w:val="auto"/>
              </w:rPr>
              <w:t>Other current liabilities</w:t>
            </w:r>
          </w:p>
        </w:tc>
        <w:tc>
          <w:tcPr>
            <w:tcW w:w="100" w:type="dxa"/>
            <w:vAlign w:val="bottom"/>
            <w:tcBorders>
              <w:bottom w:val="single" w:sz="8" w:color="auto"/>
            </w:tcBorders>
            <w:shd w:val="clear" w:color="auto" w:fill="B9D9EB"/>
          </w:tcPr>
          <w:p>
            <w:pPr>
              <w:spacing w:after="0"/>
              <w:rPr>
                <w:sz w:val="15"/>
                <w:szCs w:val="15"/>
                <w:color w:val="auto"/>
              </w:rPr>
            </w:pPr>
          </w:p>
        </w:tc>
        <w:tc>
          <w:tcPr>
            <w:tcW w:w="10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145,610</w:t>
            </w:r>
          </w:p>
        </w:tc>
        <w:tc>
          <w:tcPr>
            <w:tcW w:w="100" w:type="dxa"/>
            <w:vAlign w:val="bottom"/>
            <w:shd w:val="clear" w:color="auto" w:fill="B9D9EB"/>
          </w:tcPr>
          <w:p>
            <w:pPr>
              <w:spacing w:after="0"/>
              <w:rPr>
                <w:sz w:val="15"/>
                <w:szCs w:val="15"/>
                <w:color w:val="auto"/>
              </w:rPr>
            </w:pPr>
          </w:p>
        </w:tc>
        <w:tc>
          <w:tcPr>
            <w:tcW w:w="100" w:type="dxa"/>
            <w:vAlign w:val="bottom"/>
            <w:tcBorders>
              <w:bottom w:val="single" w:sz="8" w:color="auto"/>
            </w:tcBorders>
            <w:shd w:val="clear" w:color="auto" w:fill="B9D9EB"/>
          </w:tcPr>
          <w:p>
            <w:pPr>
              <w:spacing w:after="0"/>
              <w:rPr>
                <w:sz w:val="15"/>
                <w:szCs w:val="15"/>
                <w:color w:val="auto"/>
              </w:rPr>
            </w:pPr>
          </w:p>
        </w:tc>
        <w:tc>
          <w:tcPr>
            <w:tcW w:w="10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140,508</w:t>
            </w:r>
          </w:p>
        </w:tc>
        <w:tc>
          <w:tcPr>
            <w:tcW w:w="780" w:type="dxa"/>
            <w:vAlign w:val="bottom"/>
          </w:tcPr>
          <w:p>
            <w:pPr>
              <w:spacing w:after="0"/>
              <w:rPr>
                <w:sz w:val="15"/>
                <w:szCs w:val="15"/>
                <w:color w:val="auto"/>
              </w:rPr>
            </w:pPr>
          </w:p>
        </w:tc>
      </w:tr>
      <w:tr>
        <w:trPr>
          <w:trHeight w:val="160"/>
        </w:trPr>
        <w:tc>
          <w:tcPr>
            <w:tcW w:w="400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Total current liabilities</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515,829</w:t>
            </w:r>
          </w:p>
        </w:tc>
        <w:tc>
          <w:tcPr>
            <w:tcW w:w="100" w:type="dxa"/>
            <w:vAlign w:val="bottom"/>
            <w:tcBorders>
              <w:bottom w:val="single" w:sz="8" w:color="B9D9EB"/>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667,098</w:t>
            </w:r>
          </w:p>
        </w:tc>
        <w:tc>
          <w:tcPr>
            <w:tcW w:w="780" w:type="dxa"/>
            <w:vAlign w:val="bottom"/>
          </w:tcPr>
          <w:p>
            <w:pPr>
              <w:spacing w:after="0"/>
              <w:rPr>
                <w:sz w:val="13"/>
                <w:szCs w:val="13"/>
                <w:color w:val="auto"/>
              </w:rPr>
            </w:pPr>
          </w:p>
        </w:tc>
      </w:tr>
      <w:tr>
        <w:trPr>
          <w:trHeight w:val="160"/>
        </w:trPr>
        <w:tc>
          <w:tcPr>
            <w:tcW w:w="4000" w:type="dxa"/>
            <w:vAlign w:val="bottom"/>
            <w:shd w:val="clear" w:color="auto" w:fill="B9D9EB"/>
          </w:tcPr>
          <w:p>
            <w:pPr>
              <w:spacing w:after="0"/>
              <w:rPr>
                <w:sz w:val="20"/>
                <w:szCs w:val="20"/>
                <w:color w:val="auto"/>
              </w:rPr>
            </w:pPr>
            <w:r>
              <w:rPr>
                <w:rFonts w:ascii="Arial" w:cs="Arial" w:eastAsia="Arial" w:hAnsi="Arial"/>
                <w:sz w:val="12"/>
                <w:szCs w:val="12"/>
                <w:color w:val="auto"/>
              </w:rPr>
              <w:t>Long-term debt</w:t>
            </w:r>
          </w:p>
        </w:tc>
        <w:tc>
          <w:tcPr>
            <w:tcW w:w="100" w:type="dxa"/>
            <w:vAlign w:val="bottom"/>
            <w:shd w:val="clear" w:color="auto" w:fill="B9D9EB"/>
          </w:tcPr>
          <w:p>
            <w:pPr>
              <w:spacing w:after="0"/>
              <w:rPr>
                <w:sz w:val="13"/>
                <w:szCs w:val="13"/>
                <w:color w:val="auto"/>
              </w:rPr>
            </w:pPr>
          </w:p>
        </w:tc>
        <w:tc>
          <w:tcPr>
            <w:tcW w:w="10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585,791</w:t>
            </w:r>
          </w:p>
        </w:tc>
        <w:tc>
          <w:tcPr>
            <w:tcW w:w="100" w:type="dxa"/>
            <w:vAlign w:val="bottom"/>
            <w:shd w:val="clear" w:color="auto" w:fill="B9D9EB"/>
          </w:tcPr>
          <w:p>
            <w:pPr>
              <w:spacing w:after="0"/>
              <w:rPr>
                <w:sz w:val="13"/>
                <w:szCs w:val="13"/>
                <w:color w:val="auto"/>
              </w:rPr>
            </w:pPr>
          </w:p>
        </w:tc>
        <w:tc>
          <w:tcPr>
            <w:tcW w:w="100" w:type="dxa"/>
            <w:vAlign w:val="bottom"/>
            <w:shd w:val="clear" w:color="auto" w:fill="B9D9EB"/>
          </w:tcPr>
          <w:p>
            <w:pPr>
              <w:spacing w:after="0"/>
              <w:rPr>
                <w:sz w:val="13"/>
                <w:szCs w:val="13"/>
                <w:color w:val="auto"/>
              </w:rPr>
            </w:pPr>
          </w:p>
        </w:tc>
        <w:tc>
          <w:tcPr>
            <w:tcW w:w="10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513,055</w:t>
            </w:r>
          </w:p>
        </w:tc>
        <w:tc>
          <w:tcPr>
            <w:tcW w:w="780" w:type="dxa"/>
            <w:vAlign w:val="bottom"/>
          </w:tcPr>
          <w:p>
            <w:pPr>
              <w:spacing w:after="0"/>
              <w:rPr>
                <w:sz w:val="13"/>
                <w:szCs w:val="13"/>
                <w:color w:val="auto"/>
              </w:rPr>
            </w:pPr>
          </w:p>
        </w:tc>
      </w:tr>
      <w:tr>
        <w:trPr>
          <w:trHeight w:val="180"/>
        </w:trPr>
        <w:tc>
          <w:tcPr>
            <w:tcW w:w="4000" w:type="dxa"/>
            <w:vAlign w:val="bottom"/>
          </w:tcPr>
          <w:p>
            <w:pPr>
              <w:spacing w:after="0"/>
              <w:rPr>
                <w:sz w:val="20"/>
                <w:szCs w:val="20"/>
                <w:color w:val="auto"/>
              </w:rPr>
            </w:pPr>
            <w:r>
              <w:rPr>
                <w:rFonts w:ascii="Arial" w:cs="Arial" w:eastAsia="Arial" w:hAnsi="Arial"/>
                <w:sz w:val="12"/>
                <w:szCs w:val="12"/>
                <w:color w:val="auto"/>
              </w:rPr>
              <w:t>Other liabilities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270,984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265,743</w:t>
            </w:r>
          </w:p>
        </w:tc>
        <w:tc>
          <w:tcPr>
            <w:tcW w:w="780" w:type="dxa"/>
            <w:vAlign w:val="bottom"/>
          </w:tcPr>
          <w:p>
            <w:pPr>
              <w:spacing w:after="0"/>
              <w:rPr>
                <w:sz w:val="15"/>
                <w:szCs w:val="15"/>
                <w:color w:val="auto"/>
              </w:rPr>
            </w:pPr>
          </w:p>
        </w:tc>
      </w:tr>
      <w:tr>
        <w:trPr>
          <w:trHeight w:val="180"/>
        </w:trPr>
        <w:tc>
          <w:tcPr>
            <w:tcW w:w="4000" w:type="dxa"/>
            <w:vAlign w:val="bottom"/>
            <w:shd w:val="clear" w:color="auto" w:fill="B9D9EB"/>
          </w:tcPr>
          <w:p>
            <w:pPr>
              <w:spacing w:after="0"/>
              <w:rPr>
                <w:sz w:val="20"/>
                <w:szCs w:val="20"/>
                <w:color w:val="auto"/>
              </w:rPr>
            </w:pPr>
            <w:r>
              <w:rPr>
                <w:rFonts w:ascii="Arial" w:cs="Arial" w:eastAsia="Arial" w:hAnsi="Arial"/>
                <w:sz w:val="12"/>
                <w:szCs w:val="12"/>
                <w:color w:val="auto"/>
              </w:rPr>
              <w:t>Noncurrent contract liabilities</w:t>
            </w:r>
          </w:p>
        </w:tc>
        <w:tc>
          <w:tcPr>
            <w:tcW w:w="100" w:type="dxa"/>
            <w:vAlign w:val="bottom"/>
            <w:tcBorders>
              <w:bottom w:val="single" w:sz="8" w:color="auto"/>
            </w:tcBorders>
            <w:shd w:val="clear" w:color="auto" w:fill="B9D9EB"/>
          </w:tcPr>
          <w:p>
            <w:pPr>
              <w:spacing w:after="0"/>
              <w:rPr>
                <w:sz w:val="15"/>
                <w:szCs w:val="15"/>
                <w:color w:val="auto"/>
              </w:rPr>
            </w:pPr>
          </w:p>
        </w:tc>
        <w:tc>
          <w:tcPr>
            <w:tcW w:w="10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63,312</w:t>
            </w:r>
          </w:p>
        </w:tc>
        <w:tc>
          <w:tcPr>
            <w:tcW w:w="100" w:type="dxa"/>
            <w:vAlign w:val="bottom"/>
            <w:shd w:val="clear" w:color="auto" w:fill="B9D9EB"/>
          </w:tcPr>
          <w:p>
            <w:pPr>
              <w:spacing w:after="0"/>
              <w:rPr>
                <w:sz w:val="15"/>
                <w:szCs w:val="15"/>
                <w:color w:val="auto"/>
              </w:rPr>
            </w:pPr>
          </w:p>
        </w:tc>
        <w:tc>
          <w:tcPr>
            <w:tcW w:w="100" w:type="dxa"/>
            <w:vAlign w:val="bottom"/>
            <w:tcBorders>
              <w:bottom w:val="single" w:sz="8" w:color="auto"/>
            </w:tcBorders>
            <w:shd w:val="clear" w:color="auto" w:fill="B9D9EB"/>
          </w:tcPr>
          <w:p>
            <w:pPr>
              <w:spacing w:after="0"/>
              <w:rPr>
                <w:sz w:val="15"/>
                <w:szCs w:val="15"/>
                <w:color w:val="auto"/>
              </w:rPr>
            </w:pPr>
          </w:p>
        </w:tc>
        <w:tc>
          <w:tcPr>
            <w:tcW w:w="10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181,883</w:t>
            </w:r>
          </w:p>
        </w:tc>
        <w:tc>
          <w:tcPr>
            <w:tcW w:w="780" w:type="dxa"/>
            <w:vAlign w:val="bottom"/>
          </w:tcPr>
          <w:p>
            <w:pPr>
              <w:spacing w:after="0"/>
              <w:rPr>
                <w:sz w:val="15"/>
                <w:szCs w:val="15"/>
                <w:color w:val="auto"/>
              </w:rPr>
            </w:pPr>
          </w:p>
        </w:tc>
      </w:tr>
      <w:tr>
        <w:trPr>
          <w:trHeight w:val="160"/>
        </w:trPr>
        <w:tc>
          <w:tcPr>
            <w:tcW w:w="4000" w:type="dxa"/>
            <w:vAlign w:val="bottom"/>
            <w:tcBorders>
              <w:bottom w:val="single" w:sz="8" w:color="B9D9EB"/>
            </w:tcBorders>
          </w:tcPr>
          <w:p>
            <w:pPr>
              <w:ind w:left="300"/>
              <w:spacing w:after="0"/>
              <w:rPr>
                <w:sz w:val="20"/>
                <w:szCs w:val="20"/>
                <w:color w:val="auto"/>
              </w:rPr>
            </w:pPr>
            <w:r>
              <w:rPr>
                <w:rFonts w:ascii="Arial" w:cs="Arial" w:eastAsia="Arial" w:hAnsi="Arial"/>
                <w:sz w:val="12"/>
                <w:szCs w:val="12"/>
                <w:b w:val="1"/>
                <w:bCs w:val="1"/>
                <w:color w:val="auto"/>
              </w:rPr>
              <w:t>Total liabilities</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1,435,916</w:t>
            </w:r>
          </w:p>
        </w:tc>
        <w:tc>
          <w:tcPr>
            <w:tcW w:w="100" w:type="dxa"/>
            <w:vAlign w:val="bottom"/>
            <w:tcBorders>
              <w:bottom w:val="single" w:sz="8" w:color="B9D9EB"/>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1,627,779</w:t>
            </w:r>
          </w:p>
        </w:tc>
        <w:tc>
          <w:tcPr>
            <w:tcW w:w="780" w:type="dxa"/>
            <w:vAlign w:val="bottom"/>
          </w:tcPr>
          <w:p>
            <w:pPr>
              <w:spacing w:after="0"/>
              <w:rPr>
                <w:sz w:val="13"/>
                <w:szCs w:val="13"/>
                <w:color w:val="auto"/>
              </w:rPr>
            </w:pPr>
          </w:p>
        </w:tc>
      </w:tr>
      <w:tr>
        <w:trPr>
          <w:trHeight w:val="160"/>
        </w:trPr>
        <w:tc>
          <w:tcPr>
            <w:tcW w:w="4000" w:type="dxa"/>
            <w:vAlign w:val="bottom"/>
            <w:shd w:val="clear" w:color="auto" w:fill="B9D9EB"/>
          </w:tcPr>
          <w:p>
            <w:pPr>
              <w:spacing w:after="0"/>
              <w:rPr>
                <w:sz w:val="20"/>
                <w:szCs w:val="20"/>
                <w:color w:val="auto"/>
              </w:rPr>
            </w:pPr>
            <w:r>
              <w:rPr>
                <w:rFonts w:ascii="Arial" w:cs="Arial" w:eastAsia="Arial" w:hAnsi="Arial"/>
                <w:sz w:val="12"/>
                <w:szCs w:val="12"/>
                <w:b w:val="1"/>
                <w:bCs w:val="1"/>
                <w:color w:val="auto"/>
              </w:rPr>
              <w:t>Commitments and contingencies</w:t>
            </w:r>
          </w:p>
        </w:tc>
        <w:tc>
          <w:tcPr>
            <w:tcW w:w="100" w:type="dxa"/>
            <w:vAlign w:val="bottom"/>
            <w:shd w:val="clear" w:color="auto" w:fill="B9D9EB"/>
          </w:tcPr>
          <w:p>
            <w:pPr>
              <w:spacing w:after="0"/>
              <w:rPr>
                <w:sz w:val="13"/>
                <w:szCs w:val="13"/>
                <w:color w:val="auto"/>
              </w:rPr>
            </w:pPr>
          </w:p>
        </w:tc>
        <w:tc>
          <w:tcPr>
            <w:tcW w:w="1000" w:type="dxa"/>
            <w:vAlign w:val="bottom"/>
            <w:shd w:val="clear" w:color="auto" w:fill="B9D9EB"/>
          </w:tcPr>
          <w:p>
            <w:pPr>
              <w:spacing w:after="0"/>
              <w:rPr>
                <w:sz w:val="13"/>
                <w:szCs w:val="13"/>
                <w:color w:val="auto"/>
              </w:rPr>
            </w:pPr>
          </w:p>
        </w:tc>
        <w:tc>
          <w:tcPr>
            <w:tcW w:w="100" w:type="dxa"/>
            <w:vAlign w:val="bottom"/>
            <w:shd w:val="clear" w:color="auto" w:fill="B9D9EB"/>
          </w:tcPr>
          <w:p>
            <w:pPr>
              <w:spacing w:after="0"/>
              <w:rPr>
                <w:sz w:val="13"/>
                <w:szCs w:val="13"/>
                <w:color w:val="auto"/>
              </w:rPr>
            </w:pPr>
          </w:p>
        </w:tc>
        <w:tc>
          <w:tcPr>
            <w:tcW w:w="100" w:type="dxa"/>
            <w:vAlign w:val="bottom"/>
            <w:shd w:val="clear" w:color="auto" w:fill="B9D9EB"/>
          </w:tcPr>
          <w:p>
            <w:pPr>
              <w:spacing w:after="0"/>
              <w:rPr>
                <w:sz w:val="13"/>
                <w:szCs w:val="13"/>
                <w:color w:val="auto"/>
              </w:rPr>
            </w:pPr>
          </w:p>
        </w:tc>
        <w:tc>
          <w:tcPr>
            <w:tcW w:w="1000" w:type="dxa"/>
            <w:vAlign w:val="bottom"/>
            <w:shd w:val="clear" w:color="auto" w:fill="B9D9EB"/>
          </w:tcPr>
          <w:p>
            <w:pPr>
              <w:spacing w:after="0"/>
              <w:rPr>
                <w:sz w:val="13"/>
                <w:szCs w:val="13"/>
                <w:color w:val="auto"/>
              </w:rPr>
            </w:pPr>
          </w:p>
        </w:tc>
        <w:tc>
          <w:tcPr>
            <w:tcW w:w="780" w:type="dxa"/>
            <w:vAlign w:val="bottom"/>
          </w:tcPr>
          <w:p>
            <w:pPr>
              <w:spacing w:after="0"/>
              <w:rPr>
                <w:sz w:val="13"/>
                <w:szCs w:val="13"/>
                <w:color w:val="auto"/>
              </w:rPr>
            </w:pPr>
          </w:p>
        </w:tc>
      </w:tr>
      <w:tr>
        <w:trPr>
          <w:trHeight w:val="180"/>
        </w:trPr>
        <w:tc>
          <w:tcPr>
            <w:tcW w:w="400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Total shareholders’ equity</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3,833,000</w:t>
            </w:r>
          </w:p>
        </w:tc>
        <w:tc>
          <w:tcPr>
            <w:tcW w:w="100" w:type="dxa"/>
            <w:vAlign w:val="bottom"/>
            <w:tcBorders>
              <w:bottom w:val="single" w:sz="8" w:color="B9D9E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3,607,085</w:t>
            </w:r>
          </w:p>
        </w:tc>
        <w:tc>
          <w:tcPr>
            <w:tcW w:w="780" w:type="dxa"/>
            <w:vAlign w:val="bottom"/>
          </w:tcPr>
          <w:p>
            <w:pPr>
              <w:spacing w:after="0"/>
              <w:rPr>
                <w:sz w:val="15"/>
                <w:szCs w:val="15"/>
                <w:color w:val="auto"/>
              </w:rPr>
            </w:pPr>
          </w:p>
        </w:tc>
      </w:tr>
      <w:tr>
        <w:trPr>
          <w:trHeight w:val="158"/>
        </w:trPr>
        <w:tc>
          <w:tcPr>
            <w:tcW w:w="4000" w:type="dxa"/>
            <w:vAlign w:val="bottom"/>
            <w:tcBorders>
              <w:bottom w:val="single" w:sz="8" w:color="B9D9EB"/>
            </w:tcBorders>
            <w:shd w:val="clear" w:color="auto" w:fill="B9D9EB"/>
          </w:tcPr>
          <w:p>
            <w:pPr>
              <w:ind w:left="300"/>
              <w:spacing w:after="0"/>
              <w:rPr>
                <w:sz w:val="20"/>
                <w:szCs w:val="20"/>
                <w:color w:val="auto"/>
              </w:rPr>
            </w:pPr>
            <w:r>
              <w:rPr>
                <w:rFonts w:ascii="Arial" w:cs="Arial" w:eastAsia="Arial" w:hAnsi="Arial"/>
                <w:sz w:val="12"/>
                <w:szCs w:val="12"/>
                <w:b w:val="1"/>
                <w:bCs w:val="1"/>
                <w:color w:val="auto"/>
              </w:rPr>
              <w:t>Total liabilities and equity</w:t>
            </w:r>
          </w:p>
        </w:tc>
        <w:tc>
          <w:tcPr>
            <w:tcW w:w="1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5,268,916</w:t>
            </w:r>
          </w:p>
        </w:tc>
        <w:tc>
          <w:tcPr>
            <w:tcW w:w="100" w:type="dxa"/>
            <w:vAlign w:val="bottom"/>
            <w:tcBorders>
              <w:bottom w:val="single" w:sz="8" w:color="B9D9EB"/>
            </w:tcBorders>
            <w:shd w:val="clear" w:color="auto" w:fill="B9D9EB"/>
          </w:tcPr>
          <w:p>
            <w:pPr>
              <w:spacing w:after="0"/>
              <w:rPr>
                <w:sz w:val="13"/>
                <w:szCs w:val="13"/>
                <w:color w:val="auto"/>
              </w:rPr>
            </w:pPr>
          </w:p>
        </w:tc>
        <w:tc>
          <w:tcPr>
            <w:tcW w:w="100" w:type="dxa"/>
            <w:vAlign w:val="bottom"/>
            <w:tcBorders>
              <w:bottom w:val="single" w:sz="8" w:color="auto"/>
            </w:tcBorders>
            <w:shd w:val="clear" w:color="auto" w:fill="B9D9EB"/>
          </w:tcPr>
          <w:p>
            <w:pPr>
              <w:ind w:left="2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5,234,864</w:t>
            </w:r>
          </w:p>
        </w:tc>
        <w:tc>
          <w:tcPr>
            <w:tcW w:w="78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0159"/>
          </w:cols>
          <w:pgMar w:left="300" w:top="980"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4"/>
        </w:trPr>
        <w:tc>
          <w:tcPr>
            <w:tcW w:w="3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60" w:type="dxa"/>
            <w:vAlign w:val="bottom"/>
            <w:gridSpan w:val="5"/>
          </w:tcPr>
          <w:p>
            <w:pPr>
              <w:jc w:val="center"/>
              <w:ind w:right="380"/>
              <w:spacing w:after="0"/>
              <w:rPr>
                <w:sz w:val="20"/>
                <w:szCs w:val="20"/>
                <w:color w:val="auto"/>
              </w:rPr>
            </w:pPr>
            <w:r>
              <w:rPr>
                <w:rFonts w:ascii="Arial" w:cs="Arial" w:eastAsia="Arial" w:hAnsi="Arial"/>
                <w:sz w:val="12"/>
                <w:szCs w:val="12"/>
                <w:b w:val="1"/>
                <w:bCs w:val="1"/>
                <w:color w:val="auto"/>
                <w:w w:val="99"/>
              </w:rPr>
              <w:t>NOBLE CORPORATION plc AND SUBSIDIARIES</w:t>
            </w:r>
          </w:p>
        </w:tc>
      </w:tr>
      <w:tr>
        <w:trPr>
          <w:trHeight w:val="144"/>
        </w:trPr>
        <w:tc>
          <w:tcPr>
            <w:tcW w:w="3760" w:type="dxa"/>
            <w:vAlign w:val="bottom"/>
          </w:tcPr>
          <w:p>
            <w:pPr>
              <w:spacing w:after="0"/>
              <w:rPr>
                <w:sz w:val="12"/>
                <w:szCs w:val="12"/>
                <w:color w:val="auto"/>
              </w:rPr>
            </w:pPr>
          </w:p>
        </w:tc>
        <w:tc>
          <w:tcPr>
            <w:tcW w:w="3700" w:type="dxa"/>
            <w:vAlign w:val="bottom"/>
            <w:gridSpan w:val="7"/>
          </w:tcPr>
          <w:p>
            <w:pPr>
              <w:jc w:val="center"/>
              <w:ind w:left="20"/>
              <w:spacing w:after="0"/>
              <w:rPr>
                <w:sz w:val="20"/>
                <w:szCs w:val="20"/>
                <w:color w:val="auto"/>
              </w:rPr>
            </w:pPr>
            <w:r>
              <w:rPr>
                <w:rFonts w:ascii="Arial" w:cs="Arial" w:eastAsia="Arial" w:hAnsi="Arial"/>
                <w:sz w:val="12"/>
                <w:szCs w:val="12"/>
                <w:b w:val="1"/>
                <w:bCs w:val="1"/>
                <w:color w:val="auto"/>
                <w:w w:val="99"/>
              </w:rPr>
              <w:t>CONDENSED CONSOLIDATED STATEMENTS OF CASH FLOWS</w:t>
            </w:r>
          </w:p>
        </w:tc>
      </w:tr>
      <w:tr>
        <w:trPr>
          <w:trHeight w:val="144"/>
        </w:trPr>
        <w:tc>
          <w:tcPr>
            <w:tcW w:w="3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3"/>
          </w:tcPr>
          <w:p>
            <w:pPr>
              <w:jc w:val="center"/>
              <w:ind w:right="1380"/>
              <w:spacing w:after="0"/>
              <w:rPr>
                <w:sz w:val="20"/>
                <w:szCs w:val="20"/>
                <w:color w:val="auto"/>
              </w:rPr>
            </w:pPr>
            <w:r>
              <w:rPr>
                <w:rFonts w:ascii="Arial" w:cs="Arial" w:eastAsia="Arial" w:hAnsi="Arial"/>
                <w:sz w:val="12"/>
                <w:szCs w:val="12"/>
                <w:b w:val="1"/>
                <w:bCs w:val="1"/>
                <w:color w:val="auto"/>
                <w:w w:val="99"/>
              </w:rPr>
              <w:t>(In thousands)</w:t>
            </w:r>
          </w:p>
        </w:tc>
      </w:tr>
      <w:tr>
        <w:trPr>
          <w:trHeight w:val="167"/>
        </w:trPr>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2"/>
          </w:tcPr>
          <w:p>
            <w:pPr>
              <w:jc w:val="center"/>
              <w:ind w:right="1460"/>
              <w:spacing w:after="0"/>
              <w:rPr>
                <w:sz w:val="20"/>
                <w:szCs w:val="20"/>
                <w:color w:val="auto"/>
              </w:rPr>
            </w:pPr>
            <w:r>
              <w:rPr>
                <w:rFonts w:ascii="Arial" w:cs="Arial" w:eastAsia="Arial" w:hAnsi="Arial"/>
                <w:sz w:val="12"/>
                <w:szCs w:val="12"/>
                <w:b w:val="1"/>
                <w:bCs w:val="1"/>
                <w:color w:val="auto"/>
                <w:w w:val="98"/>
              </w:rPr>
              <w:t>(Unaudited)</w:t>
            </w:r>
          </w:p>
        </w:tc>
      </w:tr>
      <w:tr>
        <w:trPr>
          <w:trHeight w:val="333"/>
        </w:trPr>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5"/>
          </w:tcPr>
          <w:p>
            <w:pPr>
              <w:ind w:left="160"/>
              <w:spacing w:after="0"/>
              <w:rPr>
                <w:sz w:val="20"/>
                <w:szCs w:val="20"/>
                <w:color w:val="auto"/>
              </w:rPr>
            </w:pPr>
            <w:r>
              <w:rPr>
                <w:rFonts w:ascii="Arial" w:cs="Arial" w:eastAsia="Arial" w:hAnsi="Arial"/>
                <w:sz w:val="10"/>
                <w:szCs w:val="10"/>
                <w:b w:val="1"/>
                <w:bCs w:val="1"/>
                <w:color w:val="auto"/>
              </w:rPr>
              <w:t>Nine Months Ended September 30,</w:t>
            </w:r>
          </w:p>
        </w:tc>
      </w:tr>
      <w:tr>
        <w:trPr>
          <w:trHeight w:val="159"/>
        </w:trPr>
        <w:tc>
          <w:tcPr>
            <w:tcW w:w="3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0"/>
                <w:szCs w:val="10"/>
                <w:b w:val="1"/>
                <w:bCs w:val="1"/>
                <w:color w:val="auto"/>
              </w:rPr>
              <w:t>2023</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0"/>
                <w:szCs w:val="10"/>
                <w:b w:val="1"/>
                <w:bCs w:val="1"/>
                <w:color w:val="auto"/>
              </w:rPr>
              <w:t>2022</w:t>
            </w:r>
          </w:p>
        </w:tc>
        <w:tc>
          <w:tcPr>
            <w:tcW w:w="1160" w:type="dxa"/>
            <w:vAlign w:val="bottom"/>
          </w:tcPr>
          <w:p>
            <w:pPr>
              <w:spacing w:after="0"/>
              <w:rPr>
                <w:sz w:val="13"/>
                <w:szCs w:val="13"/>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0"/>
        </w:trPr>
        <w:tc>
          <w:tcPr>
            <w:tcW w:w="3760" w:type="dxa"/>
            <w:vAlign w:val="bottom"/>
            <w:shd w:val="clear" w:color="auto" w:fill="B9D9EB"/>
          </w:tcPr>
          <w:p>
            <w:pPr>
              <w:ind w:left="140"/>
              <w:spacing w:after="0"/>
              <w:rPr>
                <w:sz w:val="20"/>
                <w:szCs w:val="20"/>
                <w:color w:val="auto"/>
              </w:rPr>
            </w:pPr>
            <w:r>
              <w:rPr>
                <w:rFonts w:ascii="Arial" w:cs="Arial" w:eastAsia="Arial" w:hAnsi="Arial"/>
                <w:sz w:val="12"/>
                <w:szCs w:val="12"/>
                <w:color w:val="auto"/>
              </w:rPr>
              <w:t>Net income (loss)</w:t>
            </w:r>
          </w:p>
        </w:tc>
        <w:tc>
          <w:tcPr>
            <w:tcW w:w="440" w:type="dxa"/>
            <w:vAlign w:val="bottom"/>
            <w:gridSpan w:val="2"/>
            <w:shd w:val="clear" w:color="auto" w:fill="B9D9EB"/>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332,202</w:t>
            </w:r>
          </w:p>
        </w:tc>
        <w:tc>
          <w:tcPr>
            <w:tcW w:w="120" w:type="dxa"/>
            <w:vAlign w:val="bottom"/>
            <w:shd w:val="clear" w:color="auto" w:fill="B9D9EB"/>
          </w:tcPr>
          <w:p>
            <w:pPr>
              <w:spacing w:after="0"/>
              <w:rPr>
                <w:sz w:val="15"/>
                <w:szCs w:val="15"/>
                <w:color w:val="auto"/>
              </w:rPr>
            </w:pPr>
          </w:p>
        </w:tc>
        <w:tc>
          <w:tcPr>
            <w:tcW w:w="8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33,986</w:t>
            </w:r>
          </w:p>
        </w:tc>
        <w:tc>
          <w:tcPr>
            <w:tcW w:w="1160" w:type="dxa"/>
            <w:vAlign w:val="bottom"/>
          </w:tcPr>
          <w:p>
            <w:pPr>
              <w:spacing w:after="0"/>
              <w:rPr>
                <w:sz w:val="15"/>
                <w:szCs w:val="15"/>
                <w:color w:val="auto"/>
              </w:rPr>
            </w:pPr>
          </w:p>
        </w:tc>
      </w:tr>
      <w:tr>
        <w:trPr>
          <w:trHeight w:val="117"/>
        </w:trPr>
        <w:tc>
          <w:tcPr>
            <w:tcW w:w="3760" w:type="dxa"/>
            <w:vAlign w:val="bottom"/>
          </w:tcPr>
          <w:p>
            <w:pPr>
              <w:ind w:left="140"/>
              <w:spacing w:after="0" w:line="118" w:lineRule="exact"/>
              <w:rPr>
                <w:sz w:val="20"/>
                <w:szCs w:val="20"/>
                <w:color w:val="auto"/>
              </w:rPr>
            </w:pPr>
            <w:r>
              <w:rPr>
                <w:rFonts w:ascii="Arial" w:cs="Arial" w:eastAsia="Arial" w:hAnsi="Arial"/>
                <w:sz w:val="12"/>
                <w:szCs w:val="12"/>
                <w:color w:val="auto"/>
              </w:rPr>
              <w:t>Adjustments to reconcile net income (loss) to net cash flow from</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57"/>
        </w:trPr>
        <w:tc>
          <w:tcPr>
            <w:tcW w:w="3760" w:type="dxa"/>
            <w:vAlign w:val="bottom"/>
          </w:tcPr>
          <w:p>
            <w:pPr>
              <w:ind w:left="140"/>
              <w:spacing w:after="0"/>
              <w:rPr>
                <w:sz w:val="20"/>
                <w:szCs w:val="20"/>
                <w:color w:val="auto"/>
              </w:rPr>
            </w:pPr>
            <w:r>
              <w:rPr>
                <w:rFonts w:ascii="Arial" w:cs="Arial" w:eastAsia="Arial" w:hAnsi="Arial"/>
                <w:sz w:val="12"/>
                <w:szCs w:val="12"/>
                <w:color w:val="auto"/>
              </w:rPr>
              <w:t>operating activities: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5"/>
        </w:trPr>
        <w:tc>
          <w:tcPr>
            <w:tcW w:w="3760" w:type="dxa"/>
            <w:vAlign w:val="bottom"/>
            <w:shd w:val="clear" w:color="auto" w:fill="B9D9EB"/>
          </w:tcPr>
          <w:p>
            <w:pPr>
              <w:ind w:left="300"/>
              <w:spacing w:after="0"/>
              <w:rPr>
                <w:sz w:val="20"/>
                <w:szCs w:val="20"/>
                <w:color w:val="auto"/>
              </w:rPr>
            </w:pPr>
            <w:r>
              <w:rPr>
                <w:rFonts w:ascii="Arial" w:cs="Arial" w:eastAsia="Arial" w:hAnsi="Arial"/>
                <w:sz w:val="12"/>
                <w:szCs w:val="12"/>
                <w:color w:val="auto"/>
              </w:rPr>
              <w:t>Depreciation and amortization</w:t>
            </w:r>
          </w:p>
        </w:tc>
        <w:tc>
          <w:tcPr>
            <w:tcW w:w="260" w:type="dxa"/>
            <w:vAlign w:val="bottom"/>
            <w:shd w:val="clear" w:color="auto" w:fill="B9D9EB"/>
          </w:tcPr>
          <w:p>
            <w:pPr>
              <w:spacing w:after="0"/>
              <w:rPr>
                <w:sz w:val="16"/>
                <w:szCs w:val="16"/>
                <w:color w:val="auto"/>
              </w:rPr>
            </w:pPr>
          </w:p>
        </w:tc>
        <w:tc>
          <w:tcPr>
            <w:tcW w:w="180" w:type="dxa"/>
            <w:vAlign w:val="bottom"/>
            <w:shd w:val="clear" w:color="auto" w:fill="B9D9EB"/>
          </w:tcPr>
          <w:p>
            <w:pPr>
              <w:spacing w:after="0"/>
              <w:rPr>
                <w:sz w:val="16"/>
                <w:szCs w:val="16"/>
                <w:color w:val="auto"/>
              </w:rPr>
            </w:pPr>
          </w:p>
        </w:tc>
        <w:tc>
          <w:tcPr>
            <w:tcW w:w="9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218,412</w:t>
            </w:r>
          </w:p>
        </w:tc>
        <w:tc>
          <w:tcPr>
            <w:tcW w:w="120" w:type="dxa"/>
            <w:vAlign w:val="bottom"/>
            <w:shd w:val="clear" w:color="auto" w:fill="B9D9EB"/>
          </w:tcPr>
          <w:p>
            <w:pPr>
              <w:spacing w:after="0"/>
              <w:rPr>
                <w:sz w:val="16"/>
                <w:szCs w:val="16"/>
                <w:color w:val="auto"/>
              </w:rPr>
            </w:pPr>
          </w:p>
        </w:tc>
        <w:tc>
          <w:tcPr>
            <w:tcW w:w="80" w:type="dxa"/>
            <w:vAlign w:val="bottom"/>
            <w:shd w:val="clear" w:color="auto" w:fill="B9D9EB"/>
          </w:tcPr>
          <w:p>
            <w:pPr>
              <w:spacing w:after="0"/>
              <w:rPr>
                <w:sz w:val="16"/>
                <w:szCs w:val="16"/>
                <w:color w:val="auto"/>
              </w:rPr>
            </w:pPr>
          </w:p>
        </w:tc>
        <w:tc>
          <w:tcPr>
            <w:tcW w:w="10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77,109</w:t>
            </w:r>
          </w:p>
        </w:tc>
        <w:tc>
          <w:tcPr>
            <w:tcW w:w="1160" w:type="dxa"/>
            <w:vAlign w:val="bottom"/>
          </w:tcPr>
          <w:p>
            <w:pPr>
              <w:spacing w:after="0"/>
              <w:rPr>
                <w:sz w:val="16"/>
                <w:szCs w:val="16"/>
                <w:color w:val="auto"/>
              </w:rPr>
            </w:pPr>
          </w:p>
        </w:tc>
      </w:tr>
      <w:tr>
        <w:trPr>
          <w:trHeight w:val="180"/>
        </w:trPr>
        <w:tc>
          <w:tcPr>
            <w:tcW w:w="3760" w:type="dxa"/>
            <w:vAlign w:val="bottom"/>
          </w:tcPr>
          <w:p>
            <w:pPr>
              <w:ind w:left="300"/>
              <w:spacing w:after="0"/>
              <w:rPr>
                <w:sz w:val="20"/>
                <w:szCs w:val="20"/>
                <w:color w:val="auto"/>
              </w:rPr>
            </w:pPr>
            <w:r>
              <w:rPr>
                <w:rFonts w:ascii="Arial" w:cs="Arial" w:eastAsia="Arial" w:hAnsi="Arial"/>
                <w:sz w:val="12"/>
                <w:szCs w:val="12"/>
                <w:color w:val="auto"/>
              </w:rPr>
              <w:t>Amortization of intangible assets and contract liabilities, net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(95,540)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36,525</w:t>
            </w:r>
          </w:p>
        </w:tc>
        <w:tc>
          <w:tcPr>
            <w:tcW w:w="1160" w:type="dxa"/>
            <w:vAlign w:val="bottom"/>
          </w:tcPr>
          <w:p>
            <w:pPr>
              <w:spacing w:after="0"/>
              <w:rPr>
                <w:sz w:val="15"/>
                <w:szCs w:val="15"/>
                <w:color w:val="auto"/>
              </w:rPr>
            </w:pPr>
          </w:p>
        </w:tc>
      </w:tr>
      <w:tr>
        <w:trPr>
          <w:trHeight w:val="225"/>
        </w:trPr>
        <w:tc>
          <w:tcPr>
            <w:tcW w:w="3760" w:type="dxa"/>
            <w:vAlign w:val="bottom"/>
            <w:shd w:val="clear" w:color="auto" w:fill="B9D9EB"/>
          </w:tcPr>
          <w:p>
            <w:pPr>
              <w:ind w:left="300"/>
              <w:spacing w:after="0"/>
              <w:rPr>
                <w:sz w:val="20"/>
                <w:szCs w:val="20"/>
                <w:color w:val="auto"/>
              </w:rPr>
            </w:pPr>
            <w:r>
              <w:rPr>
                <w:rFonts w:ascii="Arial" w:cs="Arial" w:eastAsia="Arial" w:hAnsi="Arial"/>
                <w:sz w:val="12"/>
                <w:szCs w:val="12"/>
                <w:color w:val="auto"/>
              </w:rPr>
              <w:t>Gain on bargain purchase</w:t>
            </w:r>
          </w:p>
        </w:tc>
        <w:tc>
          <w:tcPr>
            <w:tcW w:w="26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9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(5,005)</w:t>
            </w:r>
          </w:p>
        </w:tc>
        <w:tc>
          <w:tcPr>
            <w:tcW w:w="120" w:type="dxa"/>
            <w:vAlign w:val="bottom"/>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0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9"/>
                <w:szCs w:val="19"/>
                <w:color w:val="auto"/>
              </w:rPr>
            </w:pPr>
          </w:p>
        </w:tc>
      </w:tr>
      <w:tr>
        <w:trPr>
          <w:trHeight w:val="180"/>
        </w:trPr>
        <w:tc>
          <w:tcPr>
            <w:tcW w:w="3760" w:type="dxa"/>
            <w:vAlign w:val="bottom"/>
          </w:tcPr>
          <w:p>
            <w:pPr>
              <w:ind w:left="300"/>
              <w:spacing w:after="0"/>
              <w:rPr>
                <w:sz w:val="20"/>
                <w:szCs w:val="20"/>
                <w:color w:val="auto"/>
              </w:rPr>
            </w:pPr>
            <w:r>
              <w:rPr>
                <w:rFonts w:ascii="Arial" w:cs="Arial" w:eastAsia="Arial" w:hAnsi="Arial"/>
                <w:sz w:val="12"/>
                <w:szCs w:val="12"/>
                <w:color w:val="auto"/>
              </w:rPr>
              <w:t>(Gain) loss on extinguishment of debt, net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26,397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196</w:t>
            </w:r>
          </w:p>
        </w:tc>
        <w:tc>
          <w:tcPr>
            <w:tcW w:w="1160" w:type="dxa"/>
            <w:vAlign w:val="bottom"/>
          </w:tcPr>
          <w:p>
            <w:pPr>
              <w:spacing w:after="0"/>
              <w:rPr>
                <w:sz w:val="15"/>
                <w:szCs w:val="15"/>
                <w:color w:val="auto"/>
              </w:rPr>
            </w:pPr>
          </w:p>
        </w:tc>
      </w:tr>
      <w:tr>
        <w:trPr>
          <w:trHeight w:val="180"/>
        </w:trPr>
        <w:tc>
          <w:tcPr>
            <w:tcW w:w="3760" w:type="dxa"/>
            <w:vAlign w:val="bottom"/>
            <w:shd w:val="clear" w:color="auto" w:fill="B9D9EB"/>
          </w:tcPr>
          <w:p>
            <w:pPr>
              <w:ind w:left="300"/>
              <w:spacing w:after="0"/>
              <w:rPr>
                <w:sz w:val="20"/>
                <w:szCs w:val="20"/>
                <w:color w:val="auto"/>
              </w:rPr>
            </w:pPr>
            <w:r>
              <w:rPr>
                <w:rFonts w:ascii="Arial" w:cs="Arial" w:eastAsia="Arial" w:hAnsi="Arial"/>
                <w:sz w:val="12"/>
                <w:szCs w:val="12"/>
                <w:color w:val="auto"/>
              </w:rPr>
              <w:t>(Gain) loss on sale of operating assets, net</w:t>
            </w:r>
          </w:p>
        </w:tc>
        <w:tc>
          <w:tcPr>
            <w:tcW w:w="260" w:type="dxa"/>
            <w:vAlign w:val="bottom"/>
            <w:shd w:val="clear" w:color="auto" w:fill="B9D9EB"/>
          </w:tcPr>
          <w:p>
            <w:pPr>
              <w:spacing w:after="0"/>
              <w:rPr>
                <w:sz w:val="15"/>
                <w:szCs w:val="15"/>
                <w:color w:val="auto"/>
              </w:rPr>
            </w:pPr>
          </w:p>
        </w:tc>
        <w:tc>
          <w:tcPr>
            <w:tcW w:w="180" w:type="dxa"/>
            <w:vAlign w:val="bottom"/>
            <w:shd w:val="clear" w:color="auto" w:fill="B9D9EB"/>
          </w:tcPr>
          <w:p>
            <w:pPr>
              <w:spacing w:after="0"/>
              <w:rPr>
                <w:sz w:val="15"/>
                <w:szCs w:val="15"/>
                <w:color w:val="auto"/>
              </w:rPr>
            </w:pPr>
          </w:p>
        </w:tc>
        <w:tc>
          <w:tcPr>
            <w:tcW w:w="1020" w:type="dxa"/>
            <w:vAlign w:val="bottom"/>
            <w:gridSpan w:val="2"/>
            <w:shd w:val="clear" w:color="auto" w:fill="B9D9EB"/>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B9D9EB"/>
          </w:tcPr>
          <w:p>
            <w:pPr>
              <w:spacing w:after="0"/>
              <w:rPr>
                <w:sz w:val="15"/>
                <w:szCs w:val="15"/>
                <w:color w:val="auto"/>
              </w:rPr>
            </w:pPr>
          </w:p>
        </w:tc>
        <w:tc>
          <w:tcPr>
            <w:tcW w:w="10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(6,767)</w:t>
            </w:r>
          </w:p>
        </w:tc>
        <w:tc>
          <w:tcPr>
            <w:tcW w:w="1160" w:type="dxa"/>
            <w:vAlign w:val="bottom"/>
          </w:tcPr>
          <w:p>
            <w:pPr>
              <w:spacing w:after="0"/>
              <w:rPr>
                <w:sz w:val="15"/>
                <w:szCs w:val="15"/>
                <w:color w:val="auto"/>
              </w:rPr>
            </w:pPr>
          </w:p>
        </w:tc>
      </w:tr>
      <w:tr>
        <w:trPr>
          <w:trHeight w:val="288"/>
        </w:trPr>
        <w:tc>
          <w:tcPr>
            <w:tcW w:w="4200" w:type="dxa"/>
            <w:vAlign w:val="bottom"/>
            <w:gridSpan w:val="3"/>
          </w:tcPr>
          <w:p>
            <w:pPr>
              <w:ind w:left="140"/>
              <w:spacing w:after="0"/>
              <w:rPr>
                <w:sz w:val="20"/>
                <w:szCs w:val="20"/>
                <w:color w:val="auto"/>
              </w:rPr>
            </w:pPr>
            <w:r>
              <w:rPr>
                <w:rFonts w:ascii="Arial" w:cs="Arial" w:eastAsia="Arial" w:hAnsi="Arial"/>
                <w:sz w:val="12"/>
                <w:szCs w:val="12"/>
                <w:color w:val="auto"/>
              </w:rPr>
              <w:t>Changes in components of working capital and other operating activities</w:t>
            </w:r>
          </w:p>
        </w:tc>
        <w:tc>
          <w:tcPr>
            <w:tcW w:w="900" w:type="dxa"/>
            <w:vAlign w:val="bottom"/>
          </w:tcPr>
          <w:p>
            <w:pPr>
              <w:jc w:val="right"/>
              <w:spacing w:after="0"/>
              <w:rPr>
                <w:sz w:val="20"/>
                <w:szCs w:val="20"/>
                <w:color w:val="auto"/>
              </w:rPr>
            </w:pPr>
            <w:r>
              <w:rPr>
                <w:rFonts w:ascii="Arial" w:cs="Arial" w:eastAsia="Arial" w:hAnsi="Arial"/>
                <w:sz w:val="12"/>
                <w:szCs w:val="12"/>
                <w:color w:val="auto"/>
              </w:rPr>
              <w:t>(189,618)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(31,243)</w:t>
            </w:r>
          </w:p>
        </w:tc>
        <w:tc>
          <w:tcPr>
            <w:tcW w:w="1160" w:type="dxa"/>
            <w:vAlign w:val="bottom"/>
          </w:tcPr>
          <w:p>
            <w:pPr>
              <w:spacing w:after="0"/>
              <w:rPr>
                <w:sz w:val="24"/>
                <w:szCs w:val="24"/>
                <w:color w:val="auto"/>
              </w:rPr>
            </w:pPr>
          </w:p>
        </w:tc>
      </w:tr>
      <w:tr>
        <w:trPr>
          <w:trHeight w:val="160"/>
        </w:trPr>
        <w:tc>
          <w:tcPr>
            <w:tcW w:w="3760" w:type="dxa"/>
            <w:vAlign w:val="bottom"/>
            <w:tcBorders>
              <w:top w:val="single" w:sz="8" w:color="B9D9EB"/>
            </w:tcBorders>
            <w:shd w:val="clear" w:color="auto" w:fill="B9D9EB"/>
          </w:tcPr>
          <w:p>
            <w:pPr>
              <w:spacing w:after="0"/>
              <w:rPr>
                <w:sz w:val="20"/>
                <w:szCs w:val="20"/>
                <w:color w:val="auto"/>
              </w:rPr>
            </w:pPr>
            <w:r>
              <w:rPr>
                <w:rFonts w:ascii="Arial" w:cs="Arial" w:eastAsia="Arial" w:hAnsi="Arial"/>
                <w:sz w:val="12"/>
                <w:szCs w:val="12"/>
                <w:color w:val="auto"/>
              </w:rPr>
              <w:t>Net cash provided by (used in) operating activities</w:t>
            </w:r>
          </w:p>
        </w:tc>
        <w:tc>
          <w:tcPr>
            <w:tcW w:w="260" w:type="dxa"/>
            <w:vAlign w:val="bottom"/>
            <w:tcBorders>
              <w:top w:val="single" w:sz="8" w:color="B9D9EB"/>
            </w:tcBorders>
            <w:shd w:val="clear" w:color="auto" w:fill="B9D9EB"/>
          </w:tcPr>
          <w:p>
            <w:pPr>
              <w:spacing w:after="0"/>
              <w:rPr>
                <w:sz w:val="13"/>
                <w:szCs w:val="13"/>
                <w:color w:val="auto"/>
              </w:rPr>
            </w:pPr>
          </w:p>
        </w:tc>
        <w:tc>
          <w:tcPr>
            <w:tcW w:w="180" w:type="dxa"/>
            <w:vAlign w:val="bottom"/>
            <w:tcBorders>
              <w:top w:val="single" w:sz="8" w:color="auto"/>
              <w:bottom w:val="single" w:sz="8" w:color="auto"/>
            </w:tcBorders>
            <w:shd w:val="clear" w:color="auto" w:fill="B9D9EB"/>
          </w:tcPr>
          <w:p>
            <w:pPr>
              <w:spacing w:after="0"/>
              <w:rPr>
                <w:sz w:val="13"/>
                <w:szCs w:val="13"/>
                <w:color w:val="auto"/>
              </w:rPr>
            </w:pPr>
          </w:p>
        </w:tc>
        <w:tc>
          <w:tcPr>
            <w:tcW w:w="900" w:type="dxa"/>
            <w:vAlign w:val="bottom"/>
            <w:tcBorders>
              <w:top w:val="single" w:sz="8" w:color="auto"/>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286,848</w:t>
            </w:r>
          </w:p>
        </w:tc>
        <w:tc>
          <w:tcPr>
            <w:tcW w:w="120" w:type="dxa"/>
            <w:vAlign w:val="bottom"/>
            <w:tcBorders>
              <w:top w:val="single" w:sz="8" w:color="B9D9EB"/>
            </w:tcBorders>
            <w:shd w:val="clear" w:color="auto" w:fill="B9D9EB"/>
          </w:tcPr>
          <w:p>
            <w:pPr>
              <w:spacing w:after="0"/>
              <w:rPr>
                <w:sz w:val="13"/>
                <w:szCs w:val="13"/>
                <w:color w:val="auto"/>
              </w:rPr>
            </w:pPr>
          </w:p>
        </w:tc>
        <w:tc>
          <w:tcPr>
            <w:tcW w:w="80" w:type="dxa"/>
            <w:vAlign w:val="bottom"/>
            <w:tcBorders>
              <w:top w:val="single" w:sz="8" w:color="auto"/>
              <w:bottom w:val="single" w:sz="8" w:color="auto"/>
            </w:tcBorders>
            <w:shd w:val="clear" w:color="auto" w:fill="B9D9EB"/>
          </w:tcPr>
          <w:p>
            <w:pPr>
              <w:spacing w:after="0"/>
              <w:rPr>
                <w:sz w:val="13"/>
                <w:szCs w:val="13"/>
                <w:color w:val="auto"/>
              </w:rPr>
            </w:pPr>
          </w:p>
        </w:tc>
        <w:tc>
          <w:tcPr>
            <w:tcW w:w="10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109,806</w:t>
            </w:r>
          </w:p>
        </w:tc>
        <w:tc>
          <w:tcPr>
            <w:tcW w:w="1160" w:type="dxa"/>
            <w:vAlign w:val="bottom"/>
          </w:tcPr>
          <w:p>
            <w:pPr>
              <w:spacing w:after="0"/>
              <w:rPr>
                <w:sz w:val="13"/>
                <w:szCs w:val="13"/>
                <w:color w:val="auto"/>
              </w:rPr>
            </w:pPr>
          </w:p>
        </w:tc>
      </w:tr>
      <w:tr>
        <w:trPr>
          <w:trHeight w:val="160"/>
        </w:trPr>
        <w:tc>
          <w:tcPr>
            <w:tcW w:w="376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0"/>
        </w:trPr>
        <w:tc>
          <w:tcPr>
            <w:tcW w:w="3760" w:type="dxa"/>
            <w:vAlign w:val="bottom"/>
            <w:shd w:val="clear" w:color="auto" w:fill="B9D9EB"/>
          </w:tcPr>
          <w:p>
            <w:pPr>
              <w:ind w:left="140"/>
              <w:spacing w:after="0"/>
              <w:rPr>
                <w:sz w:val="20"/>
                <w:szCs w:val="20"/>
                <w:color w:val="auto"/>
              </w:rPr>
            </w:pPr>
            <w:r>
              <w:rPr>
                <w:rFonts w:ascii="Arial" w:cs="Arial" w:eastAsia="Arial" w:hAnsi="Arial"/>
                <w:sz w:val="12"/>
                <w:szCs w:val="12"/>
                <w:color w:val="auto"/>
              </w:rPr>
              <w:t>Capital expenditures</w:t>
            </w:r>
          </w:p>
        </w:tc>
        <w:tc>
          <w:tcPr>
            <w:tcW w:w="260" w:type="dxa"/>
            <w:vAlign w:val="bottom"/>
            <w:shd w:val="clear" w:color="auto" w:fill="B9D9EB"/>
          </w:tcPr>
          <w:p>
            <w:pPr>
              <w:spacing w:after="0"/>
              <w:rPr>
                <w:sz w:val="15"/>
                <w:szCs w:val="15"/>
                <w:color w:val="auto"/>
              </w:rPr>
            </w:pPr>
          </w:p>
        </w:tc>
        <w:tc>
          <w:tcPr>
            <w:tcW w:w="180" w:type="dxa"/>
            <w:vAlign w:val="bottom"/>
            <w:shd w:val="clear" w:color="auto" w:fill="B9D9EB"/>
          </w:tcPr>
          <w:p>
            <w:pPr>
              <w:spacing w:after="0"/>
              <w:rPr>
                <w:sz w:val="15"/>
                <w:szCs w:val="15"/>
                <w:color w:val="auto"/>
              </w:rPr>
            </w:pPr>
          </w:p>
        </w:tc>
        <w:tc>
          <w:tcPr>
            <w:tcW w:w="9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(268,131)</w:t>
            </w:r>
          </w:p>
        </w:tc>
        <w:tc>
          <w:tcPr>
            <w:tcW w:w="12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10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(109,235)</w:t>
            </w:r>
          </w:p>
        </w:tc>
        <w:tc>
          <w:tcPr>
            <w:tcW w:w="1160" w:type="dxa"/>
            <w:vAlign w:val="bottom"/>
          </w:tcPr>
          <w:p>
            <w:pPr>
              <w:spacing w:after="0"/>
              <w:rPr>
                <w:sz w:val="15"/>
                <w:szCs w:val="15"/>
                <w:color w:val="auto"/>
              </w:rPr>
            </w:pPr>
          </w:p>
        </w:tc>
      </w:tr>
      <w:tr>
        <w:trPr>
          <w:trHeight w:val="180"/>
        </w:trPr>
        <w:tc>
          <w:tcPr>
            <w:tcW w:w="3760" w:type="dxa"/>
            <w:vAlign w:val="bottom"/>
          </w:tcPr>
          <w:p>
            <w:pPr>
              <w:ind w:left="140"/>
              <w:spacing w:after="0"/>
              <w:rPr>
                <w:sz w:val="20"/>
                <w:szCs w:val="20"/>
                <w:color w:val="auto"/>
              </w:rPr>
            </w:pPr>
            <w:r>
              <w:rPr>
                <w:rFonts w:ascii="Arial" w:cs="Arial" w:eastAsia="Arial" w:hAnsi="Arial"/>
                <w:sz w:val="12"/>
                <w:szCs w:val="12"/>
                <w:color w:val="auto"/>
              </w:rPr>
              <w:t>Proceeds from disposal of assets, net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15,756</w:t>
            </w:r>
          </w:p>
        </w:tc>
        <w:tc>
          <w:tcPr>
            <w:tcW w:w="1160" w:type="dxa"/>
            <w:vAlign w:val="bottom"/>
          </w:tcPr>
          <w:p>
            <w:pPr>
              <w:spacing w:after="0"/>
              <w:rPr>
                <w:sz w:val="15"/>
                <w:szCs w:val="15"/>
                <w:color w:val="auto"/>
              </w:rPr>
            </w:pPr>
          </w:p>
        </w:tc>
      </w:tr>
      <w:tr>
        <w:trPr>
          <w:trHeight w:val="160"/>
        </w:trPr>
        <w:tc>
          <w:tcPr>
            <w:tcW w:w="3760" w:type="dxa"/>
            <w:vAlign w:val="bottom"/>
            <w:tcBorders>
              <w:top w:val="single" w:sz="8" w:color="B9D9EB"/>
            </w:tcBorders>
            <w:shd w:val="clear" w:color="auto" w:fill="B9D9EB"/>
          </w:tcPr>
          <w:p>
            <w:pPr>
              <w:spacing w:after="0"/>
              <w:rPr>
                <w:sz w:val="20"/>
                <w:szCs w:val="20"/>
                <w:color w:val="auto"/>
              </w:rPr>
            </w:pPr>
            <w:r>
              <w:rPr>
                <w:rFonts w:ascii="Arial" w:cs="Arial" w:eastAsia="Arial" w:hAnsi="Arial"/>
                <w:sz w:val="12"/>
                <w:szCs w:val="12"/>
                <w:color w:val="auto"/>
              </w:rPr>
              <w:t>Net cash provided by (used in) investing activities</w:t>
            </w:r>
          </w:p>
        </w:tc>
        <w:tc>
          <w:tcPr>
            <w:tcW w:w="260" w:type="dxa"/>
            <w:vAlign w:val="bottom"/>
            <w:tcBorders>
              <w:top w:val="single" w:sz="8" w:color="B9D9EB"/>
            </w:tcBorders>
            <w:shd w:val="clear" w:color="auto" w:fill="B9D9EB"/>
          </w:tcPr>
          <w:p>
            <w:pPr>
              <w:spacing w:after="0"/>
              <w:rPr>
                <w:sz w:val="13"/>
                <w:szCs w:val="13"/>
                <w:color w:val="auto"/>
              </w:rPr>
            </w:pPr>
          </w:p>
        </w:tc>
        <w:tc>
          <w:tcPr>
            <w:tcW w:w="180" w:type="dxa"/>
            <w:vAlign w:val="bottom"/>
            <w:tcBorders>
              <w:top w:val="single" w:sz="8" w:color="auto"/>
              <w:bottom w:val="single" w:sz="8" w:color="auto"/>
            </w:tcBorders>
            <w:shd w:val="clear" w:color="auto" w:fill="B9D9EB"/>
          </w:tcPr>
          <w:p>
            <w:pPr>
              <w:spacing w:after="0"/>
              <w:rPr>
                <w:sz w:val="13"/>
                <w:szCs w:val="13"/>
                <w:color w:val="auto"/>
              </w:rPr>
            </w:pPr>
          </w:p>
        </w:tc>
        <w:tc>
          <w:tcPr>
            <w:tcW w:w="9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(268,131)</w:t>
            </w:r>
          </w:p>
        </w:tc>
        <w:tc>
          <w:tcPr>
            <w:tcW w:w="120" w:type="dxa"/>
            <w:vAlign w:val="bottom"/>
            <w:tcBorders>
              <w:top w:val="single" w:sz="8" w:color="B9D9EB"/>
            </w:tcBorders>
            <w:shd w:val="clear" w:color="auto" w:fill="B9D9EB"/>
          </w:tcPr>
          <w:p>
            <w:pPr>
              <w:spacing w:after="0"/>
              <w:rPr>
                <w:sz w:val="13"/>
                <w:szCs w:val="13"/>
                <w:color w:val="auto"/>
              </w:rPr>
            </w:pPr>
          </w:p>
        </w:tc>
        <w:tc>
          <w:tcPr>
            <w:tcW w:w="80" w:type="dxa"/>
            <w:vAlign w:val="bottom"/>
            <w:tcBorders>
              <w:top w:val="single" w:sz="8" w:color="auto"/>
              <w:bottom w:val="single" w:sz="8" w:color="auto"/>
            </w:tcBorders>
            <w:shd w:val="clear" w:color="auto" w:fill="B9D9EB"/>
          </w:tcPr>
          <w:p>
            <w:pPr>
              <w:spacing w:after="0"/>
              <w:rPr>
                <w:sz w:val="13"/>
                <w:szCs w:val="13"/>
                <w:color w:val="auto"/>
              </w:rPr>
            </w:pPr>
          </w:p>
        </w:tc>
        <w:tc>
          <w:tcPr>
            <w:tcW w:w="10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(93,479)</w:t>
            </w:r>
          </w:p>
        </w:tc>
        <w:tc>
          <w:tcPr>
            <w:tcW w:w="1160" w:type="dxa"/>
            <w:vAlign w:val="bottom"/>
          </w:tcPr>
          <w:p>
            <w:pPr>
              <w:spacing w:after="0"/>
              <w:rPr>
                <w:sz w:val="13"/>
                <w:szCs w:val="13"/>
                <w:color w:val="auto"/>
              </w:rPr>
            </w:pPr>
          </w:p>
        </w:tc>
      </w:tr>
      <w:tr>
        <w:trPr>
          <w:trHeight w:val="160"/>
        </w:trPr>
        <w:tc>
          <w:tcPr>
            <w:tcW w:w="376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0"/>
        </w:trPr>
        <w:tc>
          <w:tcPr>
            <w:tcW w:w="3760" w:type="dxa"/>
            <w:vAlign w:val="bottom"/>
            <w:shd w:val="clear" w:color="auto" w:fill="B9D9EB"/>
          </w:tcPr>
          <w:p>
            <w:pPr>
              <w:ind w:left="140"/>
              <w:spacing w:after="0"/>
              <w:rPr>
                <w:sz w:val="20"/>
                <w:szCs w:val="20"/>
                <w:color w:val="auto"/>
              </w:rPr>
            </w:pPr>
            <w:r>
              <w:rPr>
                <w:rFonts w:ascii="Arial" w:cs="Arial" w:eastAsia="Arial" w:hAnsi="Arial"/>
                <w:sz w:val="12"/>
                <w:szCs w:val="12"/>
                <w:color w:val="auto"/>
              </w:rPr>
              <w:t>Issuance of senior notes</w:t>
            </w:r>
          </w:p>
        </w:tc>
        <w:tc>
          <w:tcPr>
            <w:tcW w:w="260" w:type="dxa"/>
            <w:vAlign w:val="bottom"/>
            <w:shd w:val="clear" w:color="auto" w:fill="B9D9EB"/>
          </w:tcPr>
          <w:p>
            <w:pPr>
              <w:spacing w:after="0"/>
              <w:rPr>
                <w:sz w:val="15"/>
                <w:szCs w:val="15"/>
                <w:color w:val="auto"/>
              </w:rPr>
            </w:pPr>
          </w:p>
        </w:tc>
        <w:tc>
          <w:tcPr>
            <w:tcW w:w="180" w:type="dxa"/>
            <w:vAlign w:val="bottom"/>
            <w:shd w:val="clear" w:color="auto" w:fill="B9D9EB"/>
          </w:tcPr>
          <w:p>
            <w:pPr>
              <w:spacing w:after="0"/>
              <w:rPr>
                <w:sz w:val="15"/>
                <w:szCs w:val="15"/>
                <w:color w:val="auto"/>
              </w:rPr>
            </w:pPr>
          </w:p>
        </w:tc>
        <w:tc>
          <w:tcPr>
            <w:tcW w:w="9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600,000</w:t>
            </w:r>
          </w:p>
        </w:tc>
        <w:tc>
          <w:tcPr>
            <w:tcW w:w="12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10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5"/>
                <w:szCs w:val="15"/>
                <w:color w:val="auto"/>
              </w:rPr>
            </w:pPr>
          </w:p>
        </w:tc>
      </w:tr>
      <w:tr>
        <w:trPr>
          <w:trHeight w:val="180"/>
        </w:trPr>
        <w:tc>
          <w:tcPr>
            <w:tcW w:w="3760" w:type="dxa"/>
            <w:vAlign w:val="bottom"/>
          </w:tcPr>
          <w:p>
            <w:pPr>
              <w:ind w:left="140"/>
              <w:spacing w:after="0"/>
              <w:rPr>
                <w:sz w:val="20"/>
                <w:szCs w:val="20"/>
                <w:color w:val="auto"/>
              </w:rPr>
            </w:pPr>
            <w:r>
              <w:rPr>
                <w:rFonts w:ascii="Arial" w:cs="Arial" w:eastAsia="Arial" w:hAnsi="Arial"/>
                <w:sz w:val="12"/>
                <w:szCs w:val="12"/>
                <w:color w:val="auto"/>
              </w:rPr>
              <w:t>Borrowings on credit facilities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220,000</w:t>
            </w:r>
          </w:p>
        </w:tc>
        <w:tc>
          <w:tcPr>
            <w:tcW w:w="1160" w:type="dxa"/>
            <w:vAlign w:val="bottom"/>
          </w:tcPr>
          <w:p>
            <w:pPr>
              <w:spacing w:after="0"/>
              <w:rPr>
                <w:sz w:val="15"/>
                <w:szCs w:val="15"/>
                <w:color w:val="auto"/>
              </w:rPr>
            </w:pPr>
          </w:p>
        </w:tc>
      </w:tr>
      <w:tr>
        <w:trPr>
          <w:trHeight w:val="180"/>
        </w:trPr>
        <w:tc>
          <w:tcPr>
            <w:tcW w:w="3760" w:type="dxa"/>
            <w:vAlign w:val="bottom"/>
            <w:shd w:val="clear" w:color="auto" w:fill="B9D9EB"/>
          </w:tcPr>
          <w:p>
            <w:pPr>
              <w:ind w:left="140"/>
              <w:spacing w:after="0"/>
              <w:rPr>
                <w:sz w:val="20"/>
                <w:szCs w:val="20"/>
                <w:color w:val="auto"/>
              </w:rPr>
            </w:pPr>
            <w:r>
              <w:rPr>
                <w:rFonts w:ascii="Arial" w:cs="Arial" w:eastAsia="Arial" w:hAnsi="Arial"/>
                <w:sz w:val="12"/>
                <w:szCs w:val="12"/>
                <w:color w:val="auto"/>
              </w:rPr>
              <w:t>Repayments of debt</w:t>
            </w:r>
          </w:p>
        </w:tc>
        <w:tc>
          <w:tcPr>
            <w:tcW w:w="260" w:type="dxa"/>
            <w:vAlign w:val="bottom"/>
            <w:shd w:val="clear" w:color="auto" w:fill="B9D9EB"/>
          </w:tcPr>
          <w:p>
            <w:pPr>
              <w:spacing w:after="0"/>
              <w:rPr>
                <w:sz w:val="15"/>
                <w:szCs w:val="15"/>
                <w:color w:val="auto"/>
              </w:rPr>
            </w:pPr>
          </w:p>
        </w:tc>
        <w:tc>
          <w:tcPr>
            <w:tcW w:w="180" w:type="dxa"/>
            <w:vAlign w:val="bottom"/>
            <w:shd w:val="clear" w:color="auto" w:fill="B9D9EB"/>
          </w:tcPr>
          <w:p>
            <w:pPr>
              <w:spacing w:after="0"/>
              <w:rPr>
                <w:sz w:val="15"/>
                <w:szCs w:val="15"/>
                <w:color w:val="auto"/>
              </w:rPr>
            </w:pPr>
          </w:p>
        </w:tc>
        <w:tc>
          <w:tcPr>
            <w:tcW w:w="9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(673,411)</w:t>
            </w:r>
          </w:p>
        </w:tc>
        <w:tc>
          <w:tcPr>
            <w:tcW w:w="12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10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(1,828)</w:t>
            </w:r>
          </w:p>
        </w:tc>
        <w:tc>
          <w:tcPr>
            <w:tcW w:w="1160" w:type="dxa"/>
            <w:vAlign w:val="bottom"/>
          </w:tcPr>
          <w:p>
            <w:pPr>
              <w:spacing w:after="0"/>
              <w:rPr>
                <w:sz w:val="15"/>
                <w:szCs w:val="15"/>
                <w:color w:val="auto"/>
              </w:rPr>
            </w:pPr>
          </w:p>
        </w:tc>
      </w:tr>
      <w:tr>
        <w:trPr>
          <w:trHeight w:val="180"/>
        </w:trPr>
        <w:tc>
          <w:tcPr>
            <w:tcW w:w="3760" w:type="dxa"/>
            <w:vAlign w:val="bottom"/>
          </w:tcPr>
          <w:p>
            <w:pPr>
              <w:ind w:left="140"/>
              <w:spacing w:after="0"/>
              <w:rPr>
                <w:sz w:val="20"/>
                <w:szCs w:val="20"/>
                <w:color w:val="auto"/>
              </w:rPr>
            </w:pPr>
            <w:r>
              <w:rPr>
                <w:rFonts w:ascii="Arial" w:cs="Arial" w:eastAsia="Arial" w:hAnsi="Arial"/>
                <w:sz w:val="12"/>
                <w:szCs w:val="12"/>
                <w:color w:val="auto"/>
              </w:rPr>
              <w:t>Debt extinguishment costs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(25,697)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2"/>
          </w:tcPr>
          <w:p>
            <w:pPr>
              <w:jc w:val="right"/>
              <w:ind w:right="1220"/>
              <w:spacing w:after="0"/>
              <w:rPr>
                <w:sz w:val="20"/>
                <w:szCs w:val="20"/>
                <w:color w:val="auto"/>
              </w:rPr>
            </w:pPr>
            <w:r>
              <w:rPr>
                <w:rFonts w:ascii="Arial" w:cs="Arial" w:eastAsia="Arial" w:hAnsi="Arial"/>
                <w:sz w:val="12"/>
                <w:szCs w:val="12"/>
                <w:color w:val="auto"/>
              </w:rPr>
              <w:t>—</w:t>
            </w:r>
          </w:p>
        </w:tc>
      </w:tr>
      <w:tr>
        <w:trPr>
          <w:trHeight w:val="180"/>
        </w:trPr>
        <w:tc>
          <w:tcPr>
            <w:tcW w:w="3760" w:type="dxa"/>
            <w:vAlign w:val="bottom"/>
            <w:shd w:val="clear" w:color="auto" w:fill="B9D9EB"/>
          </w:tcPr>
          <w:p>
            <w:pPr>
              <w:ind w:left="140"/>
              <w:spacing w:after="0"/>
              <w:rPr>
                <w:sz w:val="20"/>
                <w:szCs w:val="20"/>
                <w:color w:val="auto"/>
              </w:rPr>
            </w:pPr>
            <w:r>
              <w:rPr>
                <w:rFonts w:ascii="Arial" w:cs="Arial" w:eastAsia="Arial" w:hAnsi="Arial"/>
                <w:sz w:val="12"/>
                <w:szCs w:val="12"/>
                <w:color w:val="auto"/>
              </w:rPr>
              <w:t>Debt issuance costs</w:t>
            </w:r>
          </w:p>
        </w:tc>
        <w:tc>
          <w:tcPr>
            <w:tcW w:w="260" w:type="dxa"/>
            <w:vAlign w:val="bottom"/>
            <w:shd w:val="clear" w:color="auto" w:fill="B9D9EB"/>
          </w:tcPr>
          <w:p>
            <w:pPr>
              <w:spacing w:after="0"/>
              <w:rPr>
                <w:sz w:val="15"/>
                <w:szCs w:val="15"/>
                <w:color w:val="auto"/>
              </w:rPr>
            </w:pPr>
          </w:p>
        </w:tc>
        <w:tc>
          <w:tcPr>
            <w:tcW w:w="180" w:type="dxa"/>
            <w:vAlign w:val="bottom"/>
            <w:shd w:val="clear" w:color="auto" w:fill="B9D9EB"/>
          </w:tcPr>
          <w:p>
            <w:pPr>
              <w:spacing w:after="0"/>
              <w:rPr>
                <w:sz w:val="15"/>
                <w:szCs w:val="15"/>
                <w:color w:val="auto"/>
              </w:rPr>
            </w:pPr>
          </w:p>
        </w:tc>
        <w:tc>
          <w:tcPr>
            <w:tcW w:w="9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(24,914)</w:t>
            </w:r>
          </w:p>
        </w:tc>
        <w:tc>
          <w:tcPr>
            <w:tcW w:w="12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10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5"/>
                <w:szCs w:val="15"/>
                <w:color w:val="auto"/>
              </w:rPr>
            </w:pPr>
          </w:p>
        </w:tc>
      </w:tr>
      <w:tr>
        <w:trPr>
          <w:trHeight w:val="180"/>
        </w:trPr>
        <w:tc>
          <w:tcPr>
            <w:tcW w:w="3760" w:type="dxa"/>
            <w:vAlign w:val="bottom"/>
          </w:tcPr>
          <w:p>
            <w:pPr>
              <w:ind w:left="140"/>
              <w:spacing w:after="0"/>
              <w:rPr>
                <w:sz w:val="20"/>
                <w:szCs w:val="20"/>
                <w:color w:val="auto"/>
              </w:rPr>
            </w:pPr>
            <w:r>
              <w:rPr>
                <w:rFonts w:ascii="Arial" w:cs="Arial" w:eastAsia="Arial" w:hAnsi="Arial"/>
                <w:sz w:val="12"/>
                <w:szCs w:val="12"/>
                <w:color w:val="auto"/>
              </w:rPr>
              <w:t>Share repurchases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(80,000)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2"/>
          </w:tcPr>
          <w:p>
            <w:pPr>
              <w:jc w:val="right"/>
              <w:ind w:right="1220"/>
              <w:spacing w:after="0"/>
              <w:rPr>
                <w:sz w:val="20"/>
                <w:szCs w:val="20"/>
                <w:color w:val="auto"/>
              </w:rPr>
            </w:pPr>
            <w:r>
              <w:rPr>
                <w:rFonts w:ascii="Arial" w:cs="Arial" w:eastAsia="Arial" w:hAnsi="Arial"/>
                <w:sz w:val="12"/>
                <w:szCs w:val="12"/>
                <w:color w:val="auto"/>
              </w:rPr>
              <w:t>—</w:t>
            </w:r>
          </w:p>
        </w:tc>
      </w:tr>
      <w:tr>
        <w:trPr>
          <w:trHeight w:val="180"/>
        </w:trPr>
        <w:tc>
          <w:tcPr>
            <w:tcW w:w="3760" w:type="dxa"/>
            <w:vAlign w:val="bottom"/>
            <w:shd w:val="clear" w:color="auto" w:fill="B9D9EB"/>
          </w:tcPr>
          <w:p>
            <w:pPr>
              <w:ind w:left="140"/>
              <w:spacing w:after="0"/>
              <w:rPr>
                <w:sz w:val="20"/>
                <w:szCs w:val="20"/>
                <w:color w:val="auto"/>
              </w:rPr>
            </w:pPr>
            <w:r>
              <w:rPr>
                <w:rFonts w:ascii="Arial" w:cs="Arial" w:eastAsia="Arial" w:hAnsi="Arial"/>
                <w:sz w:val="12"/>
                <w:szCs w:val="12"/>
                <w:color w:val="auto"/>
              </w:rPr>
              <w:t>Dividend payments</w:t>
            </w:r>
          </w:p>
        </w:tc>
        <w:tc>
          <w:tcPr>
            <w:tcW w:w="260" w:type="dxa"/>
            <w:vAlign w:val="bottom"/>
            <w:shd w:val="clear" w:color="auto" w:fill="B9D9EB"/>
          </w:tcPr>
          <w:p>
            <w:pPr>
              <w:spacing w:after="0"/>
              <w:rPr>
                <w:sz w:val="15"/>
                <w:szCs w:val="15"/>
                <w:color w:val="auto"/>
              </w:rPr>
            </w:pPr>
          </w:p>
        </w:tc>
        <w:tc>
          <w:tcPr>
            <w:tcW w:w="180" w:type="dxa"/>
            <w:vAlign w:val="bottom"/>
            <w:shd w:val="clear" w:color="auto" w:fill="B9D9EB"/>
          </w:tcPr>
          <w:p>
            <w:pPr>
              <w:spacing w:after="0"/>
              <w:rPr>
                <w:sz w:val="15"/>
                <w:szCs w:val="15"/>
                <w:color w:val="auto"/>
              </w:rPr>
            </w:pPr>
          </w:p>
        </w:tc>
        <w:tc>
          <w:tcPr>
            <w:tcW w:w="9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(42,369)</w:t>
            </w:r>
          </w:p>
        </w:tc>
        <w:tc>
          <w:tcPr>
            <w:tcW w:w="12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10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5"/>
                <w:szCs w:val="15"/>
                <w:color w:val="auto"/>
              </w:rPr>
            </w:pPr>
          </w:p>
        </w:tc>
      </w:tr>
      <w:tr>
        <w:trPr>
          <w:trHeight w:val="180"/>
        </w:trPr>
        <w:tc>
          <w:tcPr>
            <w:tcW w:w="3760" w:type="dxa"/>
            <w:vAlign w:val="bottom"/>
            <w:tcBorders>
              <w:bottom w:val="single" w:sz="8" w:color="B9D9EB"/>
            </w:tcBorders>
          </w:tcPr>
          <w:p>
            <w:pPr>
              <w:ind w:left="140"/>
              <w:spacing w:after="0"/>
              <w:rPr>
                <w:sz w:val="20"/>
                <w:szCs w:val="20"/>
                <w:color w:val="auto"/>
              </w:rPr>
            </w:pPr>
            <w:r>
              <w:rPr>
                <w:rFonts w:ascii="Arial" w:cs="Arial" w:eastAsia="Arial" w:hAnsi="Arial"/>
                <w:sz w:val="12"/>
                <w:szCs w:val="12"/>
                <w:color w:val="auto"/>
              </w:rPr>
              <w:t>Other financing activities</w:t>
            </w:r>
          </w:p>
        </w:tc>
        <w:tc>
          <w:tcPr>
            <w:tcW w:w="260" w:type="dxa"/>
            <w:vAlign w:val="bottom"/>
            <w:tcBorders>
              <w:bottom w:val="single" w:sz="8" w:color="B9D9E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(8,456)</w:t>
            </w:r>
          </w:p>
        </w:tc>
        <w:tc>
          <w:tcPr>
            <w:tcW w:w="120" w:type="dxa"/>
            <w:vAlign w:val="bottom"/>
            <w:tcBorders>
              <w:bottom w:val="single" w:sz="8" w:color="B9D9EB"/>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(4,142)</w:t>
            </w:r>
          </w:p>
        </w:tc>
        <w:tc>
          <w:tcPr>
            <w:tcW w:w="1160" w:type="dxa"/>
            <w:vAlign w:val="bottom"/>
          </w:tcPr>
          <w:p>
            <w:pPr>
              <w:spacing w:after="0"/>
              <w:rPr>
                <w:sz w:val="15"/>
                <w:szCs w:val="15"/>
                <w:color w:val="auto"/>
              </w:rPr>
            </w:pPr>
          </w:p>
        </w:tc>
      </w:tr>
      <w:tr>
        <w:trPr>
          <w:trHeight w:val="160"/>
        </w:trPr>
        <w:tc>
          <w:tcPr>
            <w:tcW w:w="3760" w:type="dxa"/>
            <w:vAlign w:val="bottom"/>
            <w:shd w:val="clear" w:color="auto" w:fill="B9D9EB"/>
          </w:tcPr>
          <w:p>
            <w:pPr>
              <w:spacing w:after="0"/>
              <w:rPr>
                <w:sz w:val="20"/>
                <w:szCs w:val="20"/>
                <w:color w:val="auto"/>
              </w:rPr>
            </w:pPr>
            <w:r>
              <w:rPr>
                <w:rFonts w:ascii="Arial" w:cs="Arial" w:eastAsia="Arial" w:hAnsi="Arial"/>
                <w:sz w:val="12"/>
                <w:szCs w:val="12"/>
                <w:color w:val="auto"/>
              </w:rPr>
              <w:t>Net cash provided by (used in) financing activities</w:t>
            </w:r>
          </w:p>
        </w:tc>
        <w:tc>
          <w:tcPr>
            <w:tcW w:w="260" w:type="dxa"/>
            <w:vAlign w:val="bottom"/>
            <w:shd w:val="clear" w:color="auto" w:fill="B9D9EB"/>
          </w:tcPr>
          <w:p>
            <w:pPr>
              <w:spacing w:after="0"/>
              <w:rPr>
                <w:sz w:val="13"/>
                <w:szCs w:val="13"/>
                <w:color w:val="auto"/>
              </w:rPr>
            </w:pPr>
          </w:p>
        </w:tc>
        <w:tc>
          <w:tcPr>
            <w:tcW w:w="180" w:type="dxa"/>
            <w:vAlign w:val="bottom"/>
            <w:tcBorders>
              <w:bottom w:val="single" w:sz="8" w:color="auto"/>
            </w:tcBorders>
            <w:shd w:val="clear" w:color="auto" w:fill="B9D9EB"/>
          </w:tcPr>
          <w:p>
            <w:pPr>
              <w:spacing w:after="0"/>
              <w:rPr>
                <w:sz w:val="13"/>
                <w:szCs w:val="13"/>
                <w:color w:val="auto"/>
              </w:rPr>
            </w:pPr>
          </w:p>
        </w:tc>
        <w:tc>
          <w:tcPr>
            <w:tcW w:w="9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(254,847)</w:t>
            </w:r>
          </w:p>
        </w:tc>
        <w:tc>
          <w:tcPr>
            <w:tcW w:w="120" w:type="dxa"/>
            <w:vAlign w:val="bottom"/>
            <w:shd w:val="clear" w:color="auto" w:fill="B9D9EB"/>
          </w:tcPr>
          <w:p>
            <w:pPr>
              <w:spacing w:after="0"/>
              <w:rPr>
                <w:sz w:val="13"/>
                <w:szCs w:val="13"/>
                <w:color w:val="auto"/>
              </w:rPr>
            </w:pPr>
          </w:p>
        </w:tc>
        <w:tc>
          <w:tcPr>
            <w:tcW w:w="80" w:type="dxa"/>
            <w:vAlign w:val="bottom"/>
            <w:tcBorders>
              <w:bottom w:val="single" w:sz="8" w:color="auto"/>
            </w:tcBorders>
            <w:shd w:val="clear" w:color="auto" w:fill="B9D9EB"/>
          </w:tcPr>
          <w:p>
            <w:pPr>
              <w:spacing w:after="0"/>
              <w:rPr>
                <w:sz w:val="13"/>
                <w:szCs w:val="13"/>
                <w:color w:val="auto"/>
              </w:rPr>
            </w:pPr>
          </w:p>
        </w:tc>
        <w:tc>
          <w:tcPr>
            <w:tcW w:w="10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214,030</w:t>
            </w:r>
          </w:p>
        </w:tc>
        <w:tc>
          <w:tcPr>
            <w:tcW w:w="1160" w:type="dxa"/>
            <w:vAlign w:val="bottom"/>
          </w:tcPr>
          <w:p>
            <w:pPr>
              <w:spacing w:after="0"/>
              <w:rPr>
                <w:sz w:val="13"/>
                <w:szCs w:val="13"/>
                <w:color w:val="auto"/>
              </w:rPr>
            </w:pPr>
          </w:p>
        </w:tc>
      </w:tr>
      <w:tr>
        <w:trPr>
          <w:trHeight w:val="160"/>
        </w:trPr>
        <w:tc>
          <w:tcPr>
            <w:tcW w:w="3760" w:type="dxa"/>
            <w:vAlign w:val="bottom"/>
          </w:tcPr>
          <w:p>
            <w:pPr>
              <w:spacing w:after="0"/>
              <w:rPr>
                <w:sz w:val="20"/>
                <w:szCs w:val="20"/>
                <w:color w:val="auto"/>
              </w:rPr>
            </w:pPr>
            <w:r>
              <w:rPr>
                <w:rFonts w:ascii="Arial" w:cs="Arial" w:eastAsia="Arial" w:hAnsi="Arial"/>
                <w:sz w:val="12"/>
                <w:szCs w:val="12"/>
                <w:color w:val="auto"/>
              </w:rPr>
              <w:t>Net increase (decrease) in cash, cash equivalents and restricted cash</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(236,130)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230,357</w:t>
            </w:r>
          </w:p>
        </w:tc>
        <w:tc>
          <w:tcPr>
            <w:tcW w:w="1160" w:type="dxa"/>
            <w:vAlign w:val="bottom"/>
          </w:tcPr>
          <w:p>
            <w:pPr>
              <w:spacing w:after="0"/>
              <w:rPr>
                <w:sz w:val="13"/>
                <w:szCs w:val="13"/>
                <w:color w:val="auto"/>
              </w:rPr>
            </w:pPr>
          </w:p>
        </w:tc>
      </w:tr>
      <w:tr>
        <w:trPr>
          <w:trHeight w:val="180"/>
        </w:trPr>
        <w:tc>
          <w:tcPr>
            <w:tcW w:w="3760" w:type="dxa"/>
            <w:vAlign w:val="bottom"/>
            <w:shd w:val="clear" w:color="auto" w:fill="B9D9EB"/>
          </w:tcPr>
          <w:p>
            <w:pPr>
              <w:spacing w:after="0"/>
              <w:rPr>
                <w:sz w:val="20"/>
                <w:szCs w:val="20"/>
                <w:color w:val="auto"/>
              </w:rPr>
            </w:pPr>
            <w:r>
              <w:rPr>
                <w:rFonts w:ascii="Arial" w:cs="Arial" w:eastAsia="Arial" w:hAnsi="Arial"/>
                <w:sz w:val="12"/>
                <w:szCs w:val="12"/>
                <w:b w:val="1"/>
                <w:bCs w:val="1"/>
                <w:color w:val="auto"/>
              </w:rPr>
              <w:t>Cash, cash equivalents and restricted cash, beginning of period</w:t>
            </w:r>
          </w:p>
        </w:tc>
        <w:tc>
          <w:tcPr>
            <w:tcW w:w="260" w:type="dxa"/>
            <w:vAlign w:val="bottom"/>
            <w:shd w:val="clear" w:color="auto" w:fill="B9D9EB"/>
          </w:tcPr>
          <w:p>
            <w:pPr>
              <w:spacing w:after="0"/>
              <w:rPr>
                <w:sz w:val="15"/>
                <w:szCs w:val="15"/>
                <w:color w:val="auto"/>
              </w:rPr>
            </w:pPr>
          </w:p>
        </w:tc>
        <w:tc>
          <w:tcPr>
            <w:tcW w:w="180" w:type="dxa"/>
            <w:vAlign w:val="bottom"/>
            <w:tcBorders>
              <w:bottom w:val="single" w:sz="8" w:color="auto"/>
            </w:tcBorders>
            <w:shd w:val="clear" w:color="auto" w:fill="B9D9EB"/>
          </w:tcPr>
          <w:p>
            <w:pPr>
              <w:spacing w:after="0"/>
              <w:rPr>
                <w:sz w:val="15"/>
                <w:szCs w:val="15"/>
                <w:color w:val="auto"/>
              </w:rPr>
            </w:pPr>
          </w:p>
        </w:tc>
        <w:tc>
          <w:tcPr>
            <w:tcW w:w="9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485,707</w:t>
            </w:r>
          </w:p>
        </w:tc>
        <w:tc>
          <w:tcPr>
            <w:tcW w:w="120" w:type="dxa"/>
            <w:vAlign w:val="bottom"/>
            <w:shd w:val="clear" w:color="auto" w:fill="B9D9EB"/>
          </w:tcPr>
          <w:p>
            <w:pPr>
              <w:spacing w:after="0"/>
              <w:rPr>
                <w:sz w:val="15"/>
                <w:szCs w:val="15"/>
                <w:color w:val="auto"/>
              </w:rPr>
            </w:pPr>
          </w:p>
        </w:tc>
        <w:tc>
          <w:tcPr>
            <w:tcW w:w="80" w:type="dxa"/>
            <w:vAlign w:val="bottom"/>
            <w:tcBorders>
              <w:bottom w:val="single" w:sz="8" w:color="auto"/>
            </w:tcBorders>
            <w:shd w:val="clear" w:color="auto" w:fill="B9D9EB"/>
          </w:tcPr>
          <w:p>
            <w:pPr>
              <w:spacing w:after="0"/>
              <w:rPr>
                <w:sz w:val="15"/>
                <w:szCs w:val="15"/>
                <w:color w:val="auto"/>
              </w:rPr>
            </w:pPr>
          </w:p>
        </w:tc>
        <w:tc>
          <w:tcPr>
            <w:tcW w:w="10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196,722</w:t>
            </w:r>
          </w:p>
        </w:tc>
        <w:tc>
          <w:tcPr>
            <w:tcW w:w="1160" w:type="dxa"/>
            <w:vAlign w:val="bottom"/>
          </w:tcPr>
          <w:p>
            <w:pPr>
              <w:spacing w:after="0"/>
              <w:rPr>
                <w:sz w:val="15"/>
                <w:szCs w:val="15"/>
                <w:color w:val="auto"/>
              </w:rPr>
            </w:pPr>
          </w:p>
        </w:tc>
      </w:tr>
      <w:tr>
        <w:trPr>
          <w:trHeight w:val="142"/>
        </w:trPr>
        <w:tc>
          <w:tcPr>
            <w:tcW w:w="3760" w:type="dxa"/>
            <w:vAlign w:val="bottom"/>
          </w:tcPr>
          <w:p>
            <w:pPr>
              <w:spacing w:after="0"/>
              <w:rPr>
                <w:sz w:val="20"/>
                <w:szCs w:val="20"/>
                <w:color w:val="auto"/>
              </w:rPr>
            </w:pPr>
            <w:r>
              <w:rPr>
                <w:rFonts w:ascii="Arial" w:cs="Arial" w:eastAsia="Arial" w:hAnsi="Arial"/>
                <w:sz w:val="12"/>
                <w:szCs w:val="12"/>
                <w:b w:val="1"/>
                <w:bCs w:val="1"/>
                <w:color w:val="auto"/>
              </w:rPr>
              <w:t>Cash, cash equivalents and restricted cash, end of period</w:t>
            </w: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249,577</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427,079</w:t>
            </w:r>
          </w:p>
        </w:tc>
        <w:tc>
          <w:tcPr>
            <w:tcW w:w="1160" w:type="dxa"/>
            <w:vAlign w:val="bottom"/>
          </w:tcPr>
          <w:p>
            <w:pPr>
              <w:spacing w:after="0"/>
              <w:rPr>
                <w:sz w:val="12"/>
                <w:szCs w:val="12"/>
                <w:color w:val="auto"/>
              </w:rPr>
            </w:pPr>
          </w:p>
        </w:tc>
      </w:tr>
      <w:tr>
        <w:trPr>
          <w:trHeight w:val="20"/>
        </w:trPr>
        <w:tc>
          <w:tcPr>
            <w:tcW w:w="3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0159"/>
          </w:cols>
          <w:pgMar w:left="300" w:top="980"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2"/>
          <w:szCs w:val="12"/>
          <w:b w:val="1"/>
          <w:bCs w:val="1"/>
          <w:color w:val="auto"/>
        </w:rPr>
        <w:t>NOBLE CORPORATION plc AND SUBSIDIARIES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OPERATIONAL INFORMATION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214" w:lineRule="exact"/>
        <w:rPr>
          <w:sz w:val="20"/>
          <w:szCs w:val="20"/>
          <w:color w:val="auto"/>
        </w:rPr>
      </w:pPr>
    </w:p>
    <w:tbl>
      <w:tblPr>
        <w:tblLayout w:type="fixed"/>
        <w:tblInd w:w="1360" w:type="dxa"/>
        <w:tblCellMar>
          <w:top w:w="0" w:type="dxa"/>
          <w:left w:w="0" w:type="dxa"/>
          <w:bottom w:w="0" w:type="dxa"/>
          <w:right w:w="0" w:type="dxa"/>
        </w:tblCellMar>
      </w:tblPr>
      <w:tr>
        <w:trPr>
          <w:trHeight w:val="134"/>
        </w:trPr>
        <w:tc>
          <w:tcPr>
            <w:tcW w:w="2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0"/>
                <w:szCs w:val="10"/>
                <w:b w:val="1"/>
                <w:bCs w:val="1"/>
                <w:color w:val="auto"/>
                <w:w w:val="95"/>
              </w:rPr>
              <w:t>Average Rig Utilization</w:t>
            </w: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r>
        <w:trPr>
          <w:trHeight w:val="159"/>
        </w:trPr>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Three Months Ended</w:t>
            </w:r>
          </w:p>
        </w:tc>
        <w:tc>
          <w:tcPr>
            <w:tcW w:w="10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Three Months Ended</w:t>
            </w:r>
          </w:p>
        </w:tc>
        <w:tc>
          <w:tcPr>
            <w:tcW w:w="100" w:type="dxa"/>
            <w:vAlign w:val="bottom"/>
          </w:tcPr>
          <w:p>
            <w:pPr>
              <w:spacing w:after="0"/>
              <w:rPr>
                <w:sz w:val="13"/>
                <w:szCs w:val="13"/>
                <w:color w:val="auto"/>
              </w:rPr>
            </w:pPr>
          </w:p>
        </w:tc>
        <w:tc>
          <w:tcPr>
            <w:tcW w:w="1080" w:type="dxa"/>
            <w:vAlign w:val="bottom"/>
          </w:tcPr>
          <w:p>
            <w:pPr>
              <w:jc w:val="center"/>
              <w:ind w:right="45"/>
              <w:spacing w:after="0"/>
              <w:rPr>
                <w:sz w:val="20"/>
                <w:szCs w:val="20"/>
                <w:color w:val="auto"/>
              </w:rPr>
            </w:pPr>
            <w:r>
              <w:rPr>
                <w:rFonts w:ascii="Arial" w:cs="Arial" w:eastAsia="Arial" w:hAnsi="Arial"/>
                <w:sz w:val="10"/>
                <w:szCs w:val="10"/>
                <w:b w:val="1"/>
                <w:bCs w:val="1"/>
                <w:color w:val="auto"/>
                <w:w w:val="94"/>
              </w:rPr>
              <w:t>Three Months Ended</w:t>
            </w:r>
          </w:p>
        </w:tc>
      </w:tr>
      <w:tr>
        <w:trPr>
          <w:trHeight w:val="181"/>
        </w:trPr>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September 30, 2023</w:t>
            </w:r>
          </w:p>
        </w:tc>
        <w:tc>
          <w:tcPr>
            <w:tcW w:w="10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June 30, 2023</w:t>
            </w:r>
          </w:p>
        </w:tc>
        <w:tc>
          <w:tcPr>
            <w:tcW w:w="100" w:type="dxa"/>
            <w:vAlign w:val="bottom"/>
          </w:tcPr>
          <w:p>
            <w:pPr>
              <w:spacing w:after="0"/>
              <w:rPr>
                <w:sz w:val="15"/>
                <w:szCs w:val="15"/>
                <w:color w:val="auto"/>
              </w:rPr>
            </w:pPr>
          </w:p>
        </w:tc>
        <w:tc>
          <w:tcPr>
            <w:tcW w:w="1080" w:type="dxa"/>
            <w:vAlign w:val="bottom"/>
          </w:tcPr>
          <w:p>
            <w:pPr>
              <w:jc w:val="center"/>
              <w:ind w:right="45"/>
              <w:spacing w:after="0"/>
              <w:rPr>
                <w:sz w:val="20"/>
                <w:szCs w:val="20"/>
                <w:color w:val="auto"/>
              </w:rPr>
            </w:pPr>
            <w:r>
              <w:rPr>
                <w:rFonts w:ascii="Arial" w:cs="Arial" w:eastAsia="Arial" w:hAnsi="Arial"/>
                <w:sz w:val="10"/>
                <w:szCs w:val="10"/>
                <w:b w:val="1"/>
                <w:bCs w:val="1"/>
                <w:color w:val="auto"/>
                <w:w w:val="96"/>
              </w:rPr>
              <w:t>September 30, 2022</w:t>
            </w:r>
          </w:p>
        </w:tc>
      </w:tr>
      <w:tr>
        <w:trPr>
          <w:trHeight w:val="161"/>
        </w:trPr>
        <w:tc>
          <w:tcPr>
            <w:tcW w:w="2460" w:type="dxa"/>
            <w:vAlign w:val="bottom"/>
            <w:tcBorders>
              <w:top w:val="single" w:sz="8" w:color="B9D9EB"/>
            </w:tcBorders>
            <w:shd w:val="clear" w:color="auto" w:fill="B9D9EB"/>
          </w:tcPr>
          <w:p>
            <w:pPr>
              <w:spacing w:after="0"/>
              <w:rPr>
                <w:sz w:val="20"/>
                <w:szCs w:val="20"/>
                <w:color w:val="auto"/>
              </w:rPr>
            </w:pPr>
            <w:r>
              <w:rPr>
                <w:rFonts w:ascii="Arial" w:cs="Arial" w:eastAsia="Arial" w:hAnsi="Arial"/>
                <w:sz w:val="12"/>
                <w:szCs w:val="12"/>
                <w:color w:val="auto"/>
              </w:rPr>
              <w:t>Floaters</w:t>
            </w:r>
          </w:p>
        </w:tc>
        <w:tc>
          <w:tcPr>
            <w:tcW w:w="80" w:type="dxa"/>
            <w:vAlign w:val="bottom"/>
            <w:tcBorders>
              <w:top w:val="single" w:sz="8" w:color="auto"/>
            </w:tcBorders>
            <w:shd w:val="clear" w:color="auto" w:fill="B9D9EB"/>
          </w:tcPr>
          <w:p>
            <w:pPr>
              <w:spacing w:after="0"/>
              <w:rPr>
                <w:sz w:val="14"/>
                <w:szCs w:val="14"/>
                <w:color w:val="auto"/>
              </w:rPr>
            </w:pPr>
          </w:p>
        </w:tc>
        <w:tc>
          <w:tcPr>
            <w:tcW w:w="10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77 %</w:t>
            </w:r>
          </w:p>
        </w:tc>
        <w:tc>
          <w:tcPr>
            <w:tcW w:w="160" w:type="dxa"/>
            <w:vAlign w:val="bottom"/>
            <w:tcBorders>
              <w:top w:val="single" w:sz="8" w:color="B9D9EB"/>
            </w:tcBorders>
            <w:shd w:val="clear" w:color="auto" w:fill="B9D9EB"/>
          </w:tcPr>
          <w:p>
            <w:pPr>
              <w:spacing w:after="0"/>
              <w:rPr>
                <w:sz w:val="14"/>
                <w:szCs w:val="14"/>
                <w:color w:val="auto"/>
              </w:rPr>
            </w:pPr>
          </w:p>
        </w:tc>
        <w:tc>
          <w:tcPr>
            <w:tcW w:w="100" w:type="dxa"/>
            <w:vAlign w:val="bottom"/>
            <w:tcBorders>
              <w:top w:val="single" w:sz="8" w:color="auto"/>
            </w:tcBorders>
            <w:shd w:val="clear" w:color="auto" w:fill="B9D9EB"/>
          </w:tcPr>
          <w:p>
            <w:pPr>
              <w:spacing w:after="0"/>
              <w:rPr>
                <w:sz w:val="14"/>
                <w:szCs w:val="14"/>
                <w:color w:val="auto"/>
              </w:rPr>
            </w:pPr>
          </w:p>
        </w:tc>
        <w:tc>
          <w:tcPr>
            <w:tcW w:w="10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76 %</w:t>
            </w:r>
          </w:p>
        </w:tc>
        <w:tc>
          <w:tcPr>
            <w:tcW w:w="160" w:type="dxa"/>
            <w:vAlign w:val="bottom"/>
            <w:tcBorders>
              <w:top w:val="single" w:sz="8" w:color="B9D9EB"/>
            </w:tcBorders>
            <w:shd w:val="clear" w:color="auto" w:fill="B9D9EB"/>
          </w:tcPr>
          <w:p>
            <w:pPr>
              <w:spacing w:after="0"/>
              <w:rPr>
                <w:sz w:val="14"/>
                <w:szCs w:val="14"/>
                <w:color w:val="auto"/>
              </w:rPr>
            </w:pPr>
          </w:p>
        </w:tc>
        <w:tc>
          <w:tcPr>
            <w:tcW w:w="100" w:type="dxa"/>
            <w:vAlign w:val="bottom"/>
            <w:tcBorders>
              <w:top w:val="single" w:sz="8" w:color="auto"/>
            </w:tcBorders>
            <w:shd w:val="clear" w:color="auto" w:fill="B9D9EB"/>
          </w:tcPr>
          <w:p>
            <w:pPr>
              <w:spacing w:after="0"/>
              <w:rPr>
                <w:sz w:val="14"/>
                <w:szCs w:val="14"/>
                <w:color w:val="auto"/>
              </w:rPr>
            </w:pPr>
          </w:p>
        </w:tc>
        <w:tc>
          <w:tcPr>
            <w:tcW w:w="10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78 %</w:t>
            </w:r>
          </w:p>
        </w:tc>
      </w:tr>
      <w:tr>
        <w:trPr>
          <w:trHeight w:val="180"/>
        </w:trPr>
        <w:tc>
          <w:tcPr>
            <w:tcW w:w="246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Jackups</w:t>
            </w: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64 %</w:t>
            </w:r>
          </w:p>
        </w:tc>
        <w:tc>
          <w:tcPr>
            <w:tcW w:w="160" w:type="dxa"/>
            <w:vAlign w:val="bottom"/>
            <w:tcBorders>
              <w:bottom w:val="single" w:sz="8" w:color="B9D9E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62 %</w:t>
            </w:r>
          </w:p>
        </w:tc>
        <w:tc>
          <w:tcPr>
            <w:tcW w:w="160" w:type="dxa"/>
            <w:vAlign w:val="bottom"/>
            <w:tcBorders>
              <w:bottom w:val="single" w:sz="8" w:color="B9D9E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82 %</w:t>
            </w:r>
          </w:p>
        </w:tc>
      </w:tr>
      <w:tr>
        <w:trPr>
          <w:trHeight w:val="160"/>
        </w:trPr>
        <w:tc>
          <w:tcPr>
            <w:tcW w:w="2460" w:type="dxa"/>
            <w:vAlign w:val="bottom"/>
            <w:shd w:val="clear" w:color="auto" w:fill="B9D9EB"/>
          </w:tcPr>
          <w:p>
            <w:pPr>
              <w:ind w:left="140"/>
              <w:spacing w:after="0"/>
              <w:rPr>
                <w:sz w:val="20"/>
                <w:szCs w:val="20"/>
                <w:color w:val="auto"/>
              </w:rPr>
            </w:pPr>
            <w:r>
              <w:rPr>
                <w:rFonts w:ascii="Arial" w:cs="Arial" w:eastAsia="Arial" w:hAnsi="Arial"/>
                <w:sz w:val="12"/>
                <w:szCs w:val="12"/>
                <w:b w:val="1"/>
                <w:bCs w:val="1"/>
                <w:color w:val="auto"/>
              </w:rPr>
              <w:t>Total</w:t>
            </w:r>
          </w:p>
        </w:tc>
        <w:tc>
          <w:tcPr>
            <w:tcW w:w="80" w:type="dxa"/>
            <w:vAlign w:val="bottom"/>
            <w:shd w:val="clear" w:color="auto" w:fill="B9D9EB"/>
          </w:tcPr>
          <w:p>
            <w:pPr>
              <w:spacing w:after="0"/>
              <w:rPr>
                <w:sz w:val="13"/>
                <w:szCs w:val="13"/>
                <w:color w:val="auto"/>
              </w:rPr>
            </w:pPr>
          </w:p>
        </w:tc>
        <w:tc>
          <w:tcPr>
            <w:tcW w:w="1080" w:type="dxa"/>
            <w:vAlign w:val="bottom"/>
            <w:shd w:val="clear" w:color="auto" w:fill="B9D9EB"/>
          </w:tcPr>
          <w:p>
            <w:pPr>
              <w:jc w:val="right"/>
              <w:spacing w:after="0"/>
              <w:rPr>
                <w:sz w:val="20"/>
                <w:szCs w:val="20"/>
                <w:color w:val="auto"/>
              </w:rPr>
            </w:pPr>
            <w:r>
              <w:rPr>
                <w:rFonts w:ascii="Arial" w:cs="Arial" w:eastAsia="Arial" w:hAnsi="Arial"/>
                <w:sz w:val="12"/>
                <w:szCs w:val="12"/>
                <w:color w:val="auto"/>
              </w:rPr>
              <w:t>72 %</w:t>
            </w:r>
          </w:p>
        </w:tc>
        <w:tc>
          <w:tcPr>
            <w:tcW w:w="160" w:type="dxa"/>
            <w:vAlign w:val="bottom"/>
            <w:shd w:val="clear" w:color="auto" w:fill="B9D9EB"/>
          </w:tcPr>
          <w:p>
            <w:pPr>
              <w:spacing w:after="0"/>
              <w:rPr>
                <w:sz w:val="13"/>
                <w:szCs w:val="13"/>
                <w:color w:val="auto"/>
              </w:rPr>
            </w:pPr>
          </w:p>
        </w:tc>
        <w:tc>
          <w:tcPr>
            <w:tcW w:w="100" w:type="dxa"/>
            <w:vAlign w:val="bottom"/>
            <w:shd w:val="clear" w:color="auto" w:fill="B9D9EB"/>
          </w:tcPr>
          <w:p>
            <w:pPr>
              <w:spacing w:after="0"/>
              <w:rPr>
                <w:sz w:val="13"/>
                <w:szCs w:val="13"/>
                <w:color w:val="auto"/>
              </w:rPr>
            </w:pPr>
          </w:p>
        </w:tc>
        <w:tc>
          <w:tcPr>
            <w:tcW w:w="1080" w:type="dxa"/>
            <w:vAlign w:val="bottom"/>
            <w:shd w:val="clear" w:color="auto" w:fill="B9D9EB"/>
          </w:tcPr>
          <w:p>
            <w:pPr>
              <w:jc w:val="right"/>
              <w:spacing w:after="0"/>
              <w:rPr>
                <w:sz w:val="20"/>
                <w:szCs w:val="20"/>
                <w:color w:val="auto"/>
              </w:rPr>
            </w:pPr>
            <w:r>
              <w:rPr>
                <w:rFonts w:ascii="Arial" w:cs="Arial" w:eastAsia="Arial" w:hAnsi="Arial"/>
                <w:sz w:val="12"/>
                <w:szCs w:val="12"/>
                <w:color w:val="auto"/>
              </w:rPr>
              <w:t>70 %</w:t>
            </w:r>
          </w:p>
        </w:tc>
        <w:tc>
          <w:tcPr>
            <w:tcW w:w="160" w:type="dxa"/>
            <w:vAlign w:val="bottom"/>
            <w:shd w:val="clear" w:color="auto" w:fill="B9D9EB"/>
          </w:tcPr>
          <w:p>
            <w:pPr>
              <w:spacing w:after="0"/>
              <w:rPr>
                <w:sz w:val="13"/>
                <w:szCs w:val="13"/>
                <w:color w:val="auto"/>
              </w:rPr>
            </w:pPr>
          </w:p>
        </w:tc>
        <w:tc>
          <w:tcPr>
            <w:tcW w:w="100" w:type="dxa"/>
            <w:vAlign w:val="bottom"/>
            <w:shd w:val="clear" w:color="auto" w:fill="B9D9EB"/>
          </w:tcPr>
          <w:p>
            <w:pPr>
              <w:spacing w:after="0"/>
              <w:rPr>
                <w:sz w:val="13"/>
                <w:szCs w:val="13"/>
                <w:color w:val="auto"/>
              </w:rPr>
            </w:pPr>
          </w:p>
        </w:tc>
        <w:tc>
          <w:tcPr>
            <w:tcW w:w="1080" w:type="dxa"/>
            <w:vAlign w:val="bottom"/>
            <w:shd w:val="clear" w:color="auto" w:fill="B9D9EB"/>
          </w:tcPr>
          <w:p>
            <w:pPr>
              <w:jc w:val="right"/>
              <w:spacing w:after="0"/>
              <w:rPr>
                <w:sz w:val="20"/>
                <w:szCs w:val="20"/>
                <w:color w:val="auto"/>
              </w:rPr>
            </w:pPr>
            <w:r>
              <w:rPr>
                <w:rFonts w:ascii="Arial" w:cs="Arial" w:eastAsia="Arial" w:hAnsi="Arial"/>
                <w:sz w:val="12"/>
                <w:szCs w:val="12"/>
                <w:color w:val="auto"/>
              </w:rPr>
              <w:t>80 %</w:t>
            </w:r>
          </w:p>
        </w:tc>
      </w:tr>
      <w:tr>
        <w:trPr>
          <w:trHeight w:val="538"/>
        </w:trPr>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Operating Days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Three Months Ended</w:t>
            </w:r>
          </w:p>
        </w:tc>
        <w:tc>
          <w:tcPr>
            <w:tcW w:w="10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Three Months Ended</w:t>
            </w:r>
          </w:p>
        </w:tc>
        <w:tc>
          <w:tcPr>
            <w:tcW w:w="100" w:type="dxa"/>
            <w:vAlign w:val="bottom"/>
          </w:tcPr>
          <w:p>
            <w:pPr>
              <w:spacing w:after="0"/>
              <w:rPr>
                <w:sz w:val="15"/>
                <w:szCs w:val="15"/>
                <w:color w:val="auto"/>
              </w:rPr>
            </w:pPr>
          </w:p>
        </w:tc>
        <w:tc>
          <w:tcPr>
            <w:tcW w:w="1080" w:type="dxa"/>
            <w:vAlign w:val="bottom"/>
          </w:tcPr>
          <w:p>
            <w:pPr>
              <w:jc w:val="center"/>
              <w:ind w:right="45"/>
              <w:spacing w:after="0"/>
              <w:rPr>
                <w:sz w:val="20"/>
                <w:szCs w:val="20"/>
                <w:color w:val="auto"/>
              </w:rPr>
            </w:pPr>
            <w:r>
              <w:rPr>
                <w:rFonts w:ascii="Arial" w:cs="Arial" w:eastAsia="Arial" w:hAnsi="Arial"/>
                <w:sz w:val="10"/>
                <w:szCs w:val="10"/>
                <w:b w:val="1"/>
                <w:bCs w:val="1"/>
                <w:color w:val="auto"/>
                <w:w w:val="94"/>
              </w:rPr>
              <w:t>Three Months Ended</w:t>
            </w:r>
          </w:p>
        </w:tc>
      </w:tr>
      <w:tr>
        <w:trPr>
          <w:trHeight w:val="181"/>
        </w:trPr>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September 30, 2023</w:t>
            </w:r>
          </w:p>
        </w:tc>
        <w:tc>
          <w:tcPr>
            <w:tcW w:w="10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June 30, 2023</w:t>
            </w:r>
          </w:p>
        </w:tc>
        <w:tc>
          <w:tcPr>
            <w:tcW w:w="100" w:type="dxa"/>
            <w:vAlign w:val="bottom"/>
          </w:tcPr>
          <w:p>
            <w:pPr>
              <w:spacing w:after="0"/>
              <w:rPr>
                <w:sz w:val="15"/>
                <w:szCs w:val="15"/>
                <w:color w:val="auto"/>
              </w:rPr>
            </w:pPr>
          </w:p>
        </w:tc>
        <w:tc>
          <w:tcPr>
            <w:tcW w:w="1080" w:type="dxa"/>
            <w:vAlign w:val="bottom"/>
          </w:tcPr>
          <w:p>
            <w:pPr>
              <w:jc w:val="center"/>
              <w:ind w:right="45"/>
              <w:spacing w:after="0"/>
              <w:rPr>
                <w:sz w:val="20"/>
                <w:szCs w:val="20"/>
                <w:color w:val="auto"/>
              </w:rPr>
            </w:pPr>
            <w:r>
              <w:rPr>
                <w:rFonts w:ascii="Arial" w:cs="Arial" w:eastAsia="Arial" w:hAnsi="Arial"/>
                <w:sz w:val="10"/>
                <w:szCs w:val="10"/>
                <w:b w:val="1"/>
                <w:bCs w:val="1"/>
                <w:color w:val="auto"/>
                <w:w w:val="96"/>
              </w:rPr>
              <w:t>September 30, 2022</w:t>
            </w:r>
          </w:p>
        </w:tc>
      </w:tr>
      <w:tr>
        <w:trPr>
          <w:trHeight w:val="161"/>
        </w:trPr>
        <w:tc>
          <w:tcPr>
            <w:tcW w:w="2460" w:type="dxa"/>
            <w:vAlign w:val="bottom"/>
            <w:tcBorders>
              <w:top w:val="single" w:sz="8" w:color="B9D9EB"/>
            </w:tcBorders>
            <w:shd w:val="clear" w:color="auto" w:fill="B9D9EB"/>
          </w:tcPr>
          <w:p>
            <w:pPr>
              <w:spacing w:after="0"/>
              <w:rPr>
                <w:sz w:val="20"/>
                <w:szCs w:val="20"/>
                <w:color w:val="auto"/>
              </w:rPr>
            </w:pPr>
            <w:r>
              <w:rPr>
                <w:rFonts w:ascii="Arial" w:cs="Arial" w:eastAsia="Arial" w:hAnsi="Arial"/>
                <w:sz w:val="12"/>
                <w:szCs w:val="12"/>
                <w:color w:val="auto"/>
              </w:rPr>
              <w:t>Floaters</w:t>
            </w:r>
          </w:p>
        </w:tc>
        <w:tc>
          <w:tcPr>
            <w:tcW w:w="80" w:type="dxa"/>
            <w:vAlign w:val="bottom"/>
            <w:tcBorders>
              <w:top w:val="single" w:sz="8" w:color="auto"/>
            </w:tcBorders>
            <w:shd w:val="clear" w:color="auto" w:fill="B9D9EB"/>
          </w:tcPr>
          <w:p>
            <w:pPr>
              <w:spacing w:after="0"/>
              <w:rPr>
                <w:sz w:val="14"/>
                <w:szCs w:val="14"/>
                <w:color w:val="auto"/>
              </w:rPr>
            </w:pPr>
          </w:p>
        </w:tc>
        <w:tc>
          <w:tcPr>
            <w:tcW w:w="1080" w:type="dxa"/>
            <w:vAlign w:val="bottom"/>
            <w:tcBorders>
              <w:top w:val="single" w:sz="8" w:color="auto"/>
            </w:tcBorders>
            <w:shd w:val="clear" w:color="auto" w:fill="B9D9EB"/>
          </w:tcPr>
          <w:p>
            <w:pPr>
              <w:jc w:val="right"/>
              <w:ind w:right="85"/>
              <w:spacing w:after="0"/>
              <w:rPr>
                <w:sz w:val="20"/>
                <w:szCs w:val="20"/>
                <w:color w:val="auto"/>
              </w:rPr>
            </w:pPr>
            <w:r>
              <w:rPr>
                <w:rFonts w:ascii="Arial" w:cs="Arial" w:eastAsia="Arial" w:hAnsi="Arial"/>
                <w:sz w:val="12"/>
                <w:szCs w:val="12"/>
                <w:color w:val="auto"/>
              </w:rPr>
              <w:t>1,348</w:t>
            </w:r>
          </w:p>
        </w:tc>
        <w:tc>
          <w:tcPr>
            <w:tcW w:w="160" w:type="dxa"/>
            <w:vAlign w:val="bottom"/>
            <w:tcBorders>
              <w:top w:val="single" w:sz="8" w:color="B9D9EB"/>
            </w:tcBorders>
            <w:shd w:val="clear" w:color="auto" w:fill="B9D9EB"/>
          </w:tcPr>
          <w:p>
            <w:pPr>
              <w:spacing w:after="0"/>
              <w:rPr>
                <w:sz w:val="14"/>
                <w:szCs w:val="14"/>
                <w:color w:val="auto"/>
              </w:rPr>
            </w:pPr>
          </w:p>
        </w:tc>
        <w:tc>
          <w:tcPr>
            <w:tcW w:w="100" w:type="dxa"/>
            <w:vAlign w:val="bottom"/>
            <w:tcBorders>
              <w:top w:val="single" w:sz="8" w:color="auto"/>
            </w:tcBorders>
            <w:shd w:val="clear" w:color="auto" w:fill="B9D9EB"/>
          </w:tcPr>
          <w:p>
            <w:pPr>
              <w:spacing w:after="0"/>
              <w:rPr>
                <w:sz w:val="14"/>
                <w:szCs w:val="14"/>
                <w:color w:val="auto"/>
              </w:rPr>
            </w:pPr>
          </w:p>
        </w:tc>
        <w:tc>
          <w:tcPr>
            <w:tcW w:w="1080" w:type="dxa"/>
            <w:vAlign w:val="bottom"/>
            <w:tcBorders>
              <w:top w:val="single" w:sz="8" w:color="auto"/>
            </w:tcBorders>
            <w:shd w:val="clear" w:color="auto" w:fill="B9D9EB"/>
          </w:tcPr>
          <w:p>
            <w:pPr>
              <w:jc w:val="right"/>
              <w:ind w:right="106"/>
              <w:spacing w:after="0"/>
              <w:rPr>
                <w:sz w:val="20"/>
                <w:szCs w:val="20"/>
                <w:color w:val="auto"/>
              </w:rPr>
            </w:pPr>
            <w:r>
              <w:rPr>
                <w:rFonts w:ascii="Arial" w:cs="Arial" w:eastAsia="Arial" w:hAnsi="Arial"/>
                <w:sz w:val="12"/>
                <w:szCs w:val="12"/>
                <w:color w:val="auto"/>
              </w:rPr>
              <w:t>1,305</w:t>
            </w:r>
          </w:p>
        </w:tc>
        <w:tc>
          <w:tcPr>
            <w:tcW w:w="160" w:type="dxa"/>
            <w:vAlign w:val="bottom"/>
            <w:tcBorders>
              <w:top w:val="single" w:sz="8" w:color="B9D9EB"/>
            </w:tcBorders>
            <w:shd w:val="clear" w:color="auto" w:fill="B9D9EB"/>
          </w:tcPr>
          <w:p>
            <w:pPr>
              <w:spacing w:after="0"/>
              <w:rPr>
                <w:sz w:val="14"/>
                <w:szCs w:val="14"/>
                <w:color w:val="auto"/>
              </w:rPr>
            </w:pPr>
          </w:p>
        </w:tc>
        <w:tc>
          <w:tcPr>
            <w:tcW w:w="100" w:type="dxa"/>
            <w:vAlign w:val="bottom"/>
            <w:tcBorders>
              <w:top w:val="single" w:sz="8" w:color="auto"/>
            </w:tcBorders>
            <w:shd w:val="clear" w:color="auto" w:fill="B9D9EB"/>
          </w:tcPr>
          <w:p>
            <w:pPr>
              <w:spacing w:after="0"/>
              <w:rPr>
                <w:sz w:val="14"/>
                <w:szCs w:val="14"/>
                <w:color w:val="auto"/>
              </w:rPr>
            </w:pPr>
          </w:p>
        </w:tc>
        <w:tc>
          <w:tcPr>
            <w:tcW w:w="1080" w:type="dxa"/>
            <w:vAlign w:val="bottom"/>
            <w:tcBorders>
              <w:top w:val="single" w:sz="8" w:color="auto"/>
            </w:tcBorders>
            <w:shd w:val="clear" w:color="auto" w:fill="B9D9EB"/>
          </w:tcPr>
          <w:p>
            <w:pPr>
              <w:jc w:val="right"/>
              <w:ind w:right="105"/>
              <w:spacing w:after="0"/>
              <w:rPr>
                <w:sz w:val="20"/>
                <w:szCs w:val="20"/>
                <w:color w:val="auto"/>
              </w:rPr>
            </w:pPr>
            <w:r>
              <w:rPr>
                <w:rFonts w:ascii="Arial" w:cs="Arial" w:eastAsia="Arial" w:hAnsi="Arial"/>
                <w:sz w:val="12"/>
                <w:szCs w:val="12"/>
                <w:color w:val="auto"/>
              </w:rPr>
              <w:t>792</w:t>
            </w:r>
          </w:p>
        </w:tc>
      </w:tr>
      <w:tr>
        <w:trPr>
          <w:trHeight w:val="180"/>
        </w:trPr>
        <w:tc>
          <w:tcPr>
            <w:tcW w:w="246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Jackups</w:t>
            </w: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color w:val="auto"/>
              </w:rPr>
              <w:t>824</w:t>
            </w:r>
          </w:p>
        </w:tc>
        <w:tc>
          <w:tcPr>
            <w:tcW w:w="160" w:type="dxa"/>
            <w:vAlign w:val="bottom"/>
            <w:tcBorders>
              <w:bottom w:val="single" w:sz="8" w:color="B9D9E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6"/>
              <w:spacing w:after="0"/>
              <w:rPr>
                <w:sz w:val="20"/>
                <w:szCs w:val="20"/>
                <w:color w:val="auto"/>
              </w:rPr>
            </w:pPr>
            <w:r>
              <w:rPr>
                <w:rFonts w:ascii="Arial" w:cs="Arial" w:eastAsia="Arial" w:hAnsi="Arial"/>
                <w:sz w:val="12"/>
                <w:szCs w:val="12"/>
                <w:color w:val="auto"/>
              </w:rPr>
              <w:t>786</w:t>
            </w:r>
          </w:p>
        </w:tc>
        <w:tc>
          <w:tcPr>
            <w:tcW w:w="160" w:type="dxa"/>
            <w:vAlign w:val="bottom"/>
            <w:tcBorders>
              <w:bottom w:val="single" w:sz="8" w:color="B9D9E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color w:val="auto"/>
              </w:rPr>
              <w:t>606</w:t>
            </w:r>
          </w:p>
        </w:tc>
      </w:tr>
      <w:tr>
        <w:trPr>
          <w:trHeight w:val="158"/>
        </w:trPr>
        <w:tc>
          <w:tcPr>
            <w:tcW w:w="2460" w:type="dxa"/>
            <w:vAlign w:val="bottom"/>
            <w:tcBorders>
              <w:bottom w:val="single" w:sz="8" w:color="B9D9EB"/>
            </w:tcBorders>
            <w:shd w:val="clear" w:color="auto" w:fill="B9D9EB"/>
          </w:tcPr>
          <w:p>
            <w:pPr>
              <w:ind w:left="140"/>
              <w:spacing w:after="0"/>
              <w:rPr>
                <w:sz w:val="20"/>
                <w:szCs w:val="20"/>
                <w:color w:val="auto"/>
              </w:rPr>
            </w:pPr>
            <w:r>
              <w:rPr>
                <w:rFonts w:ascii="Arial" w:cs="Arial" w:eastAsia="Arial" w:hAnsi="Arial"/>
                <w:sz w:val="12"/>
                <w:szCs w:val="12"/>
                <w:b w:val="1"/>
                <w:bCs w:val="1"/>
                <w:color w:val="auto"/>
              </w:rPr>
              <w:t>Total</w:t>
            </w:r>
          </w:p>
        </w:tc>
        <w:tc>
          <w:tcPr>
            <w:tcW w:w="80" w:type="dxa"/>
            <w:vAlign w:val="bottom"/>
            <w:tcBorders>
              <w:bottom w:val="single" w:sz="8" w:color="auto"/>
            </w:tcBorders>
            <w:shd w:val="clear" w:color="auto" w:fill="B9D9EB"/>
          </w:tcPr>
          <w:p>
            <w:pPr>
              <w:spacing w:after="0"/>
              <w:rPr>
                <w:sz w:val="13"/>
                <w:szCs w:val="13"/>
                <w:color w:val="auto"/>
              </w:rPr>
            </w:pPr>
          </w:p>
        </w:tc>
        <w:tc>
          <w:tcPr>
            <w:tcW w:w="1080" w:type="dxa"/>
            <w:vAlign w:val="bottom"/>
            <w:tcBorders>
              <w:bottom w:val="single" w:sz="8" w:color="auto"/>
            </w:tcBorders>
            <w:shd w:val="clear" w:color="auto" w:fill="B9D9EB"/>
          </w:tcPr>
          <w:p>
            <w:pPr>
              <w:jc w:val="right"/>
              <w:ind w:right="85"/>
              <w:spacing w:after="0"/>
              <w:rPr>
                <w:sz w:val="20"/>
                <w:szCs w:val="20"/>
                <w:color w:val="auto"/>
              </w:rPr>
            </w:pPr>
            <w:r>
              <w:rPr>
                <w:rFonts w:ascii="Arial" w:cs="Arial" w:eastAsia="Arial" w:hAnsi="Arial"/>
                <w:sz w:val="12"/>
                <w:szCs w:val="12"/>
                <w:color w:val="auto"/>
              </w:rPr>
              <w:t>2,172</w:t>
            </w:r>
          </w:p>
        </w:tc>
        <w:tc>
          <w:tcPr>
            <w:tcW w:w="160" w:type="dxa"/>
            <w:vAlign w:val="bottom"/>
            <w:tcBorders>
              <w:bottom w:val="single" w:sz="8" w:color="B9D9EB"/>
            </w:tcBorders>
            <w:shd w:val="clear" w:color="auto" w:fill="B9D9EB"/>
          </w:tcPr>
          <w:p>
            <w:pPr>
              <w:spacing w:after="0"/>
              <w:rPr>
                <w:sz w:val="13"/>
                <w:szCs w:val="13"/>
                <w:color w:val="auto"/>
              </w:rPr>
            </w:pPr>
          </w:p>
        </w:tc>
        <w:tc>
          <w:tcPr>
            <w:tcW w:w="100" w:type="dxa"/>
            <w:vAlign w:val="bottom"/>
            <w:tcBorders>
              <w:bottom w:val="single" w:sz="8" w:color="auto"/>
            </w:tcBorders>
            <w:shd w:val="clear" w:color="auto" w:fill="B9D9EB"/>
          </w:tcPr>
          <w:p>
            <w:pPr>
              <w:spacing w:after="0"/>
              <w:rPr>
                <w:sz w:val="13"/>
                <w:szCs w:val="13"/>
                <w:color w:val="auto"/>
              </w:rPr>
            </w:pPr>
          </w:p>
        </w:tc>
        <w:tc>
          <w:tcPr>
            <w:tcW w:w="1080" w:type="dxa"/>
            <w:vAlign w:val="bottom"/>
            <w:tcBorders>
              <w:bottom w:val="single" w:sz="8" w:color="auto"/>
            </w:tcBorders>
            <w:shd w:val="clear" w:color="auto" w:fill="B9D9EB"/>
          </w:tcPr>
          <w:p>
            <w:pPr>
              <w:jc w:val="right"/>
              <w:ind w:right="106"/>
              <w:spacing w:after="0"/>
              <w:rPr>
                <w:sz w:val="20"/>
                <w:szCs w:val="20"/>
                <w:color w:val="auto"/>
              </w:rPr>
            </w:pPr>
            <w:r>
              <w:rPr>
                <w:rFonts w:ascii="Arial" w:cs="Arial" w:eastAsia="Arial" w:hAnsi="Arial"/>
                <w:sz w:val="12"/>
                <w:szCs w:val="12"/>
                <w:color w:val="auto"/>
              </w:rPr>
              <w:t>2,091</w:t>
            </w:r>
          </w:p>
        </w:tc>
        <w:tc>
          <w:tcPr>
            <w:tcW w:w="160" w:type="dxa"/>
            <w:vAlign w:val="bottom"/>
            <w:tcBorders>
              <w:bottom w:val="single" w:sz="8" w:color="auto"/>
            </w:tcBorders>
            <w:shd w:val="clear" w:color="auto" w:fill="B9D9EB"/>
          </w:tcPr>
          <w:p>
            <w:pPr>
              <w:spacing w:after="0"/>
              <w:rPr>
                <w:sz w:val="13"/>
                <w:szCs w:val="13"/>
                <w:color w:val="auto"/>
              </w:rPr>
            </w:pPr>
          </w:p>
        </w:tc>
        <w:tc>
          <w:tcPr>
            <w:tcW w:w="100" w:type="dxa"/>
            <w:vAlign w:val="bottom"/>
            <w:tcBorders>
              <w:bottom w:val="single" w:sz="8" w:color="auto"/>
            </w:tcBorders>
            <w:shd w:val="clear" w:color="auto" w:fill="B9D9EB"/>
          </w:tcPr>
          <w:p>
            <w:pPr>
              <w:spacing w:after="0"/>
              <w:rPr>
                <w:sz w:val="13"/>
                <w:szCs w:val="13"/>
                <w:color w:val="auto"/>
              </w:rPr>
            </w:pPr>
          </w:p>
        </w:tc>
        <w:tc>
          <w:tcPr>
            <w:tcW w:w="1080" w:type="dxa"/>
            <w:vAlign w:val="bottom"/>
            <w:tcBorders>
              <w:bottom w:val="single" w:sz="8" w:color="auto"/>
            </w:tcBorders>
            <w:shd w:val="clear" w:color="auto" w:fill="B9D9EB"/>
          </w:tcPr>
          <w:p>
            <w:pPr>
              <w:jc w:val="right"/>
              <w:ind w:right="105"/>
              <w:spacing w:after="0"/>
              <w:rPr>
                <w:sz w:val="20"/>
                <w:szCs w:val="20"/>
                <w:color w:val="auto"/>
              </w:rPr>
            </w:pPr>
            <w:r>
              <w:rPr>
                <w:rFonts w:ascii="Arial" w:cs="Arial" w:eastAsia="Arial" w:hAnsi="Arial"/>
                <w:sz w:val="12"/>
                <w:szCs w:val="12"/>
                <w:color w:val="auto"/>
              </w:rPr>
              <w:t>1,398</w:t>
            </w:r>
          </w:p>
        </w:tc>
      </w:tr>
      <w:tr>
        <w:trPr>
          <w:trHeight w:val="520"/>
        </w:trPr>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7"/>
              </w:rPr>
              <w:t>Average Dayrates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Three Months Ended</w:t>
            </w:r>
          </w:p>
        </w:tc>
        <w:tc>
          <w:tcPr>
            <w:tcW w:w="10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Three Months Ended</w:t>
            </w:r>
          </w:p>
        </w:tc>
        <w:tc>
          <w:tcPr>
            <w:tcW w:w="100" w:type="dxa"/>
            <w:vAlign w:val="bottom"/>
          </w:tcPr>
          <w:p>
            <w:pPr>
              <w:spacing w:after="0"/>
              <w:rPr>
                <w:sz w:val="15"/>
                <w:szCs w:val="15"/>
                <w:color w:val="auto"/>
              </w:rPr>
            </w:pPr>
          </w:p>
        </w:tc>
        <w:tc>
          <w:tcPr>
            <w:tcW w:w="1080" w:type="dxa"/>
            <w:vAlign w:val="bottom"/>
          </w:tcPr>
          <w:p>
            <w:pPr>
              <w:jc w:val="center"/>
              <w:ind w:right="45"/>
              <w:spacing w:after="0"/>
              <w:rPr>
                <w:sz w:val="20"/>
                <w:szCs w:val="20"/>
                <w:color w:val="auto"/>
              </w:rPr>
            </w:pPr>
            <w:r>
              <w:rPr>
                <w:rFonts w:ascii="Arial" w:cs="Arial" w:eastAsia="Arial" w:hAnsi="Arial"/>
                <w:sz w:val="10"/>
                <w:szCs w:val="10"/>
                <w:b w:val="1"/>
                <w:bCs w:val="1"/>
                <w:color w:val="auto"/>
                <w:w w:val="94"/>
              </w:rPr>
              <w:t>Three Months Ended</w:t>
            </w:r>
          </w:p>
        </w:tc>
      </w:tr>
      <w:tr>
        <w:trPr>
          <w:trHeight w:val="181"/>
        </w:trPr>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September 30, 2023</w:t>
            </w:r>
          </w:p>
        </w:tc>
        <w:tc>
          <w:tcPr>
            <w:tcW w:w="10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June 30, 2023</w:t>
            </w:r>
          </w:p>
        </w:tc>
        <w:tc>
          <w:tcPr>
            <w:tcW w:w="100" w:type="dxa"/>
            <w:vAlign w:val="bottom"/>
          </w:tcPr>
          <w:p>
            <w:pPr>
              <w:spacing w:after="0"/>
              <w:rPr>
                <w:sz w:val="15"/>
                <w:szCs w:val="15"/>
                <w:color w:val="auto"/>
              </w:rPr>
            </w:pPr>
          </w:p>
        </w:tc>
        <w:tc>
          <w:tcPr>
            <w:tcW w:w="1080" w:type="dxa"/>
            <w:vAlign w:val="bottom"/>
          </w:tcPr>
          <w:p>
            <w:pPr>
              <w:jc w:val="center"/>
              <w:ind w:right="45"/>
              <w:spacing w:after="0"/>
              <w:rPr>
                <w:sz w:val="20"/>
                <w:szCs w:val="20"/>
                <w:color w:val="auto"/>
              </w:rPr>
            </w:pPr>
            <w:r>
              <w:rPr>
                <w:rFonts w:ascii="Arial" w:cs="Arial" w:eastAsia="Arial" w:hAnsi="Arial"/>
                <w:sz w:val="10"/>
                <w:szCs w:val="10"/>
                <w:b w:val="1"/>
                <w:bCs w:val="1"/>
                <w:color w:val="auto"/>
                <w:w w:val="96"/>
              </w:rPr>
              <w:t>September 30, 2022</w:t>
            </w:r>
          </w:p>
        </w:tc>
      </w:tr>
      <w:tr>
        <w:trPr>
          <w:trHeight w:val="161"/>
        </w:trPr>
        <w:tc>
          <w:tcPr>
            <w:tcW w:w="2460" w:type="dxa"/>
            <w:vAlign w:val="bottom"/>
            <w:tcBorders>
              <w:top w:val="single" w:sz="8" w:color="B9D9EB"/>
            </w:tcBorders>
            <w:shd w:val="clear" w:color="auto" w:fill="B9D9EB"/>
          </w:tcPr>
          <w:p>
            <w:pPr>
              <w:spacing w:after="0"/>
              <w:rPr>
                <w:sz w:val="20"/>
                <w:szCs w:val="20"/>
                <w:color w:val="auto"/>
              </w:rPr>
            </w:pPr>
            <w:r>
              <w:rPr>
                <w:rFonts w:ascii="Arial" w:cs="Arial" w:eastAsia="Arial" w:hAnsi="Arial"/>
                <w:sz w:val="12"/>
                <w:szCs w:val="12"/>
                <w:color w:val="auto"/>
              </w:rPr>
              <w:t>Floaters</w:t>
            </w:r>
          </w:p>
        </w:tc>
        <w:tc>
          <w:tcPr>
            <w:tcW w:w="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B9D9EB"/>
          </w:tcPr>
          <w:p>
            <w:pPr>
              <w:jc w:val="right"/>
              <w:ind w:right="85"/>
              <w:spacing w:after="0"/>
              <w:rPr>
                <w:sz w:val="20"/>
                <w:szCs w:val="20"/>
                <w:color w:val="auto"/>
              </w:rPr>
            </w:pPr>
            <w:r>
              <w:rPr>
                <w:rFonts w:ascii="Arial" w:cs="Arial" w:eastAsia="Arial" w:hAnsi="Arial"/>
                <w:sz w:val="12"/>
                <w:szCs w:val="12"/>
                <w:color w:val="auto"/>
              </w:rPr>
              <w:t>403,813</w:t>
            </w:r>
          </w:p>
        </w:tc>
        <w:tc>
          <w:tcPr>
            <w:tcW w:w="160" w:type="dxa"/>
            <w:vAlign w:val="bottom"/>
            <w:tcBorders>
              <w:top w:val="single" w:sz="8" w:color="B9D9EB"/>
            </w:tcBorders>
            <w:shd w:val="clear" w:color="auto" w:fill="B9D9EB"/>
          </w:tcPr>
          <w:p>
            <w:pPr>
              <w:spacing w:after="0"/>
              <w:rPr>
                <w:sz w:val="14"/>
                <w:szCs w:val="14"/>
                <w:color w:val="auto"/>
              </w:rPr>
            </w:pPr>
          </w:p>
        </w:tc>
        <w:tc>
          <w:tcPr>
            <w:tcW w:w="1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B9D9EB"/>
          </w:tcPr>
          <w:p>
            <w:pPr>
              <w:jc w:val="right"/>
              <w:ind w:right="106"/>
              <w:spacing w:after="0"/>
              <w:rPr>
                <w:sz w:val="20"/>
                <w:szCs w:val="20"/>
                <w:color w:val="auto"/>
              </w:rPr>
            </w:pPr>
            <w:r>
              <w:rPr>
                <w:rFonts w:ascii="Arial" w:cs="Arial" w:eastAsia="Arial" w:hAnsi="Arial"/>
                <w:sz w:val="12"/>
                <w:szCs w:val="12"/>
                <w:color w:val="auto"/>
              </w:rPr>
              <w:t>363,167</w:t>
            </w:r>
          </w:p>
        </w:tc>
        <w:tc>
          <w:tcPr>
            <w:tcW w:w="160" w:type="dxa"/>
            <w:vAlign w:val="bottom"/>
            <w:tcBorders>
              <w:top w:val="single" w:sz="8" w:color="B9D9EB"/>
            </w:tcBorders>
            <w:shd w:val="clear" w:color="auto" w:fill="B9D9EB"/>
          </w:tcPr>
          <w:p>
            <w:pPr>
              <w:spacing w:after="0"/>
              <w:rPr>
                <w:sz w:val="14"/>
                <w:szCs w:val="14"/>
                <w:color w:val="auto"/>
              </w:rPr>
            </w:pPr>
          </w:p>
        </w:tc>
        <w:tc>
          <w:tcPr>
            <w:tcW w:w="1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B9D9EB"/>
          </w:tcPr>
          <w:p>
            <w:pPr>
              <w:jc w:val="right"/>
              <w:ind w:right="105"/>
              <w:spacing w:after="0"/>
              <w:rPr>
                <w:sz w:val="20"/>
                <w:szCs w:val="20"/>
                <w:color w:val="auto"/>
              </w:rPr>
            </w:pPr>
            <w:r>
              <w:rPr>
                <w:rFonts w:ascii="Arial" w:cs="Arial" w:eastAsia="Arial" w:hAnsi="Arial"/>
                <w:sz w:val="12"/>
                <w:szCs w:val="12"/>
                <w:color w:val="auto"/>
              </w:rPr>
              <w:t>285,362</w:t>
            </w:r>
          </w:p>
        </w:tc>
      </w:tr>
      <w:tr>
        <w:trPr>
          <w:trHeight w:val="180"/>
        </w:trPr>
        <w:tc>
          <w:tcPr>
            <w:tcW w:w="246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Jackups</w:t>
            </w: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color w:val="auto"/>
              </w:rPr>
              <w:t>140,775</w:t>
            </w:r>
          </w:p>
        </w:tc>
        <w:tc>
          <w:tcPr>
            <w:tcW w:w="160" w:type="dxa"/>
            <w:vAlign w:val="bottom"/>
            <w:tcBorders>
              <w:bottom w:val="single" w:sz="8" w:color="B9D9E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6"/>
              <w:spacing w:after="0"/>
              <w:rPr>
                <w:sz w:val="20"/>
                <w:szCs w:val="20"/>
                <w:color w:val="auto"/>
              </w:rPr>
            </w:pPr>
            <w:r>
              <w:rPr>
                <w:rFonts w:ascii="Arial" w:cs="Arial" w:eastAsia="Arial" w:hAnsi="Arial"/>
                <w:sz w:val="12"/>
                <w:szCs w:val="12"/>
                <w:color w:val="auto"/>
              </w:rPr>
              <w:t>128,885</w:t>
            </w:r>
          </w:p>
        </w:tc>
        <w:tc>
          <w:tcPr>
            <w:tcW w:w="160" w:type="dxa"/>
            <w:vAlign w:val="bottom"/>
            <w:tcBorders>
              <w:bottom w:val="single" w:sz="8" w:color="B9D9E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color w:val="auto"/>
              </w:rPr>
              <w:t>118,209</w:t>
            </w:r>
          </w:p>
        </w:tc>
      </w:tr>
      <w:tr>
        <w:trPr>
          <w:trHeight w:val="160"/>
        </w:trPr>
        <w:tc>
          <w:tcPr>
            <w:tcW w:w="2460" w:type="dxa"/>
            <w:vAlign w:val="bottom"/>
            <w:shd w:val="clear" w:color="auto" w:fill="B9D9EB"/>
          </w:tcPr>
          <w:p>
            <w:pPr>
              <w:ind w:left="140"/>
              <w:spacing w:after="0"/>
              <w:rPr>
                <w:sz w:val="20"/>
                <w:szCs w:val="20"/>
                <w:color w:val="auto"/>
              </w:rPr>
            </w:pPr>
            <w:r>
              <w:rPr>
                <w:rFonts w:ascii="Arial" w:cs="Arial" w:eastAsia="Arial" w:hAnsi="Arial"/>
                <w:sz w:val="12"/>
                <w:szCs w:val="12"/>
                <w:b w:val="1"/>
                <w:bCs w:val="1"/>
                <w:color w:val="auto"/>
              </w:rPr>
              <w:t>Total</w:t>
            </w:r>
          </w:p>
        </w:tc>
        <w:tc>
          <w:tcPr>
            <w:tcW w:w="80" w:type="dxa"/>
            <w:vAlign w:val="bottom"/>
            <w:shd w:val="clear" w:color="auto" w:fill="B9D9EB"/>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B9D9EB"/>
          </w:tcPr>
          <w:p>
            <w:pPr>
              <w:jc w:val="right"/>
              <w:ind w:right="85"/>
              <w:spacing w:after="0"/>
              <w:rPr>
                <w:sz w:val="20"/>
                <w:szCs w:val="20"/>
                <w:color w:val="auto"/>
              </w:rPr>
            </w:pPr>
            <w:r>
              <w:rPr>
                <w:rFonts w:ascii="Arial" w:cs="Arial" w:eastAsia="Arial" w:hAnsi="Arial"/>
                <w:sz w:val="12"/>
                <w:szCs w:val="12"/>
                <w:color w:val="auto"/>
              </w:rPr>
              <w:t>304,040</w:t>
            </w:r>
          </w:p>
        </w:tc>
        <w:tc>
          <w:tcPr>
            <w:tcW w:w="160" w:type="dxa"/>
            <w:vAlign w:val="bottom"/>
            <w:shd w:val="clear" w:color="auto" w:fill="B9D9EB"/>
          </w:tcPr>
          <w:p>
            <w:pPr>
              <w:spacing w:after="0"/>
              <w:rPr>
                <w:sz w:val="13"/>
                <w:szCs w:val="13"/>
                <w:color w:val="auto"/>
              </w:rPr>
            </w:pPr>
          </w:p>
        </w:tc>
        <w:tc>
          <w:tcPr>
            <w:tcW w:w="10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B9D9EB"/>
          </w:tcPr>
          <w:p>
            <w:pPr>
              <w:jc w:val="right"/>
              <w:ind w:right="106"/>
              <w:spacing w:after="0"/>
              <w:rPr>
                <w:sz w:val="20"/>
                <w:szCs w:val="20"/>
                <w:color w:val="auto"/>
              </w:rPr>
            </w:pPr>
            <w:r>
              <w:rPr>
                <w:rFonts w:ascii="Arial" w:cs="Arial" w:eastAsia="Arial" w:hAnsi="Arial"/>
                <w:sz w:val="12"/>
                <w:szCs w:val="12"/>
                <w:color w:val="auto"/>
              </w:rPr>
              <w:t>275,066</w:t>
            </w:r>
          </w:p>
        </w:tc>
        <w:tc>
          <w:tcPr>
            <w:tcW w:w="160" w:type="dxa"/>
            <w:vAlign w:val="bottom"/>
            <w:shd w:val="clear" w:color="auto" w:fill="B9D9EB"/>
          </w:tcPr>
          <w:p>
            <w:pPr>
              <w:spacing w:after="0"/>
              <w:rPr>
                <w:sz w:val="13"/>
                <w:szCs w:val="13"/>
                <w:color w:val="auto"/>
              </w:rPr>
            </w:pPr>
          </w:p>
        </w:tc>
        <w:tc>
          <w:tcPr>
            <w:tcW w:w="10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B9D9EB"/>
          </w:tcPr>
          <w:p>
            <w:pPr>
              <w:jc w:val="right"/>
              <w:ind w:right="105"/>
              <w:spacing w:after="0"/>
              <w:rPr>
                <w:sz w:val="20"/>
                <w:szCs w:val="20"/>
                <w:color w:val="auto"/>
              </w:rPr>
            </w:pPr>
            <w:r>
              <w:rPr>
                <w:rFonts w:ascii="Arial" w:cs="Arial" w:eastAsia="Arial" w:hAnsi="Arial"/>
                <w:sz w:val="12"/>
                <w:szCs w:val="12"/>
                <w:color w:val="auto"/>
              </w:rPr>
              <w:t>212,958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9019"/>
          </w:cols>
          <w:pgMar w:left="1440" w:top="980"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4"/>
        </w:trPr>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500" w:type="dxa"/>
            <w:vAlign w:val="bottom"/>
            <w:gridSpan w:val="9"/>
          </w:tcPr>
          <w:p>
            <w:pPr>
              <w:jc w:val="center"/>
              <w:ind w:right="780"/>
              <w:spacing w:after="0"/>
              <w:rPr>
                <w:sz w:val="20"/>
                <w:szCs w:val="20"/>
                <w:color w:val="auto"/>
              </w:rPr>
            </w:pPr>
            <w:r>
              <w:rPr>
                <w:rFonts w:ascii="Arial" w:cs="Arial" w:eastAsia="Arial" w:hAnsi="Arial"/>
                <w:sz w:val="12"/>
                <w:szCs w:val="12"/>
                <w:b w:val="1"/>
                <w:bCs w:val="1"/>
                <w:color w:val="auto"/>
                <w:w w:val="99"/>
              </w:rPr>
              <w:t>NOBLE CORPORATION plc AND SUBSIDIARIES</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00" w:type="dxa"/>
            <w:vAlign w:val="bottom"/>
            <w:gridSpan w:val="11"/>
          </w:tcPr>
          <w:p>
            <w:pPr>
              <w:jc w:val="center"/>
              <w:spacing w:after="0"/>
              <w:rPr>
                <w:sz w:val="20"/>
                <w:szCs w:val="20"/>
                <w:color w:val="auto"/>
              </w:rPr>
            </w:pPr>
            <w:r>
              <w:rPr>
                <w:rFonts w:ascii="Arial" w:cs="Arial" w:eastAsia="Arial" w:hAnsi="Arial"/>
                <w:sz w:val="12"/>
                <w:szCs w:val="12"/>
                <w:b w:val="1"/>
                <w:bCs w:val="1"/>
                <w:color w:val="auto"/>
                <w:w w:val="99"/>
              </w:rPr>
              <w:t>CALCULATION OF BASIC AND DILUTED NET INCOME/(LOSS) PER SHARE</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40" w:type="dxa"/>
            <w:vAlign w:val="bottom"/>
            <w:gridSpan w:val="7"/>
          </w:tcPr>
          <w:p>
            <w:pPr>
              <w:ind w:left="20"/>
              <w:spacing w:after="0"/>
              <w:rPr>
                <w:sz w:val="20"/>
                <w:szCs w:val="20"/>
                <w:color w:val="auto"/>
              </w:rPr>
            </w:pPr>
            <w:r>
              <w:rPr>
                <w:rFonts w:ascii="Arial" w:cs="Arial" w:eastAsia="Arial" w:hAnsi="Arial"/>
                <w:sz w:val="12"/>
                <w:szCs w:val="12"/>
                <w:b w:val="1"/>
                <w:bCs w:val="1"/>
                <w:color w:val="auto"/>
              </w:rPr>
              <w:t>(In thousands, except per share amounts)</w:t>
            </w: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00" w:type="dxa"/>
            <w:vAlign w:val="bottom"/>
            <w:gridSpan w:val="5"/>
          </w:tcPr>
          <w:p>
            <w:pPr>
              <w:jc w:val="center"/>
              <w:ind w:right="1760"/>
              <w:spacing w:after="0"/>
              <w:rPr>
                <w:sz w:val="20"/>
                <w:szCs w:val="20"/>
                <w:color w:val="auto"/>
              </w:rPr>
            </w:pPr>
            <w:r>
              <w:rPr>
                <w:rFonts w:ascii="Arial" w:cs="Arial" w:eastAsia="Arial" w:hAnsi="Arial"/>
                <w:sz w:val="12"/>
                <w:szCs w:val="12"/>
                <w:b w:val="1"/>
                <w:bCs w:val="1"/>
                <w:color w:val="auto"/>
                <w:w w:val="98"/>
              </w:rPr>
              <w:t>(Unaudited)</w:t>
            </w:r>
          </w:p>
        </w:tc>
        <w:tc>
          <w:tcPr>
            <w:tcW w:w="0" w:type="dxa"/>
            <w:vAlign w:val="bottom"/>
          </w:tcPr>
          <w:p>
            <w:pPr>
              <w:spacing w:after="0"/>
              <w:rPr>
                <w:sz w:val="1"/>
                <w:szCs w:val="1"/>
                <w:color w:val="auto"/>
              </w:rPr>
            </w:pPr>
          </w:p>
        </w:tc>
      </w:tr>
      <w:tr>
        <w:trPr>
          <w:trHeight w:val="442"/>
        </w:trPr>
        <w:tc>
          <w:tcPr>
            <w:tcW w:w="5280" w:type="dxa"/>
            <w:vAlign w:val="bottom"/>
            <w:gridSpan w:val="10"/>
          </w:tcPr>
          <w:p>
            <w:pPr>
              <w:spacing w:after="0"/>
              <w:rPr>
                <w:sz w:val="20"/>
                <w:szCs w:val="20"/>
                <w:color w:val="auto"/>
              </w:rPr>
            </w:pPr>
            <w:r>
              <w:rPr>
                <w:rFonts w:ascii="Arial" w:cs="Arial" w:eastAsia="Arial" w:hAnsi="Arial"/>
                <w:sz w:val="12"/>
                <w:szCs w:val="12"/>
                <w:color w:val="auto"/>
              </w:rPr>
              <w:t>The following tables presents the computation of basic and diluted income (loss) per share: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4"/>
          </w:tcPr>
          <w:p>
            <w:pPr>
              <w:jc w:val="right"/>
              <w:ind w:right="322"/>
              <w:spacing w:after="0"/>
              <w:rPr>
                <w:sz w:val="20"/>
                <w:szCs w:val="20"/>
                <w:color w:val="auto"/>
              </w:rPr>
            </w:pPr>
            <w:r>
              <w:rPr>
                <w:rFonts w:ascii="Arial" w:cs="Arial" w:eastAsia="Arial" w:hAnsi="Arial"/>
                <w:sz w:val="10"/>
                <w:szCs w:val="10"/>
                <w:b w:val="1"/>
                <w:bCs w:val="1"/>
                <w:color w:val="auto"/>
              </w:rPr>
              <w:t>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gridSpan w:val="6"/>
          </w:tcPr>
          <w:p>
            <w:pPr>
              <w:ind w:left="28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126"/>
        </w:trPr>
        <w:tc>
          <w:tcPr>
            <w:tcW w:w="25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September 30,</w:t>
            </w:r>
          </w:p>
        </w:tc>
        <w:tc>
          <w:tcPr>
            <w:tcW w:w="5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rPr>
              <w:t>September 30,</w:t>
            </w:r>
          </w:p>
        </w:tc>
        <w:tc>
          <w:tcPr>
            <w:tcW w:w="580" w:type="dxa"/>
            <w:vAlign w:val="bottom"/>
            <w:tcBorders>
              <w:bottom w:val="single" w:sz="8" w:color="auto"/>
            </w:tcBorders>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500" w:type="dxa"/>
            <w:vAlign w:val="bottom"/>
            <w:tcBorders>
              <w:bottom w:val="single" w:sz="8" w:color="B9D9EB"/>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84"/>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bottom w:val="single" w:sz="8" w:color="B9D9EB"/>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w w:val="98"/>
              </w:rPr>
              <w:t>2022</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B9D9EB"/>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44"/>
              <w:spacing w:after="0"/>
              <w:rPr>
                <w:sz w:val="20"/>
                <w:szCs w:val="20"/>
                <w:color w:val="auto"/>
              </w:rPr>
            </w:pPr>
            <w:r>
              <w:rPr>
                <w:rFonts w:ascii="Arial" w:cs="Arial" w:eastAsia="Arial" w:hAnsi="Arial"/>
                <w:sz w:val="10"/>
                <w:szCs w:val="10"/>
                <w:b w:val="1"/>
                <w:bCs w:val="1"/>
                <w:color w:val="auto"/>
              </w:rPr>
              <w:t>2023</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B9D9EB"/>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w w:val="98"/>
              </w:rPr>
              <w:t>2022</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500" w:type="dxa"/>
            <w:vAlign w:val="bottom"/>
            <w:shd w:val="clear" w:color="auto" w:fill="B9D9EB"/>
          </w:tcPr>
          <w:p>
            <w:pPr>
              <w:spacing w:after="0"/>
              <w:rPr>
                <w:sz w:val="20"/>
                <w:szCs w:val="20"/>
                <w:color w:val="auto"/>
              </w:rPr>
            </w:pPr>
            <w:r>
              <w:rPr>
                <w:rFonts w:ascii="Arial" w:cs="Arial" w:eastAsia="Arial" w:hAnsi="Arial"/>
                <w:sz w:val="12"/>
                <w:szCs w:val="12"/>
                <w:b w:val="1"/>
                <w:bCs w:val="1"/>
                <w:color w:val="auto"/>
              </w:rPr>
              <w:t>Numerator:</w:t>
            </w:r>
          </w:p>
        </w:tc>
        <w:tc>
          <w:tcPr>
            <w:tcW w:w="200" w:type="dxa"/>
            <w:vAlign w:val="bottom"/>
            <w:tcBorders>
              <w:bottom w:val="single" w:sz="8" w:color="auto"/>
            </w:tcBorders>
            <w:shd w:val="clear" w:color="auto" w:fill="B9D9EB"/>
          </w:tcPr>
          <w:p>
            <w:pPr>
              <w:spacing w:after="0"/>
              <w:rPr>
                <w:sz w:val="14"/>
                <w:szCs w:val="14"/>
                <w:color w:val="auto"/>
              </w:rPr>
            </w:pPr>
          </w:p>
        </w:tc>
        <w:tc>
          <w:tcPr>
            <w:tcW w:w="680" w:type="dxa"/>
            <w:vAlign w:val="bottom"/>
            <w:tcBorders>
              <w:bottom w:val="single" w:sz="8" w:color="auto"/>
            </w:tcBorders>
            <w:shd w:val="clear" w:color="auto" w:fill="B9D9EB"/>
          </w:tcPr>
          <w:p>
            <w:pPr>
              <w:spacing w:after="0"/>
              <w:rPr>
                <w:sz w:val="14"/>
                <w:szCs w:val="14"/>
                <w:color w:val="auto"/>
              </w:rPr>
            </w:pPr>
          </w:p>
        </w:tc>
        <w:tc>
          <w:tcPr>
            <w:tcW w:w="100" w:type="dxa"/>
            <w:vAlign w:val="bottom"/>
            <w:shd w:val="clear" w:color="auto" w:fill="B9D9EB"/>
          </w:tcPr>
          <w:p>
            <w:pPr>
              <w:spacing w:after="0"/>
              <w:rPr>
                <w:sz w:val="14"/>
                <w:szCs w:val="14"/>
                <w:color w:val="auto"/>
              </w:rPr>
            </w:pPr>
          </w:p>
        </w:tc>
        <w:tc>
          <w:tcPr>
            <w:tcW w:w="300" w:type="dxa"/>
            <w:vAlign w:val="bottom"/>
            <w:tcBorders>
              <w:bottom w:val="single" w:sz="8" w:color="auto"/>
            </w:tcBorders>
            <w:shd w:val="clear" w:color="auto" w:fill="B9D9EB"/>
          </w:tcPr>
          <w:p>
            <w:pPr>
              <w:spacing w:after="0"/>
              <w:rPr>
                <w:sz w:val="14"/>
                <w:szCs w:val="14"/>
                <w:color w:val="auto"/>
              </w:rPr>
            </w:pPr>
          </w:p>
        </w:tc>
        <w:tc>
          <w:tcPr>
            <w:tcW w:w="500" w:type="dxa"/>
            <w:vAlign w:val="bottom"/>
            <w:tcBorders>
              <w:bottom w:val="single" w:sz="8" w:color="auto"/>
            </w:tcBorders>
            <w:shd w:val="clear" w:color="auto" w:fill="B9D9EB"/>
          </w:tcPr>
          <w:p>
            <w:pPr>
              <w:spacing w:after="0"/>
              <w:rPr>
                <w:sz w:val="14"/>
                <w:szCs w:val="14"/>
                <w:color w:val="auto"/>
              </w:rPr>
            </w:pPr>
          </w:p>
        </w:tc>
        <w:tc>
          <w:tcPr>
            <w:tcW w:w="60" w:type="dxa"/>
            <w:vAlign w:val="bottom"/>
            <w:tcBorders>
              <w:bottom w:val="single" w:sz="8" w:color="auto"/>
            </w:tcBorders>
            <w:shd w:val="clear" w:color="auto" w:fill="B9D9EB"/>
          </w:tcPr>
          <w:p>
            <w:pPr>
              <w:spacing w:after="0"/>
              <w:rPr>
                <w:sz w:val="14"/>
                <w:szCs w:val="14"/>
                <w:color w:val="auto"/>
              </w:rPr>
            </w:pPr>
          </w:p>
        </w:tc>
        <w:tc>
          <w:tcPr>
            <w:tcW w:w="100" w:type="dxa"/>
            <w:vAlign w:val="bottom"/>
            <w:shd w:val="clear" w:color="auto" w:fill="B9D9EB"/>
          </w:tcPr>
          <w:p>
            <w:pPr>
              <w:spacing w:after="0"/>
              <w:rPr>
                <w:sz w:val="14"/>
                <w:szCs w:val="14"/>
                <w:color w:val="auto"/>
              </w:rPr>
            </w:pPr>
          </w:p>
        </w:tc>
        <w:tc>
          <w:tcPr>
            <w:tcW w:w="200" w:type="dxa"/>
            <w:vAlign w:val="bottom"/>
            <w:tcBorders>
              <w:bottom w:val="single" w:sz="8" w:color="auto"/>
            </w:tcBorders>
            <w:shd w:val="clear" w:color="auto" w:fill="B9D9EB"/>
          </w:tcPr>
          <w:p>
            <w:pPr>
              <w:spacing w:after="0"/>
              <w:rPr>
                <w:sz w:val="14"/>
                <w:szCs w:val="14"/>
                <w:color w:val="auto"/>
              </w:rPr>
            </w:pPr>
          </w:p>
        </w:tc>
        <w:tc>
          <w:tcPr>
            <w:tcW w:w="640" w:type="dxa"/>
            <w:vAlign w:val="bottom"/>
            <w:tcBorders>
              <w:bottom w:val="single" w:sz="8" w:color="auto"/>
            </w:tcBorders>
            <w:shd w:val="clear" w:color="auto" w:fill="B9D9EB"/>
          </w:tcPr>
          <w:p>
            <w:pPr>
              <w:spacing w:after="0"/>
              <w:rPr>
                <w:sz w:val="14"/>
                <w:szCs w:val="14"/>
                <w:color w:val="auto"/>
              </w:rPr>
            </w:pPr>
          </w:p>
        </w:tc>
        <w:tc>
          <w:tcPr>
            <w:tcW w:w="40" w:type="dxa"/>
            <w:vAlign w:val="bottom"/>
            <w:tcBorders>
              <w:bottom w:val="single" w:sz="8" w:color="auto"/>
            </w:tcBorders>
            <w:shd w:val="clear" w:color="auto" w:fill="B9D9EB"/>
          </w:tcPr>
          <w:p>
            <w:pPr>
              <w:spacing w:after="0"/>
              <w:rPr>
                <w:sz w:val="14"/>
                <w:szCs w:val="14"/>
                <w:color w:val="auto"/>
              </w:rPr>
            </w:pPr>
          </w:p>
        </w:tc>
        <w:tc>
          <w:tcPr>
            <w:tcW w:w="100" w:type="dxa"/>
            <w:vAlign w:val="bottom"/>
            <w:shd w:val="clear" w:color="auto" w:fill="B9D9EB"/>
          </w:tcPr>
          <w:p>
            <w:pPr>
              <w:spacing w:after="0"/>
              <w:rPr>
                <w:sz w:val="14"/>
                <w:szCs w:val="14"/>
                <w:color w:val="auto"/>
              </w:rPr>
            </w:pPr>
          </w:p>
        </w:tc>
        <w:tc>
          <w:tcPr>
            <w:tcW w:w="300" w:type="dxa"/>
            <w:vAlign w:val="bottom"/>
            <w:tcBorders>
              <w:bottom w:val="single" w:sz="8" w:color="auto"/>
            </w:tcBorders>
            <w:shd w:val="clear" w:color="auto" w:fill="B9D9EB"/>
          </w:tcPr>
          <w:p>
            <w:pPr>
              <w:spacing w:after="0"/>
              <w:rPr>
                <w:sz w:val="14"/>
                <w:szCs w:val="14"/>
                <w:color w:val="auto"/>
              </w:rPr>
            </w:pPr>
          </w:p>
        </w:tc>
        <w:tc>
          <w:tcPr>
            <w:tcW w:w="580" w:type="dxa"/>
            <w:vAlign w:val="bottom"/>
            <w:tcBorders>
              <w:bottom w:val="single" w:sz="8" w:color="auto"/>
            </w:tcBorders>
            <w:shd w:val="clear" w:color="auto" w:fill="B9D9EB"/>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500" w:type="dxa"/>
            <w:vAlign w:val="bottom"/>
          </w:tcPr>
          <w:p>
            <w:pPr>
              <w:spacing w:after="0" w:line="133" w:lineRule="exact"/>
              <w:rPr>
                <w:sz w:val="20"/>
                <w:szCs w:val="20"/>
                <w:color w:val="auto"/>
              </w:rPr>
            </w:pPr>
            <w:r>
              <w:rPr>
                <w:rFonts w:ascii="Arial" w:cs="Arial" w:eastAsia="Arial" w:hAnsi="Arial"/>
                <w:sz w:val="12"/>
                <w:szCs w:val="12"/>
                <w:color w:val="auto"/>
              </w:rPr>
              <w:t>Net income (loss)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4"/>
              <w:spacing w:after="0"/>
              <w:rPr>
                <w:sz w:val="20"/>
                <w:szCs w:val="20"/>
                <w:color w:val="auto"/>
              </w:rPr>
            </w:pPr>
            <w:r>
              <w:rPr>
                <w:rFonts w:ascii="Arial" w:cs="Arial" w:eastAsia="Arial" w:hAnsi="Arial"/>
                <w:sz w:val="12"/>
                <w:szCs w:val="12"/>
                <w:color w:val="auto"/>
              </w:rPr>
              <w:t>158,323</w:t>
            </w:r>
          </w:p>
        </w:tc>
        <w:tc>
          <w:tcPr>
            <w:tcW w:w="10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33,585</w:t>
            </w:r>
          </w:p>
        </w:tc>
        <w:tc>
          <w:tcPr>
            <w:tcW w:w="360" w:type="dxa"/>
            <w:vAlign w:val="bottom"/>
            <w:gridSpan w:val="3"/>
          </w:tcPr>
          <w:p>
            <w:pPr>
              <w:ind w:left="18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332,202</w:t>
            </w:r>
          </w:p>
        </w:tc>
        <w:tc>
          <w:tcPr>
            <w:tcW w:w="44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33,986</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Borders>
              <w:top w:val="single" w:sz="8" w:color="B9D9EB"/>
            </w:tcBorders>
            <w:shd w:val="clear" w:color="auto" w:fill="B9D9EB"/>
          </w:tcPr>
          <w:p>
            <w:pPr>
              <w:spacing w:after="0"/>
              <w:rPr>
                <w:sz w:val="20"/>
                <w:szCs w:val="20"/>
                <w:color w:val="auto"/>
              </w:rPr>
            </w:pPr>
            <w:r>
              <w:rPr>
                <w:rFonts w:ascii="Arial" w:cs="Arial" w:eastAsia="Arial" w:hAnsi="Arial"/>
                <w:sz w:val="12"/>
                <w:szCs w:val="12"/>
                <w:b w:val="1"/>
                <w:bCs w:val="1"/>
                <w:color w:val="auto"/>
              </w:rPr>
              <w:t>Denominator:</w:t>
            </w:r>
          </w:p>
        </w:tc>
        <w:tc>
          <w:tcPr>
            <w:tcW w:w="200" w:type="dxa"/>
            <w:vAlign w:val="bottom"/>
            <w:tcBorders>
              <w:top w:val="single" w:sz="8" w:color="auto"/>
            </w:tcBorders>
            <w:shd w:val="clear" w:color="auto" w:fill="B9D9EB"/>
          </w:tcPr>
          <w:p>
            <w:pPr>
              <w:spacing w:after="0"/>
              <w:rPr>
                <w:sz w:val="14"/>
                <w:szCs w:val="14"/>
                <w:color w:val="auto"/>
              </w:rPr>
            </w:pPr>
          </w:p>
        </w:tc>
        <w:tc>
          <w:tcPr>
            <w:tcW w:w="680" w:type="dxa"/>
            <w:vAlign w:val="bottom"/>
            <w:tcBorders>
              <w:top w:val="single" w:sz="8" w:color="auto"/>
            </w:tcBorders>
            <w:shd w:val="clear" w:color="auto" w:fill="B9D9EB"/>
          </w:tcPr>
          <w:p>
            <w:pPr>
              <w:spacing w:after="0"/>
              <w:rPr>
                <w:sz w:val="14"/>
                <w:szCs w:val="14"/>
                <w:color w:val="auto"/>
              </w:rPr>
            </w:pPr>
          </w:p>
        </w:tc>
        <w:tc>
          <w:tcPr>
            <w:tcW w:w="100" w:type="dxa"/>
            <w:vAlign w:val="bottom"/>
            <w:tcBorders>
              <w:top w:val="single" w:sz="8" w:color="B9D9EB"/>
            </w:tcBorders>
            <w:shd w:val="clear" w:color="auto" w:fill="B9D9EB"/>
          </w:tcPr>
          <w:p>
            <w:pPr>
              <w:spacing w:after="0"/>
              <w:rPr>
                <w:sz w:val="14"/>
                <w:szCs w:val="14"/>
                <w:color w:val="auto"/>
              </w:rPr>
            </w:pPr>
          </w:p>
        </w:tc>
        <w:tc>
          <w:tcPr>
            <w:tcW w:w="300" w:type="dxa"/>
            <w:vAlign w:val="bottom"/>
            <w:tcBorders>
              <w:top w:val="single" w:sz="8" w:color="auto"/>
            </w:tcBorders>
            <w:shd w:val="clear" w:color="auto" w:fill="B9D9EB"/>
          </w:tcPr>
          <w:p>
            <w:pPr>
              <w:spacing w:after="0"/>
              <w:rPr>
                <w:sz w:val="14"/>
                <w:szCs w:val="14"/>
                <w:color w:val="auto"/>
              </w:rPr>
            </w:pPr>
          </w:p>
        </w:tc>
        <w:tc>
          <w:tcPr>
            <w:tcW w:w="500" w:type="dxa"/>
            <w:vAlign w:val="bottom"/>
            <w:tcBorders>
              <w:top w:val="single" w:sz="8" w:color="auto"/>
            </w:tcBorders>
            <w:shd w:val="clear" w:color="auto" w:fill="B9D9EB"/>
          </w:tcPr>
          <w:p>
            <w:pPr>
              <w:spacing w:after="0"/>
              <w:rPr>
                <w:sz w:val="14"/>
                <w:szCs w:val="14"/>
                <w:color w:val="auto"/>
              </w:rPr>
            </w:pPr>
          </w:p>
        </w:tc>
        <w:tc>
          <w:tcPr>
            <w:tcW w:w="60" w:type="dxa"/>
            <w:vAlign w:val="bottom"/>
            <w:tcBorders>
              <w:top w:val="single" w:sz="8" w:color="auto"/>
            </w:tcBorders>
            <w:shd w:val="clear" w:color="auto" w:fill="B9D9EB"/>
          </w:tcPr>
          <w:p>
            <w:pPr>
              <w:spacing w:after="0"/>
              <w:rPr>
                <w:sz w:val="14"/>
                <w:szCs w:val="14"/>
                <w:color w:val="auto"/>
              </w:rPr>
            </w:pPr>
          </w:p>
        </w:tc>
        <w:tc>
          <w:tcPr>
            <w:tcW w:w="100" w:type="dxa"/>
            <w:vAlign w:val="bottom"/>
            <w:tcBorders>
              <w:top w:val="single" w:sz="8" w:color="B9D9EB"/>
            </w:tcBorders>
            <w:shd w:val="clear" w:color="auto" w:fill="B9D9EB"/>
          </w:tcPr>
          <w:p>
            <w:pPr>
              <w:spacing w:after="0"/>
              <w:rPr>
                <w:sz w:val="14"/>
                <w:szCs w:val="14"/>
                <w:color w:val="auto"/>
              </w:rPr>
            </w:pPr>
          </w:p>
        </w:tc>
        <w:tc>
          <w:tcPr>
            <w:tcW w:w="200" w:type="dxa"/>
            <w:vAlign w:val="bottom"/>
            <w:tcBorders>
              <w:top w:val="single" w:sz="8" w:color="auto"/>
            </w:tcBorders>
            <w:shd w:val="clear" w:color="auto" w:fill="B9D9EB"/>
          </w:tcPr>
          <w:p>
            <w:pPr>
              <w:spacing w:after="0"/>
              <w:rPr>
                <w:sz w:val="14"/>
                <w:szCs w:val="14"/>
                <w:color w:val="auto"/>
              </w:rPr>
            </w:pPr>
          </w:p>
        </w:tc>
        <w:tc>
          <w:tcPr>
            <w:tcW w:w="640" w:type="dxa"/>
            <w:vAlign w:val="bottom"/>
            <w:tcBorders>
              <w:top w:val="single" w:sz="8" w:color="auto"/>
            </w:tcBorders>
            <w:shd w:val="clear" w:color="auto" w:fill="B9D9EB"/>
          </w:tcPr>
          <w:p>
            <w:pPr>
              <w:spacing w:after="0"/>
              <w:rPr>
                <w:sz w:val="14"/>
                <w:szCs w:val="14"/>
                <w:color w:val="auto"/>
              </w:rPr>
            </w:pPr>
          </w:p>
        </w:tc>
        <w:tc>
          <w:tcPr>
            <w:tcW w:w="40" w:type="dxa"/>
            <w:vAlign w:val="bottom"/>
            <w:tcBorders>
              <w:top w:val="single" w:sz="8" w:color="auto"/>
            </w:tcBorders>
            <w:shd w:val="clear" w:color="auto" w:fill="B9D9EB"/>
          </w:tcPr>
          <w:p>
            <w:pPr>
              <w:spacing w:after="0"/>
              <w:rPr>
                <w:sz w:val="14"/>
                <w:szCs w:val="14"/>
                <w:color w:val="auto"/>
              </w:rPr>
            </w:pPr>
          </w:p>
        </w:tc>
        <w:tc>
          <w:tcPr>
            <w:tcW w:w="100" w:type="dxa"/>
            <w:vAlign w:val="bottom"/>
            <w:tcBorders>
              <w:top w:val="single" w:sz="8" w:color="B9D9EB"/>
            </w:tcBorders>
            <w:shd w:val="clear" w:color="auto" w:fill="B9D9EB"/>
          </w:tcPr>
          <w:p>
            <w:pPr>
              <w:spacing w:after="0"/>
              <w:rPr>
                <w:sz w:val="14"/>
                <w:szCs w:val="14"/>
                <w:color w:val="auto"/>
              </w:rPr>
            </w:pPr>
          </w:p>
        </w:tc>
        <w:tc>
          <w:tcPr>
            <w:tcW w:w="300" w:type="dxa"/>
            <w:vAlign w:val="bottom"/>
            <w:tcBorders>
              <w:top w:val="single" w:sz="8" w:color="auto"/>
            </w:tcBorders>
            <w:shd w:val="clear" w:color="auto" w:fill="B9D9EB"/>
          </w:tcPr>
          <w:p>
            <w:pPr>
              <w:spacing w:after="0"/>
              <w:rPr>
                <w:sz w:val="14"/>
                <w:szCs w:val="14"/>
                <w:color w:val="auto"/>
              </w:rPr>
            </w:pPr>
          </w:p>
        </w:tc>
        <w:tc>
          <w:tcPr>
            <w:tcW w:w="580" w:type="dxa"/>
            <w:vAlign w:val="bottom"/>
            <w:tcBorders>
              <w:top w:val="single" w:sz="8" w:color="auto"/>
            </w:tcBorders>
            <w:shd w:val="clear" w:color="auto" w:fill="B9D9EB"/>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20"/>
                <w:szCs w:val="20"/>
                <w:color w:val="auto"/>
              </w:rPr>
            </w:pPr>
            <w:r>
              <w:rPr>
                <w:rFonts w:ascii="Arial" w:cs="Arial" w:eastAsia="Arial" w:hAnsi="Arial"/>
                <w:sz w:val="12"/>
                <w:szCs w:val="12"/>
                <w:color w:val="auto"/>
              </w:rPr>
              <w:t>Weighted average shares outstanding - basic</w:t>
            </w:r>
          </w:p>
        </w:tc>
        <w:tc>
          <w:tcPr>
            <w:tcW w:w="20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Arial" w:cs="Arial" w:eastAsia="Arial" w:hAnsi="Arial"/>
                <w:sz w:val="12"/>
                <w:szCs w:val="12"/>
                <w:color w:val="auto"/>
              </w:rPr>
              <w:t>139,400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70,318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137,478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69,260</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00" w:type="dxa"/>
            <w:vAlign w:val="bottom"/>
            <w:shd w:val="clear" w:color="auto" w:fill="B9D9EB"/>
          </w:tcPr>
          <w:p>
            <w:pPr>
              <w:ind w:left="80"/>
              <w:spacing w:after="0"/>
              <w:rPr>
                <w:sz w:val="20"/>
                <w:szCs w:val="20"/>
                <w:color w:val="auto"/>
              </w:rPr>
            </w:pPr>
            <w:r>
              <w:rPr>
                <w:rFonts w:ascii="Arial" w:cs="Arial" w:eastAsia="Arial" w:hAnsi="Arial"/>
                <w:sz w:val="12"/>
                <w:szCs w:val="12"/>
                <w:color w:val="auto"/>
              </w:rPr>
              <w:t>Dilutive effect of share-based awards</w:t>
            </w:r>
          </w:p>
        </w:tc>
        <w:tc>
          <w:tcPr>
            <w:tcW w:w="200" w:type="dxa"/>
            <w:vAlign w:val="bottom"/>
            <w:shd w:val="clear" w:color="auto" w:fill="B9D9EB"/>
          </w:tcPr>
          <w:p>
            <w:pPr>
              <w:spacing w:after="0"/>
              <w:rPr>
                <w:sz w:val="15"/>
                <w:szCs w:val="15"/>
                <w:color w:val="auto"/>
              </w:rPr>
            </w:pPr>
          </w:p>
        </w:tc>
        <w:tc>
          <w:tcPr>
            <w:tcW w:w="680" w:type="dxa"/>
            <w:vAlign w:val="bottom"/>
            <w:shd w:val="clear" w:color="auto" w:fill="B9D9EB"/>
          </w:tcPr>
          <w:p>
            <w:pPr>
              <w:jc w:val="right"/>
              <w:ind w:right="4"/>
              <w:spacing w:after="0"/>
              <w:rPr>
                <w:sz w:val="20"/>
                <w:szCs w:val="20"/>
                <w:color w:val="auto"/>
              </w:rPr>
            </w:pPr>
            <w:r>
              <w:rPr>
                <w:rFonts w:ascii="Arial" w:cs="Arial" w:eastAsia="Arial" w:hAnsi="Arial"/>
                <w:sz w:val="12"/>
                <w:szCs w:val="12"/>
                <w:color w:val="auto"/>
              </w:rPr>
              <w:t>3,204</w:t>
            </w:r>
          </w:p>
        </w:tc>
        <w:tc>
          <w:tcPr>
            <w:tcW w:w="100" w:type="dxa"/>
            <w:vAlign w:val="bottom"/>
            <w:shd w:val="clear" w:color="auto" w:fill="B9D9EB"/>
          </w:tcPr>
          <w:p>
            <w:pPr>
              <w:spacing w:after="0"/>
              <w:rPr>
                <w:sz w:val="15"/>
                <w:szCs w:val="15"/>
                <w:color w:val="auto"/>
              </w:rPr>
            </w:pPr>
          </w:p>
        </w:tc>
        <w:tc>
          <w:tcPr>
            <w:tcW w:w="300" w:type="dxa"/>
            <w:vAlign w:val="bottom"/>
            <w:shd w:val="clear" w:color="auto" w:fill="B9D9EB"/>
          </w:tcPr>
          <w:p>
            <w:pPr>
              <w:spacing w:after="0"/>
              <w:rPr>
                <w:sz w:val="15"/>
                <w:szCs w:val="15"/>
                <w:color w:val="auto"/>
              </w:rPr>
            </w:pPr>
          </w:p>
        </w:tc>
        <w:tc>
          <w:tcPr>
            <w:tcW w:w="5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3,388</w:t>
            </w:r>
          </w:p>
        </w:tc>
        <w:tc>
          <w:tcPr>
            <w:tcW w:w="60" w:type="dxa"/>
            <w:vAlign w:val="bottom"/>
            <w:shd w:val="clear" w:color="auto" w:fill="B9D9EB"/>
          </w:tcPr>
          <w:p>
            <w:pPr>
              <w:spacing w:after="0"/>
              <w:rPr>
                <w:sz w:val="15"/>
                <w:szCs w:val="15"/>
                <w:color w:val="auto"/>
              </w:rPr>
            </w:pPr>
          </w:p>
        </w:tc>
        <w:tc>
          <w:tcPr>
            <w:tcW w:w="100" w:type="dxa"/>
            <w:vAlign w:val="bottom"/>
            <w:shd w:val="clear" w:color="auto" w:fill="B9D9EB"/>
          </w:tcPr>
          <w:p>
            <w:pPr>
              <w:spacing w:after="0"/>
              <w:rPr>
                <w:sz w:val="15"/>
                <w:szCs w:val="15"/>
                <w:color w:val="auto"/>
              </w:rPr>
            </w:pPr>
          </w:p>
        </w:tc>
        <w:tc>
          <w:tcPr>
            <w:tcW w:w="200" w:type="dxa"/>
            <w:vAlign w:val="bottom"/>
            <w:shd w:val="clear" w:color="auto" w:fill="B9D9EB"/>
          </w:tcPr>
          <w:p>
            <w:pPr>
              <w:spacing w:after="0"/>
              <w:rPr>
                <w:sz w:val="15"/>
                <w:szCs w:val="15"/>
                <w:color w:val="auto"/>
              </w:rPr>
            </w:pPr>
          </w:p>
        </w:tc>
        <w:tc>
          <w:tcPr>
            <w:tcW w:w="640" w:type="dxa"/>
            <w:vAlign w:val="bottom"/>
            <w:shd w:val="clear" w:color="auto" w:fill="B9D9EB"/>
          </w:tcPr>
          <w:p>
            <w:pPr>
              <w:jc w:val="right"/>
              <w:spacing w:after="0"/>
              <w:rPr>
                <w:sz w:val="20"/>
                <w:szCs w:val="20"/>
                <w:color w:val="auto"/>
              </w:rPr>
            </w:pPr>
            <w:r>
              <w:rPr>
                <w:rFonts w:ascii="Arial" w:cs="Arial" w:eastAsia="Arial" w:hAnsi="Arial"/>
                <w:sz w:val="12"/>
                <w:szCs w:val="12"/>
                <w:color w:val="auto"/>
              </w:rPr>
              <w:t>3,204</w:t>
            </w:r>
          </w:p>
        </w:tc>
        <w:tc>
          <w:tcPr>
            <w:tcW w:w="40" w:type="dxa"/>
            <w:vAlign w:val="bottom"/>
            <w:shd w:val="clear" w:color="auto" w:fill="B9D9EB"/>
          </w:tcPr>
          <w:p>
            <w:pPr>
              <w:spacing w:after="0"/>
              <w:rPr>
                <w:sz w:val="15"/>
                <w:szCs w:val="15"/>
                <w:color w:val="auto"/>
              </w:rPr>
            </w:pPr>
          </w:p>
        </w:tc>
        <w:tc>
          <w:tcPr>
            <w:tcW w:w="100" w:type="dxa"/>
            <w:vAlign w:val="bottom"/>
            <w:shd w:val="clear" w:color="auto" w:fill="B9D9EB"/>
          </w:tcPr>
          <w:p>
            <w:pPr>
              <w:spacing w:after="0"/>
              <w:rPr>
                <w:sz w:val="15"/>
                <w:szCs w:val="15"/>
                <w:color w:val="auto"/>
              </w:rPr>
            </w:pPr>
          </w:p>
        </w:tc>
        <w:tc>
          <w:tcPr>
            <w:tcW w:w="300" w:type="dxa"/>
            <w:vAlign w:val="bottom"/>
            <w:shd w:val="clear" w:color="auto" w:fill="B9D9EB"/>
          </w:tcPr>
          <w:p>
            <w:pPr>
              <w:spacing w:after="0"/>
              <w:rPr>
                <w:sz w:val="15"/>
                <w:szCs w:val="15"/>
                <w:color w:val="auto"/>
              </w:rPr>
            </w:pPr>
          </w:p>
        </w:tc>
        <w:tc>
          <w:tcPr>
            <w:tcW w:w="58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3,388</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00" w:type="dxa"/>
            <w:vAlign w:val="bottom"/>
            <w:tcBorders>
              <w:bottom w:val="single" w:sz="8" w:color="B9D9EB"/>
            </w:tcBorders>
          </w:tcPr>
          <w:p>
            <w:pPr>
              <w:ind w:left="80"/>
              <w:spacing w:after="0"/>
              <w:rPr>
                <w:sz w:val="20"/>
                <w:szCs w:val="20"/>
                <w:color w:val="auto"/>
              </w:rPr>
            </w:pPr>
            <w:r>
              <w:rPr>
                <w:rFonts w:ascii="Arial" w:cs="Arial" w:eastAsia="Arial" w:hAnsi="Arial"/>
                <w:sz w:val="12"/>
                <w:szCs w:val="12"/>
                <w:color w:val="auto"/>
              </w:rPr>
              <w:t>Dilutive effect of warrants</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3,117</w:t>
            </w:r>
          </w:p>
        </w:tc>
        <w:tc>
          <w:tcPr>
            <w:tcW w:w="100" w:type="dxa"/>
            <w:vAlign w:val="bottom"/>
            <w:tcBorders>
              <w:bottom w:val="single" w:sz="8" w:color="B9D9EB"/>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B9D9E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4,339</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B9D9EB"/>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8,718</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500" w:type="dxa"/>
            <w:vAlign w:val="bottom"/>
            <w:shd w:val="clear" w:color="auto" w:fill="B9D9EB"/>
          </w:tcPr>
          <w:p>
            <w:pPr>
              <w:spacing w:after="0" w:line="97" w:lineRule="exact"/>
              <w:rPr>
                <w:sz w:val="20"/>
                <w:szCs w:val="20"/>
                <w:color w:val="auto"/>
              </w:rPr>
            </w:pPr>
            <w:r>
              <w:rPr>
                <w:rFonts w:ascii="Arial" w:cs="Arial" w:eastAsia="Arial" w:hAnsi="Arial"/>
                <w:sz w:val="11"/>
                <w:szCs w:val="11"/>
                <w:color w:val="auto"/>
              </w:rPr>
              <w:t>Weighted average shares outstanding -</w:t>
            </w:r>
          </w:p>
        </w:tc>
        <w:tc>
          <w:tcPr>
            <w:tcW w:w="200" w:type="dxa"/>
            <w:vAlign w:val="bottom"/>
            <w:shd w:val="clear" w:color="auto" w:fill="B9D9EB"/>
          </w:tcPr>
          <w:p>
            <w:pPr>
              <w:spacing w:after="0"/>
              <w:rPr>
                <w:sz w:val="8"/>
                <w:szCs w:val="8"/>
                <w:color w:val="auto"/>
              </w:rPr>
            </w:pPr>
          </w:p>
        </w:tc>
        <w:tc>
          <w:tcPr>
            <w:tcW w:w="680" w:type="dxa"/>
            <w:vAlign w:val="bottom"/>
            <w:vMerge w:val="restart"/>
            <w:shd w:val="clear" w:color="auto" w:fill="B9D9EB"/>
          </w:tcPr>
          <w:p>
            <w:pPr>
              <w:jc w:val="right"/>
              <w:ind w:right="4"/>
              <w:spacing w:after="0"/>
              <w:rPr>
                <w:sz w:val="20"/>
                <w:szCs w:val="20"/>
                <w:color w:val="auto"/>
              </w:rPr>
            </w:pPr>
            <w:r>
              <w:rPr>
                <w:rFonts w:ascii="Arial" w:cs="Arial" w:eastAsia="Arial" w:hAnsi="Arial"/>
                <w:sz w:val="12"/>
                <w:szCs w:val="12"/>
                <w:color w:val="auto"/>
              </w:rPr>
              <w:t>145,721</w:t>
            </w:r>
          </w:p>
        </w:tc>
        <w:tc>
          <w:tcPr>
            <w:tcW w:w="100" w:type="dxa"/>
            <w:vAlign w:val="bottom"/>
            <w:shd w:val="clear" w:color="auto" w:fill="B9D9EB"/>
          </w:tcPr>
          <w:p>
            <w:pPr>
              <w:spacing w:after="0"/>
              <w:rPr>
                <w:sz w:val="8"/>
                <w:szCs w:val="8"/>
                <w:color w:val="auto"/>
              </w:rPr>
            </w:pPr>
          </w:p>
        </w:tc>
        <w:tc>
          <w:tcPr>
            <w:tcW w:w="300" w:type="dxa"/>
            <w:vAlign w:val="bottom"/>
            <w:shd w:val="clear" w:color="auto" w:fill="B9D9EB"/>
          </w:tcPr>
          <w:p>
            <w:pPr>
              <w:spacing w:after="0"/>
              <w:rPr>
                <w:sz w:val="8"/>
                <w:szCs w:val="8"/>
                <w:color w:val="auto"/>
              </w:rPr>
            </w:pPr>
          </w:p>
        </w:tc>
        <w:tc>
          <w:tcPr>
            <w:tcW w:w="50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81,926</w:t>
            </w:r>
          </w:p>
        </w:tc>
        <w:tc>
          <w:tcPr>
            <w:tcW w:w="60" w:type="dxa"/>
            <w:vAlign w:val="bottom"/>
            <w:shd w:val="clear" w:color="auto" w:fill="B9D9EB"/>
          </w:tcPr>
          <w:p>
            <w:pPr>
              <w:spacing w:after="0"/>
              <w:rPr>
                <w:sz w:val="8"/>
                <w:szCs w:val="8"/>
                <w:color w:val="auto"/>
              </w:rPr>
            </w:pPr>
          </w:p>
        </w:tc>
        <w:tc>
          <w:tcPr>
            <w:tcW w:w="100" w:type="dxa"/>
            <w:vAlign w:val="bottom"/>
            <w:shd w:val="clear" w:color="auto" w:fill="B9D9EB"/>
          </w:tcPr>
          <w:p>
            <w:pPr>
              <w:spacing w:after="0"/>
              <w:rPr>
                <w:sz w:val="8"/>
                <w:szCs w:val="8"/>
                <w:color w:val="auto"/>
              </w:rPr>
            </w:pPr>
          </w:p>
        </w:tc>
        <w:tc>
          <w:tcPr>
            <w:tcW w:w="200" w:type="dxa"/>
            <w:vAlign w:val="bottom"/>
            <w:shd w:val="clear" w:color="auto" w:fill="B9D9EB"/>
          </w:tcPr>
          <w:p>
            <w:pPr>
              <w:spacing w:after="0"/>
              <w:rPr>
                <w:sz w:val="8"/>
                <w:szCs w:val="8"/>
                <w:color w:val="auto"/>
              </w:rPr>
            </w:pPr>
          </w:p>
        </w:tc>
        <w:tc>
          <w:tcPr>
            <w:tcW w:w="64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145,021</w:t>
            </w:r>
          </w:p>
        </w:tc>
        <w:tc>
          <w:tcPr>
            <w:tcW w:w="40" w:type="dxa"/>
            <w:vAlign w:val="bottom"/>
            <w:shd w:val="clear" w:color="auto" w:fill="B9D9EB"/>
          </w:tcPr>
          <w:p>
            <w:pPr>
              <w:spacing w:after="0"/>
              <w:rPr>
                <w:sz w:val="8"/>
                <w:szCs w:val="8"/>
                <w:color w:val="auto"/>
              </w:rPr>
            </w:pPr>
          </w:p>
        </w:tc>
        <w:tc>
          <w:tcPr>
            <w:tcW w:w="100" w:type="dxa"/>
            <w:vAlign w:val="bottom"/>
            <w:shd w:val="clear" w:color="auto" w:fill="B9D9EB"/>
          </w:tcPr>
          <w:p>
            <w:pPr>
              <w:spacing w:after="0"/>
              <w:rPr>
                <w:sz w:val="8"/>
                <w:szCs w:val="8"/>
                <w:color w:val="auto"/>
              </w:rPr>
            </w:pPr>
          </w:p>
        </w:tc>
        <w:tc>
          <w:tcPr>
            <w:tcW w:w="300" w:type="dxa"/>
            <w:vAlign w:val="bottom"/>
            <w:shd w:val="clear" w:color="auto" w:fill="B9D9EB"/>
          </w:tcPr>
          <w:p>
            <w:pPr>
              <w:spacing w:after="0"/>
              <w:rPr>
                <w:sz w:val="8"/>
                <w:szCs w:val="8"/>
                <w:color w:val="auto"/>
              </w:rPr>
            </w:pPr>
          </w:p>
        </w:tc>
        <w:tc>
          <w:tcPr>
            <w:tcW w:w="580" w:type="dxa"/>
            <w:vAlign w:val="bottom"/>
            <w:vMerge w:val="restart"/>
            <w:shd w:val="clear" w:color="auto" w:fill="B9D9EB"/>
          </w:tcPr>
          <w:p>
            <w:pPr>
              <w:jc w:val="right"/>
              <w:ind w:right="2"/>
              <w:spacing w:after="0"/>
              <w:rPr>
                <w:sz w:val="20"/>
                <w:szCs w:val="20"/>
                <w:color w:val="auto"/>
              </w:rPr>
            </w:pPr>
            <w:r>
              <w:rPr>
                <w:rFonts w:ascii="Arial" w:cs="Arial" w:eastAsia="Arial" w:hAnsi="Arial"/>
                <w:sz w:val="12"/>
                <w:szCs w:val="12"/>
                <w:color w:val="auto"/>
              </w:rPr>
              <w:t>81,366</w:t>
            </w: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500" w:type="dxa"/>
            <w:vAlign w:val="bottom"/>
            <w:tcBorders>
              <w:bottom w:val="single" w:sz="8" w:color="B9D9EB"/>
            </w:tcBorders>
            <w:shd w:val="clear" w:color="auto" w:fill="B9D9EB"/>
          </w:tcPr>
          <w:p>
            <w:pPr>
              <w:spacing w:after="0"/>
              <w:rPr>
                <w:sz w:val="20"/>
                <w:szCs w:val="20"/>
                <w:color w:val="auto"/>
              </w:rPr>
            </w:pPr>
            <w:r>
              <w:rPr>
                <w:rFonts w:ascii="Arial" w:cs="Arial" w:eastAsia="Arial" w:hAnsi="Arial"/>
                <w:sz w:val="12"/>
                <w:szCs w:val="12"/>
                <w:color w:val="auto"/>
              </w:rPr>
              <w:t>diluted</w:t>
            </w:r>
          </w:p>
        </w:tc>
        <w:tc>
          <w:tcPr>
            <w:tcW w:w="200" w:type="dxa"/>
            <w:vAlign w:val="bottom"/>
            <w:tcBorders>
              <w:bottom w:val="single" w:sz="8" w:color="auto"/>
            </w:tcBorders>
            <w:shd w:val="clear" w:color="auto" w:fill="B9D9EB"/>
          </w:tcPr>
          <w:p>
            <w:pPr>
              <w:spacing w:after="0"/>
              <w:rPr>
                <w:sz w:val="14"/>
                <w:szCs w:val="14"/>
                <w:color w:val="auto"/>
              </w:rPr>
            </w:pPr>
          </w:p>
        </w:tc>
        <w:tc>
          <w:tcPr>
            <w:tcW w:w="680" w:type="dxa"/>
            <w:vAlign w:val="bottom"/>
            <w:tcBorders>
              <w:bottom w:val="single" w:sz="8" w:color="auto"/>
            </w:tcBorders>
            <w:vMerge w:val="continue"/>
            <w:shd w:val="clear" w:color="auto" w:fill="B9D9EB"/>
          </w:tcPr>
          <w:p>
            <w:pPr>
              <w:spacing w:after="0"/>
              <w:rPr>
                <w:sz w:val="14"/>
                <w:szCs w:val="14"/>
                <w:color w:val="auto"/>
              </w:rPr>
            </w:pPr>
          </w:p>
        </w:tc>
        <w:tc>
          <w:tcPr>
            <w:tcW w:w="100" w:type="dxa"/>
            <w:vAlign w:val="bottom"/>
            <w:tcBorders>
              <w:bottom w:val="single" w:sz="8" w:color="B9D9EB"/>
            </w:tcBorders>
            <w:shd w:val="clear" w:color="auto" w:fill="B9D9EB"/>
          </w:tcPr>
          <w:p>
            <w:pPr>
              <w:spacing w:after="0"/>
              <w:rPr>
                <w:sz w:val="14"/>
                <w:szCs w:val="14"/>
                <w:color w:val="auto"/>
              </w:rPr>
            </w:pPr>
          </w:p>
        </w:tc>
        <w:tc>
          <w:tcPr>
            <w:tcW w:w="300" w:type="dxa"/>
            <w:vAlign w:val="bottom"/>
            <w:tcBorders>
              <w:bottom w:val="single" w:sz="8" w:color="auto"/>
            </w:tcBorders>
            <w:shd w:val="clear" w:color="auto" w:fill="B9D9EB"/>
          </w:tcPr>
          <w:p>
            <w:pPr>
              <w:spacing w:after="0"/>
              <w:rPr>
                <w:sz w:val="14"/>
                <w:szCs w:val="14"/>
                <w:color w:val="auto"/>
              </w:rPr>
            </w:pPr>
          </w:p>
        </w:tc>
        <w:tc>
          <w:tcPr>
            <w:tcW w:w="500" w:type="dxa"/>
            <w:vAlign w:val="bottom"/>
            <w:tcBorders>
              <w:bottom w:val="single" w:sz="8" w:color="auto"/>
            </w:tcBorders>
            <w:vMerge w:val="continue"/>
            <w:shd w:val="clear" w:color="auto" w:fill="B9D9EB"/>
          </w:tcPr>
          <w:p>
            <w:pPr>
              <w:spacing w:after="0"/>
              <w:rPr>
                <w:sz w:val="14"/>
                <w:szCs w:val="14"/>
                <w:color w:val="auto"/>
              </w:rPr>
            </w:pPr>
          </w:p>
        </w:tc>
        <w:tc>
          <w:tcPr>
            <w:tcW w:w="60" w:type="dxa"/>
            <w:vAlign w:val="bottom"/>
            <w:tcBorders>
              <w:bottom w:val="single" w:sz="8" w:color="auto"/>
            </w:tcBorders>
            <w:shd w:val="clear" w:color="auto" w:fill="B9D9EB"/>
          </w:tcPr>
          <w:p>
            <w:pPr>
              <w:spacing w:after="0"/>
              <w:rPr>
                <w:sz w:val="14"/>
                <w:szCs w:val="14"/>
                <w:color w:val="auto"/>
              </w:rPr>
            </w:pPr>
          </w:p>
        </w:tc>
        <w:tc>
          <w:tcPr>
            <w:tcW w:w="100" w:type="dxa"/>
            <w:vAlign w:val="bottom"/>
            <w:tcBorders>
              <w:bottom w:val="single" w:sz="8" w:color="B9D9EB"/>
            </w:tcBorders>
            <w:shd w:val="clear" w:color="auto" w:fill="B9D9EB"/>
          </w:tcPr>
          <w:p>
            <w:pPr>
              <w:spacing w:after="0"/>
              <w:rPr>
                <w:sz w:val="14"/>
                <w:szCs w:val="14"/>
                <w:color w:val="auto"/>
              </w:rPr>
            </w:pPr>
          </w:p>
        </w:tc>
        <w:tc>
          <w:tcPr>
            <w:tcW w:w="200" w:type="dxa"/>
            <w:vAlign w:val="bottom"/>
            <w:tcBorders>
              <w:bottom w:val="single" w:sz="8" w:color="auto"/>
            </w:tcBorders>
            <w:shd w:val="clear" w:color="auto" w:fill="B9D9EB"/>
          </w:tcPr>
          <w:p>
            <w:pPr>
              <w:spacing w:after="0"/>
              <w:rPr>
                <w:sz w:val="14"/>
                <w:szCs w:val="14"/>
                <w:color w:val="auto"/>
              </w:rPr>
            </w:pPr>
          </w:p>
        </w:tc>
        <w:tc>
          <w:tcPr>
            <w:tcW w:w="640" w:type="dxa"/>
            <w:vAlign w:val="bottom"/>
            <w:tcBorders>
              <w:bottom w:val="single" w:sz="8" w:color="auto"/>
            </w:tcBorders>
            <w:vMerge w:val="continue"/>
            <w:shd w:val="clear" w:color="auto" w:fill="B9D9EB"/>
          </w:tcPr>
          <w:p>
            <w:pPr>
              <w:spacing w:after="0"/>
              <w:rPr>
                <w:sz w:val="14"/>
                <w:szCs w:val="14"/>
                <w:color w:val="auto"/>
              </w:rPr>
            </w:pPr>
          </w:p>
        </w:tc>
        <w:tc>
          <w:tcPr>
            <w:tcW w:w="40" w:type="dxa"/>
            <w:vAlign w:val="bottom"/>
            <w:tcBorders>
              <w:bottom w:val="single" w:sz="8" w:color="auto"/>
            </w:tcBorders>
            <w:shd w:val="clear" w:color="auto" w:fill="B9D9EB"/>
          </w:tcPr>
          <w:p>
            <w:pPr>
              <w:spacing w:after="0"/>
              <w:rPr>
                <w:sz w:val="14"/>
                <w:szCs w:val="14"/>
                <w:color w:val="auto"/>
              </w:rPr>
            </w:pPr>
          </w:p>
        </w:tc>
        <w:tc>
          <w:tcPr>
            <w:tcW w:w="100" w:type="dxa"/>
            <w:vAlign w:val="bottom"/>
            <w:tcBorders>
              <w:bottom w:val="single" w:sz="8" w:color="B9D9EB"/>
            </w:tcBorders>
            <w:shd w:val="clear" w:color="auto" w:fill="B9D9EB"/>
          </w:tcPr>
          <w:p>
            <w:pPr>
              <w:spacing w:after="0"/>
              <w:rPr>
                <w:sz w:val="14"/>
                <w:szCs w:val="14"/>
                <w:color w:val="auto"/>
              </w:rPr>
            </w:pPr>
          </w:p>
        </w:tc>
        <w:tc>
          <w:tcPr>
            <w:tcW w:w="300" w:type="dxa"/>
            <w:vAlign w:val="bottom"/>
            <w:tcBorders>
              <w:bottom w:val="single" w:sz="8" w:color="auto"/>
            </w:tcBorders>
            <w:shd w:val="clear" w:color="auto" w:fill="B9D9EB"/>
          </w:tcPr>
          <w:p>
            <w:pPr>
              <w:spacing w:after="0"/>
              <w:rPr>
                <w:sz w:val="14"/>
                <w:szCs w:val="14"/>
                <w:color w:val="auto"/>
              </w:rPr>
            </w:pPr>
          </w:p>
        </w:tc>
        <w:tc>
          <w:tcPr>
            <w:tcW w:w="580" w:type="dxa"/>
            <w:vAlign w:val="bottom"/>
            <w:tcBorders>
              <w:bottom w:val="single" w:sz="8" w:color="auto"/>
            </w:tcBorders>
            <w:vMerge w:val="continue"/>
            <w:shd w:val="clear" w:color="auto" w:fill="B9D9EB"/>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500" w:type="dxa"/>
            <w:vAlign w:val="bottom"/>
          </w:tcPr>
          <w:p>
            <w:pPr>
              <w:spacing w:after="0"/>
              <w:rPr>
                <w:sz w:val="20"/>
                <w:szCs w:val="20"/>
                <w:color w:val="auto"/>
              </w:rPr>
            </w:pPr>
            <w:r>
              <w:rPr>
                <w:rFonts w:ascii="Arial" w:cs="Arial" w:eastAsia="Arial" w:hAnsi="Arial"/>
                <w:sz w:val="12"/>
                <w:szCs w:val="12"/>
                <w:b w:val="1"/>
                <w:bCs w:val="1"/>
                <w:color w:val="auto"/>
              </w:rPr>
              <w:t>Per share data</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500" w:type="dxa"/>
            <w:vAlign w:val="bottom"/>
            <w:shd w:val="clear" w:color="auto" w:fill="B9D9EB"/>
          </w:tcPr>
          <w:p>
            <w:pPr>
              <w:spacing w:after="0"/>
              <w:rPr>
                <w:sz w:val="20"/>
                <w:szCs w:val="20"/>
                <w:color w:val="auto"/>
              </w:rPr>
            </w:pPr>
            <w:r>
              <w:rPr>
                <w:rFonts w:ascii="Arial" w:cs="Arial" w:eastAsia="Arial" w:hAnsi="Arial"/>
                <w:sz w:val="12"/>
                <w:szCs w:val="12"/>
                <w:b w:val="1"/>
                <w:bCs w:val="1"/>
                <w:color w:val="auto"/>
              </w:rPr>
              <w:t>Basic:</w:t>
            </w:r>
          </w:p>
        </w:tc>
        <w:tc>
          <w:tcPr>
            <w:tcW w:w="200" w:type="dxa"/>
            <w:vAlign w:val="bottom"/>
            <w:shd w:val="clear" w:color="auto" w:fill="B9D9EB"/>
          </w:tcPr>
          <w:p>
            <w:pPr>
              <w:spacing w:after="0"/>
              <w:rPr>
                <w:sz w:val="16"/>
                <w:szCs w:val="16"/>
                <w:color w:val="auto"/>
              </w:rPr>
            </w:pPr>
          </w:p>
        </w:tc>
        <w:tc>
          <w:tcPr>
            <w:tcW w:w="680" w:type="dxa"/>
            <w:vAlign w:val="bottom"/>
            <w:shd w:val="clear" w:color="auto" w:fill="B9D9EB"/>
          </w:tcPr>
          <w:p>
            <w:pPr>
              <w:spacing w:after="0"/>
              <w:rPr>
                <w:sz w:val="16"/>
                <w:szCs w:val="16"/>
                <w:color w:val="auto"/>
              </w:rPr>
            </w:pPr>
          </w:p>
        </w:tc>
        <w:tc>
          <w:tcPr>
            <w:tcW w:w="100" w:type="dxa"/>
            <w:vAlign w:val="bottom"/>
            <w:shd w:val="clear" w:color="auto" w:fill="B9D9EB"/>
          </w:tcPr>
          <w:p>
            <w:pPr>
              <w:spacing w:after="0"/>
              <w:rPr>
                <w:sz w:val="16"/>
                <w:szCs w:val="16"/>
                <w:color w:val="auto"/>
              </w:rPr>
            </w:pPr>
          </w:p>
        </w:tc>
        <w:tc>
          <w:tcPr>
            <w:tcW w:w="300" w:type="dxa"/>
            <w:vAlign w:val="bottom"/>
            <w:shd w:val="clear" w:color="auto" w:fill="B9D9EB"/>
          </w:tcPr>
          <w:p>
            <w:pPr>
              <w:spacing w:after="0"/>
              <w:rPr>
                <w:sz w:val="16"/>
                <w:szCs w:val="16"/>
                <w:color w:val="auto"/>
              </w:rPr>
            </w:pPr>
          </w:p>
        </w:tc>
        <w:tc>
          <w:tcPr>
            <w:tcW w:w="500" w:type="dxa"/>
            <w:vAlign w:val="bottom"/>
            <w:shd w:val="clear" w:color="auto" w:fill="B9D9EB"/>
          </w:tcPr>
          <w:p>
            <w:pPr>
              <w:spacing w:after="0"/>
              <w:rPr>
                <w:sz w:val="16"/>
                <w:szCs w:val="16"/>
                <w:color w:val="auto"/>
              </w:rPr>
            </w:pPr>
          </w:p>
        </w:tc>
        <w:tc>
          <w:tcPr>
            <w:tcW w:w="60" w:type="dxa"/>
            <w:vAlign w:val="bottom"/>
            <w:shd w:val="clear" w:color="auto" w:fill="B9D9EB"/>
          </w:tcPr>
          <w:p>
            <w:pPr>
              <w:spacing w:after="0"/>
              <w:rPr>
                <w:sz w:val="16"/>
                <w:szCs w:val="16"/>
                <w:color w:val="auto"/>
              </w:rPr>
            </w:pPr>
          </w:p>
        </w:tc>
        <w:tc>
          <w:tcPr>
            <w:tcW w:w="100" w:type="dxa"/>
            <w:vAlign w:val="bottom"/>
            <w:shd w:val="clear" w:color="auto" w:fill="B9D9EB"/>
          </w:tcPr>
          <w:p>
            <w:pPr>
              <w:spacing w:after="0"/>
              <w:rPr>
                <w:sz w:val="16"/>
                <w:szCs w:val="16"/>
                <w:color w:val="auto"/>
              </w:rPr>
            </w:pPr>
          </w:p>
        </w:tc>
        <w:tc>
          <w:tcPr>
            <w:tcW w:w="200" w:type="dxa"/>
            <w:vAlign w:val="bottom"/>
            <w:shd w:val="clear" w:color="auto" w:fill="B9D9EB"/>
          </w:tcPr>
          <w:p>
            <w:pPr>
              <w:spacing w:after="0"/>
              <w:rPr>
                <w:sz w:val="16"/>
                <w:szCs w:val="16"/>
                <w:color w:val="auto"/>
              </w:rPr>
            </w:pPr>
          </w:p>
        </w:tc>
        <w:tc>
          <w:tcPr>
            <w:tcW w:w="640" w:type="dxa"/>
            <w:vAlign w:val="bottom"/>
            <w:shd w:val="clear" w:color="auto" w:fill="B9D9EB"/>
          </w:tcPr>
          <w:p>
            <w:pPr>
              <w:spacing w:after="0"/>
              <w:rPr>
                <w:sz w:val="16"/>
                <w:szCs w:val="16"/>
                <w:color w:val="auto"/>
              </w:rPr>
            </w:pPr>
          </w:p>
        </w:tc>
        <w:tc>
          <w:tcPr>
            <w:tcW w:w="40" w:type="dxa"/>
            <w:vAlign w:val="bottom"/>
            <w:shd w:val="clear" w:color="auto" w:fill="B9D9EB"/>
          </w:tcPr>
          <w:p>
            <w:pPr>
              <w:spacing w:after="0"/>
              <w:rPr>
                <w:sz w:val="16"/>
                <w:szCs w:val="16"/>
                <w:color w:val="auto"/>
              </w:rPr>
            </w:pPr>
          </w:p>
        </w:tc>
        <w:tc>
          <w:tcPr>
            <w:tcW w:w="100" w:type="dxa"/>
            <w:vAlign w:val="bottom"/>
            <w:shd w:val="clear" w:color="auto" w:fill="B9D9EB"/>
          </w:tcPr>
          <w:p>
            <w:pPr>
              <w:spacing w:after="0"/>
              <w:rPr>
                <w:sz w:val="16"/>
                <w:szCs w:val="16"/>
                <w:color w:val="auto"/>
              </w:rPr>
            </w:pPr>
          </w:p>
        </w:tc>
        <w:tc>
          <w:tcPr>
            <w:tcW w:w="300" w:type="dxa"/>
            <w:vAlign w:val="bottom"/>
            <w:shd w:val="clear" w:color="auto" w:fill="B9D9EB"/>
          </w:tcPr>
          <w:p>
            <w:pPr>
              <w:spacing w:after="0"/>
              <w:rPr>
                <w:sz w:val="16"/>
                <w:szCs w:val="16"/>
                <w:color w:val="auto"/>
              </w:rPr>
            </w:pPr>
          </w:p>
        </w:tc>
        <w:tc>
          <w:tcPr>
            <w:tcW w:w="580" w:type="dxa"/>
            <w:vAlign w:val="bottom"/>
            <w:shd w:val="clear" w:color="auto" w:fill="B9D9EB"/>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500" w:type="dxa"/>
            <w:vAlign w:val="bottom"/>
          </w:tcPr>
          <w:p>
            <w:pPr>
              <w:ind w:left="140"/>
              <w:spacing w:after="0"/>
              <w:rPr>
                <w:sz w:val="20"/>
                <w:szCs w:val="20"/>
                <w:color w:val="auto"/>
              </w:rPr>
            </w:pPr>
            <w:r>
              <w:rPr>
                <w:rFonts w:ascii="Arial" w:cs="Arial" w:eastAsia="Arial" w:hAnsi="Arial"/>
                <w:sz w:val="12"/>
                <w:szCs w:val="12"/>
                <w:color w:val="auto"/>
              </w:rPr>
              <w:t>Net income (loss)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4"/>
              <w:spacing w:after="0"/>
              <w:rPr>
                <w:sz w:val="20"/>
                <w:szCs w:val="20"/>
                <w:color w:val="auto"/>
              </w:rPr>
            </w:pPr>
            <w:r>
              <w:rPr>
                <w:rFonts w:ascii="Arial" w:cs="Arial" w:eastAsia="Arial" w:hAnsi="Arial"/>
                <w:sz w:val="12"/>
                <w:szCs w:val="12"/>
                <w:color w:val="auto"/>
              </w:rPr>
              <w:t>1.14</w:t>
            </w:r>
          </w:p>
        </w:tc>
        <w:tc>
          <w:tcPr>
            <w:tcW w:w="10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0.48</w:t>
            </w:r>
          </w:p>
        </w:tc>
        <w:tc>
          <w:tcPr>
            <w:tcW w:w="360" w:type="dxa"/>
            <w:vAlign w:val="bottom"/>
            <w:gridSpan w:val="3"/>
          </w:tcPr>
          <w:p>
            <w:pPr>
              <w:ind w:left="18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2.42</w:t>
            </w:r>
          </w:p>
        </w:tc>
        <w:tc>
          <w:tcPr>
            <w:tcW w:w="44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0.49</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00" w:type="dxa"/>
            <w:vAlign w:val="bottom"/>
            <w:tcBorders>
              <w:top w:val="single" w:sz="8" w:color="B9D9EB"/>
            </w:tcBorders>
            <w:shd w:val="clear" w:color="auto" w:fill="B9D9EB"/>
          </w:tcPr>
          <w:p>
            <w:pPr>
              <w:spacing w:after="0"/>
              <w:rPr>
                <w:sz w:val="20"/>
                <w:szCs w:val="20"/>
                <w:color w:val="auto"/>
              </w:rPr>
            </w:pPr>
            <w:r>
              <w:rPr>
                <w:rFonts w:ascii="Arial" w:cs="Arial" w:eastAsia="Arial" w:hAnsi="Arial"/>
                <w:sz w:val="12"/>
                <w:szCs w:val="12"/>
                <w:b w:val="1"/>
                <w:bCs w:val="1"/>
                <w:color w:val="auto"/>
              </w:rPr>
              <w:t>Diluted:</w:t>
            </w:r>
          </w:p>
        </w:tc>
        <w:tc>
          <w:tcPr>
            <w:tcW w:w="200" w:type="dxa"/>
            <w:vAlign w:val="bottom"/>
            <w:tcBorders>
              <w:top w:val="single" w:sz="8" w:color="auto"/>
            </w:tcBorders>
            <w:shd w:val="clear" w:color="auto" w:fill="B9D9EB"/>
          </w:tcPr>
          <w:p>
            <w:pPr>
              <w:spacing w:after="0"/>
              <w:rPr>
                <w:sz w:val="14"/>
                <w:szCs w:val="14"/>
                <w:color w:val="auto"/>
              </w:rPr>
            </w:pPr>
          </w:p>
        </w:tc>
        <w:tc>
          <w:tcPr>
            <w:tcW w:w="680" w:type="dxa"/>
            <w:vAlign w:val="bottom"/>
            <w:tcBorders>
              <w:top w:val="single" w:sz="8" w:color="auto"/>
            </w:tcBorders>
            <w:shd w:val="clear" w:color="auto" w:fill="B9D9EB"/>
          </w:tcPr>
          <w:p>
            <w:pPr>
              <w:spacing w:after="0"/>
              <w:rPr>
                <w:sz w:val="14"/>
                <w:szCs w:val="14"/>
                <w:color w:val="auto"/>
              </w:rPr>
            </w:pPr>
          </w:p>
        </w:tc>
        <w:tc>
          <w:tcPr>
            <w:tcW w:w="100" w:type="dxa"/>
            <w:vAlign w:val="bottom"/>
            <w:tcBorders>
              <w:top w:val="single" w:sz="8" w:color="B9D9EB"/>
            </w:tcBorders>
            <w:shd w:val="clear" w:color="auto" w:fill="B9D9EB"/>
          </w:tcPr>
          <w:p>
            <w:pPr>
              <w:spacing w:after="0"/>
              <w:rPr>
                <w:sz w:val="14"/>
                <w:szCs w:val="14"/>
                <w:color w:val="auto"/>
              </w:rPr>
            </w:pPr>
          </w:p>
        </w:tc>
        <w:tc>
          <w:tcPr>
            <w:tcW w:w="300" w:type="dxa"/>
            <w:vAlign w:val="bottom"/>
            <w:tcBorders>
              <w:top w:val="single" w:sz="8" w:color="auto"/>
            </w:tcBorders>
            <w:shd w:val="clear" w:color="auto" w:fill="B9D9EB"/>
          </w:tcPr>
          <w:p>
            <w:pPr>
              <w:spacing w:after="0"/>
              <w:rPr>
                <w:sz w:val="14"/>
                <w:szCs w:val="14"/>
                <w:color w:val="auto"/>
              </w:rPr>
            </w:pPr>
          </w:p>
        </w:tc>
        <w:tc>
          <w:tcPr>
            <w:tcW w:w="500" w:type="dxa"/>
            <w:vAlign w:val="bottom"/>
            <w:tcBorders>
              <w:top w:val="single" w:sz="8" w:color="auto"/>
            </w:tcBorders>
            <w:shd w:val="clear" w:color="auto" w:fill="B9D9EB"/>
          </w:tcPr>
          <w:p>
            <w:pPr>
              <w:spacing w:after="0"/>
              <w:rPr>
                <w:sz w:val="14"/>
                <w:szCs w:val="14"/>
                <w:color w:val="auto"/>
              </w:rPr>
            </w:pPr>
          </w:p>
        </w:tc>
        <w:tc>
          <w:tcPr>
            <w:tcW w:w="60" w:type="dxa"/>
            <w:vAlign w:val="bottom"/>
            <w:tcBorders>
              <w:top w:val="single" w:sz="8" w:color="auto"/>
            </w:tcBorders>
            <w:shd w:val="clear" w:color="auto" w:fill="B9D9EB"/>
          </w:tcPr>
          <w:p>
            <w:pPr>
              <w:spacing w:after="0"/>
              <w:rPr>
                <w:sz w:val="14"/>
                <w:szCs w:val="14"/>
                <w:color w:val="auto"/>
              </w:rPr>
            </w:pPr>
          </w:p>
        </w:tc>
        <w:tc>
          <w:tcPr>
            <w:tcW w:w="100" w:type="dxa"/>
            <w:vAlign w:val="bottom"/>
            <w:tcBorders>
              <w:top w:val="single" w:sz="8" w:color="B9D9EB"/>
            </w:tcBorders>
            <w:shd w:val="clear" w:color="auto" w:fill="B9D9EB"/>
          </w:tcPr>
          <w:p>
            <w:pPr>
              <w:spacing w:after="0"/>
              <w:rPr>
                <w:sz w:val="14"/>
                <w:szCs w:val="14"/>
                <w:color w:val="auto"/>
              </w:rPr>
            </w:pPr>
          </w:p>
        </w:tc>
        <w:tc>
          <w:tcPr>
            <w:tcW w:w="200" w:type="dxa"/>
            <w:vAlign w:val="bottom"/>
            <w:tcBorders>
              <w:top w:val="single" w:sz="8" w:color="auto"/>
            </w:tcBorders>
            <w:shd w:val="clear" w:color="auto" w:fill="B9D9EB"/>
          </w:tcPr>
          <w:p>
            <w:pPr>
              <w:spacing w:after="0"/>
              <w:rPr>
                <w:sz w:val="14"/>
                <w:szCs w:val="14"/>
                <w:color w:val="auto"/>
              </w:rPr>
            </w:pPr>
          </w:p>
        </w:tc>
        <w:tc>
          <w:tcPr>
            <w:tcW w:w="640" w:type="dxa"/>
            <w:vAlign w:val="bottom"/>
            <w:tcBorders>
              <w:top w:val="single" w:sz="8" w:color="auto"/>
            </w:tcBorders>
            <w:shd w:val="clear" w:color="auto" w:fill="B9D9EB"/>
          </w:tcPr>
          <w:p>
            <w:pPr>
              <w:spacing w:after="0"/>
              <w:rPr>
                <w:sz w:val="14"/>
                <w:szCs w:val="14"/>
                <w:color w:val="auto"/>
              </w:rPr>
            </w:pPr>
          </w:p>
        </w:tc>
        <w:tc>
          <w:tcPr>
            <w:tcW w:w="40" w:type="dxa"/>
            <w:vAlign w:val="bottom"/>
            <w:tcBorders>
              <w:top w:val="single" w:sz="8" w:color="auto"/>
            </w:tcBorders>
            <w:shd w:val="clear" w:color="auto" w:fill="B9D9EB"/>
          </w:tcPr>
          <w:p>
            <w:pPr>
              <w:spacing w:after="0"/>
              <w:rPr>
                <w:sz w:val="14"/>
                <w:szCs w:val="14"/>
                <w:color w:val="auto"/>
              </w:rPr>
            </w:pPr>
          </w:p>
        </w:tc>
        <w:tc>
          <w:tcPr>
            <w:tcW w:w="100" w:type="dxa"/>
            <w:vAlign w:val="bottom"/>
            <w:tcBorders>
              <w:top w:val="single" w:sz="8" w:color="B9D9EB"/>
            </w:tcBorders>
            <w:shd w:val="clear" w:color="auto" w:fill="B9D9EB"/>
          </w:tcPr>
          <w:p>
            <w:pPr>
              <w:spacing w:after="0"/>
              <w:rPr>
                <w:sz w:val="14"/>
                <w:szCs w:val="14"/>
                <w:color w:val="auto"/>
              </w:rPr>
            </w:pPr>
          </w:p>
        </w:tc>
        <w:tc>
          <w:tcPr>
            <w:tcW w:w="300" w:type="dxa"/>
            <w:vAlign w:val="bottom"/>
            <w:tcBorders>
              <w:top w:val="single" w:sz="8" w:color="auto"/>
            </w:tcBorders>
            <w:shd w:val="clear" w:color="auto" w:fill="B9D9EB"/>
          </w:tcPr>
          <w:p>
            <w:pPr>
              <w:spacing w:after="0"/>
              <w:rPr>
                <w:sz w:val="14"/>
                <w:szCs w:val="14"/>
                <w:color w:val="auto"/>
              </w:rPr>
            </w:pPr>
          </w:p>
        </w:tc>
        <w:tc>
          <w:tcPr>
            <w:tcW w:w="580" w:type="dxa"/>
            <w:vAlign w:val="bottom"/>
            <w:tcBorders>
              <w:top w:val="single" w:sz="8" w:color="auto"/>
            </w:tcBorders>
            <w:shd w:val="clear" w:color="auto" w:fill="B9D9EB"/>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Arial" w:cs="Arial" w:eastAsia="Arial" w:hAnsi="Arial"/>
                <w:sz w:val="12"/>
                <w:szCs w:val="12"/>
                <w:color w:val="auto"/>
              </w:rPr>
              <w:t>Net income (loss)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4"/>
              <w:spacing w:after="0"/>
              <w:rPr>
                <w:sz w:val="20"/>
                <w:szCs w:val="20"/>
                <w:color w:val="auto"/>
              </w:rPr>
            </w:pPr>
            <w:r>
              <w:rPr>
                <w:rFonts w:ascii="Arial" w:cs="Arial" w:eastAsia="Arial" w:hAnsi="Arial"/>
                <w:sz w:val="12"/>
                <w:szCs w:val="12"/>
                <w:color w:val="auto"/>
              </w:rPr>
              <w:t>1.09</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0.41</w:t>
            </w:r>
          </w:p>
        </w:tc>
        <w:tc>
          <w:tcPr>
            <w:tcW w:w="360" w:type="dxa"/>
            <w:vAlign w:val="bottom"/>
            <w:gridSpan w:val="3"/>
          </w:tcPr>
          <w:p>
            <w:pPr>
              <w:ind w:left="18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2.29</w:t>
            </w:r>
          </w:p>
        </w:tc>
        <w:tc>
          <w:tcPr>
            <w:tcW w:w="44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0.42</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0159"/>
          </w:cols>
          <w:pgMar w:left="300" w:top="980" w:right="1440" w:bottom="1440" w:gutter="0" w:footer="0" w:header="0"/>
        </w:sectPr>
      </w:pPr>
    </w:p>
    <w:bookmarkStart w:id="12" w:name="page13"/>
    <w:bookmarkEnd w:id="12"/>
    <w:p>
      <w:pPr>
        <w:ind w:left="4280"/>
        <w:spacing w:after="0"/>
        <w:rPr>
          <w:sz w:val="20"/>
          <w:szCs w:val="20"/>
          <w:color w:val="auto"/>
        </w:rPr>
      </w:pPr>
      <w:r>
        <w:rPr>
          <w:rFonts w:ascii="Arial" w:cs="Arial" w:eastAsia="Arial" w:hAnsi="Arial"/>
          <w:sz w:val="12"/>
          <w:szCs w:val="12"/>
          <w:b w:val="1"/>
          <w:bCs w:val="1"/>
          <w:color w:val="auto"/>
        </w:rPr>
        <w:t>NOBLE CORPORATION plc AND SUBSIDIARIES</w:t>
      </w:r>
    </w:p>
    <w:p>
      <w:pPr>
        <w:spacing w:after="0" w:line="20" w:lineRule="exact"/>
        <w:rPr>
          <w:sz w:val="20"/>
          <w:szCs w:val="20"/>
          <w:color w:val="auto"/>
        </w:rPr>
      </w:pPr>
    </w:p>
    <w:p>
      <w:pPr>
        <w:ind w:left="4280"/>
        <w:spacing w:after="0"/>
        <w:rPr>
          <w:sz w:val="20"/>
          <w:szCs w:val="20"/>
          <w:color w:val="auto"/>
        </w:rPr>
      </w:pPr>
      <w:r>
        <w:rPr>
          <w:rFonts w:ascii="Arial" w:cs="Arial" w:eastAsia="Arial" w:hAnsi="Arial"/>
          <w:sz w:val="12"/>
          <w:szCs w:val="12"/>
          <w:b w:val="1"/>
          <w:bCs w:val="1"/>
          <w:color w:val="auto"/>
        </w:rPr>
        <w:t>NON-GAAP MEASURES AND RECONCILIATION</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Certain non-GAAP measures and corresponding reconciliations to GAAP financial measures for the Company have been provided for meaningful comparisons between current results and prior operating periods. Generally, a non-GAAP financial measure is a numerical measure of a company’s performance, financial position, or cash flows that excludes or includes amounts that are not normally included or excluded in the most directly comparable measure calculated and presented in accordance with generally accepted accounting principles.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Company defines “Adjusted EBITDA” as net income (loss) adjusted for interest expense, net of amounts capitalized; interest income and other, net; income tax benefit (provision); and depreciation and amortization expense, as well as, if applicable, gain (loss) on extinguishment of debt, net; losses on economic impairments; restructuring and similar charges; costs related to mergers and integrations; and certain other infrequent operational events. We believe that the Adjusted EBITDA measure provides greater transparency of our core operating performance. We prepare Adjusted Net Income (Loss) by eliminating from Net Income (Loss) the impact of a number of non-recurring items we do not consider indicative of our on-going performance. We prepare Adjusted Diluted Earnings (Loss) per Share by eliminating from Diluted Earnings per Share the impact of a number of non-recurring items we do not consider indicative of our on-going performance. Similar to Adjusted EBITDA, we believe these measures help identify underlying trends that could otherwise be masked by the effect of the non-recurring items we exclude in the measure.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In order to fully assess the financial operating results, management believes that the results of operations, adjusted to exclude the following items, which are included in the Company’s press release issued on</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October 31, 2023, are appropriate measures of the continuing and normal operations of the Company:</w:t>
      </w:r>
    </w:p>
    <w:p>
      <w:pPr>
        <w:spacing w:after="0" w:line="142" w:lineRule="exact"/>
        <w:rPr>
          <w:sz w:val="20"/>
          <w:szCs w:val="20"/>
          <w:color w:val="auto"/>
        </w:rPr>
      </w:pPr>
    </w:p>
    <w:p>
      <w:pPr>
        <w:ind w:left="860" w:hanging="328"/>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the second and third quarter of 2023 and the third quarter of 2022, merger and integration costs; hurricane losses and (recoveries), net; intangible contract amortization, and discrete tax items.</w:t>
      </w:r>
    </w:p>
    <w:p>
      <w:pPr>
        <w:spacing w:after="0" w:line="78" w:lineRule="exact"/>
        <w:rPr>
          <w:rFonts w:ascii="Arial" w:cs="Arial" w:eastAsia="Arial" w:hAnsi="Arial"/>
          <w:sz w:val="12"/>
          <w:szCs w:val="12"/>
          <w:color w:val="auto"/>
        </w:rPr>
      </w:pPr>
    </w:p>
    <w:p>
      <w:pPr>
        <w:ind w:left="860" w:hanging="328"/>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third quarter of 2023 includes a gain on bargain purchase and joint taxation scheme compensation.</w:t>
      </w:r>
    </w:p>
    <w:p>
      <w:pPr>
        <w:spacing w:after="0" w:line="78" w:lineRule="exact"/>
        <w:rPr>
          <w:rFonts w:ascii="Arial" w:cs="Arial" w:eastAsia="Arial" w:hAnsi="Arial"/>
          <w:sz w:val="12"/>
          <w:szCs w:val="12"/>
          <w:color w:val="auto"/>
        </w:rPr>
      </w:pPr>
    </w:p>
    <w:p>
      <w:pPr>
        <w:ind w:left="860" w:hanging="328"/>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second quarter of 2023 and the third quarter of 2022 included a (gain) loss on extinguishment of debt, net.</w:t>
      </w:r>
    </w:p>
    <w:p>
      <w:pPr>
        <w:spacing w:after="0" w:line="78" w:lineRule="exact"/>
        <w:rPr>
          <w:rFonts w:ascii="Arial" w:cs="Arial" w:eastAsia="Arial" w:hAnsi="Arial"/>
          <w:sz w:val="12"/>
          <w:szCs w:val="12"/>
          <w:color w:val="auto"/>
        </w:rPr>
      </w:pPr>
    </w:p>
    <w:p>
      <w:pPr>
        <w:ind w:left="860" w:hanging="328"/>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addition, the third quarter of 2022 included (gain) loss on sale of operating assets, net and professional services costs related to corporate initiatives.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also discloses free cash flow as a non-GAAP liquidity measure. Free cash flow is calculated as Net cash provided by (used in) operating activities less cash paid for capital expenditures. We believe Free Cash Flow is useful to investors because it measures our ability to generate or use cash. Once business needs and obligations are met, this cash can be used to reinvest in the company for future growth or to return to shareholders through dividend payments or share repurchases.</w:t>
      </w:r>
    </w:p>
    <w:p>
      <w:pPr>
        <w:spacing w:after="0" w:line="122"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We believe that these non-GAAP financial measures provide useful information about our financial performance, enhance the overall understanding of our past performance and future prospects, and allow for greater transparency with respect to key metrics used by our management team for financial and operational decision-making. We are presenting these non-GAAP financial measures to assist investors in seeing our financial performance through the eyes of management, and because we believe that these measures provide an additional tool for investors to use in comparing our core financial performance over multiple periods with other companies in our industry.</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These non-GAAP adjusted measures should be considered in addition to, and not as a substitute for, or superior to, contract drilling revenue, contract drilling cost, contract drilling margin, average daily revenue, operating income, cash flows from operations, or other measures of financial performance prepared in accordance with GAAP. Please see the following non-GAAP Financial Measures and Reconciliations for a complete description of the adjustments.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980" w:right="2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2"/>
          <w:szCs w:val="12"/>
          <w:b w:val="1"/>
          <w:bCs w:val="1"/>
          <w:color w:val="auto"/>
        </w:rPr>
        <w:t>NOBLE CORPORATION plc AND SUBSIDIARIES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NON-GAAP MEASURES AND RECONCILIATION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per share amounts)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90" w:lineRule="exact"/>
        <w:rPr>
          <w:sz w:val="20"/>
          <w:szCs w:val="20"/>
          <w:color w:val="auto"/>
        </w:rPr>
      </w:pPr>
    </w:p>
    <w:p>
      <w:pPr>
        <w:ind w:left="1400"/>
        <w:spacing w:after="0"/>
        <w:rPr>
          <w:sz w:val="20"/>
          <w:szCs w:val="20"/>
          <w:color w:val="auto"/>
        </w:rPr>
      </w:pPr>
      <w:r>
        <w:rPr>
          <w:rFonts w:ascii="Arial" w:cs="Arial" w:eastAsia="Arial" w:hAnsi="Arial"/>
          <w:sz w:val="12"/>
          <w:szCs w:val="12"/>
          <w:b w:val="1"/>
          <w:bCs w:val="1"/>
          <w:color w:val="auto"/>
        </w:rPr>
        <w:t>Reconciliation of Adjusted EBITDA</w:t>
      </w:r>
    </w:p>
    <w:p>
      <w:pPr>
        <w:spacing w:after="0" w:line="66" w:lineRule="exact"/>
        <w:rPr>
          <w:sz w:val="20"/>
          <w:szCs w:val="20"/>
          <w:color w:val="auto"/>
        </w:rPr>
      </w:pPr>
    </w:p>
    <w:tbl>
      <w:tblPr>
        <w:tblLayout w:type="fixed"/>
        <w:tblInd w:w="1380" w:type="dxa"/>
        <w:tblCellMar>
          <w:top w:w="0" w:type="dxa"/>
          <w:left w:w="0" w:type="dxa"/>
          <w:bottom w:w="0" w:type="dxa"/>
          <w:right w:w="0" w:type="dxa"/>
        </w:tblCellMar>
      </w:tblPr>
      <w:tr>
        <w:trPr>
          <w:trHeight w:val="134"/>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40" w:type="dxa"/>
            <w:vAlign w:val="bottom"/>
            <w:gridSpan w:val="6"/>
          </w:tcPr>
          <w:p>
            <w:pPr>
              <w:ind w:left="140"/>
              <w:spacing w:after="0"/>
              <w:rPr>
                <w:sz w:val="20"/>
                <w:szCs w:val="20"/>
                <w:color w:val="auto"/>
              </w:rPr>
            </w:pPr>
            <w:r>
              <w:rPr>
                <w:rFonts w:ascii="Arial" w:cs="Arial" w:eastAsia="Arial" w:hAnsi="Arial"/>
                <w:sz w:val="10"/>
                <w:szCs w:val="10"/>
                <w:b w:val="1"/>
                <w:bCs w:val="1"/>
                <w:color w:val="auto"/>
              </w:rPr>
              <w:t>Three Months Ended September 30,</w:t>
            </w:r>
          </w:p>
        </w:tc>
        <w:tc>
          <w:tcPr>
            <w:tcW w:w="11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4"/>
              </w:rPr>
              <w:t>Three Months Ended</w:t>
            </w:r>
          </w:p>
        </w:tc>
        <w:tc>
          <w:tcPr>
            <w:tcW w:w="20" w:type="dxa"/>
            <w:vAlign w:val="bottom"/>
          </w:tcPr>
          <w:p>
            <w:pPr>
              <w:spacing w:after="0"/>
              <w:rPr>
                <w:sz w:val="11"/>
                <w:szCs w:val="11"/>
                <w:color w:val="auto"/>
              </w:rPr>
            </w:pPr>
          </w:p>
        </w:tc>
      </w:tr>
      <w:tr>
        <w:trPr>
          <w:trHeight w:val="160"/>
        </w:trPr>
        <w:tc>
          <w:tcPr>
            <w:tcW w:w="2860" w:type="dxa"/>
            <w:vAlign w:val="bottom"/>
            <w:tcBorders>
              <w:bottom w:val="single" w:sz="8" w:color="B9D9EB"/>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top w:val="single" w:sz="8" w:color="auto"/>
              <w:bottom w:val="single" w:sz="8" w:color="B9D9EB"/>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0"/>
                <w:szCs w:val="10"/>
                <w:b w:val="1"/>
                <w:bCs w:val="1"/>
                <w:color w:val="auto"/>
              </w:rPr>
              <w:t>2022</w:t>
            </w:r>
          </w:p>
        </w:tc>
        <w:tc>
          <w:tcPr>
            <w:tcW w:w="20" w:type="dxa"/>
            <w:vAlign w:val="bottom"/>
            <w:tcBorders>
              <w:bottom w:val="single" w:sz="8" w:color="B9D9EB"/>
            </w:tcBorders>
          </w:tcPr>
          <w:p>
            <w:pPr>
              <w:spacing w:after="0"/>
              <w:rPr>
                <w:sz w:val="13"/>
                <w:szCs w:val="13"/>
                <w:color w:val="auto"/>
              </w:rPr>
            </w:pPr>
          </w:p>
        </w:tc>
        <w:tc>
          <w:tcPr>
            <w:tcW w:w="80" w:type="dxa"/>
            <w:vAlign w:val="bottom"/>
            <w:tcBorders>
              <w:bottom w:val="single" w:sz="8" w:color="B9D9EB"/>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5"/>
              </w:rPr>
              <w:t>June 30, 2023</w:t>
            </w:r>
          </w:p>
        </w:tc>
        <w:tc>
          <w:tcPr>
            <w:tcW w:w="20" w:type="dxa"/>
            <w:vAlign w:val="bottom"/>
          </w:tcPr>
          <w:p>
            <w:pPr>
              <w:spacing w:after="0"/>
              <w:rPr>
                <w:sz w:val="13"/>
                <w:szCs w:val="13"/>
                <w:color w:val="auto"/>
              </w:rPr>
            </w:pPr>
          </w:p>
        </w:tc>
      </w:tr>
      <w:tr>
        <w:trPr>
          <w:trHeight w:val="161"/>
        </w:trPr>
        <w:tc>
          <w:tcPr>
            <w:tcW w:w="2860" w:type="dxa"/>
            <w:vAlign w:val="bottom"/>
            <w:shd w:val="clear" w:color="auto" w:fill="B9D9EB"/>
          </w:tcPr>
          <w:p>
            <w:pPr>
              <w:ind w:left="20"/>
              <w:spacing w:after="0"/>
              <w:rPr>
                <w:sz w:val="20"/>
                <w:szCs w:val="20"/>
                <w:color w:val="auto"/>
              </w:rPr>
            </w:pPr>
            <w:r>
              <w:rPr>
                <w:rFonts w:ascii="Arial" w:cs="Arial" w:eastAsia="Arial" w:hAnsi="Arial"/>
                <w:sz w:val="12"/>
                <w:szCs w:val="12"/>
                <w:color w:val="auto"/>
              </w:rPr>
              <w:t>Net income (loss)</w:t>
            </w:r>
          </w:p>
        </w:tc>
        <w:tc>
          <w:tcPr>
            <w:tcW w:w="14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B9D9EB"/>
            </w:tcBorders>
            <w:shd w:val="clear" w:color="auto" w:fill="B9D9EB"/>
          </w:tcPr>
          <w:p>
            <w:pPr>
              <w:jc w:val="right"/>
              <w:ind w:right="22"/>
              <w:spacing w:after="0"/>
              <w:rPr>
                <w:sz w:val="20"/>
                <w:szCs w:val="20"/>
                <w:color w:val="auto"/>
              </w:rPr>
            </w:pPr>
            <w:r>
              <w:rPr>
                <w:rFonts w:ascii="Arial" w:cs="Arial" w:eastAsia="Arial" w:hAnsi="Arial"/>
                <w:sz w:val="12"/>
                <w:szCs w:val="12"/>
                <w:color w:val="auto"/>
              </w:rPr>
              <w:t>158,323</w:t>
            </w:r>
          </w:p>
        </w:tc>
        <w:tc>
          <w:tcPr>
            <w:tcW w:w="80" w:type="dxa"/>
            <w:vAlign w:val="bottom"/>
            <w:shd w:val="clear" w:color="auto" w:fill="B9D9EB"/>
          </w:tcPr>
          <w:p>
            <w:pPr>
              <w:spacing w:after="0"/>
              <w:rPr>
                <w:sz w:val="14"/>
                <w:szCs w:val="14"/>
                <w:color w:val="auto"/>
              </w:rPr>
            </w:pPr>
          </w:p>
        </w:tc>
        <w:tc>
          <w:tcPr>
            <w:tcW w:w="240" w:type="dxa"/>
            <w:vAlign w:val="bottom"/>
            <w:shd w:val="clear" w:color="auto" w:fill="B9D9EB"/>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33,585</w:t>
            </w:r>
          </w:p>
        </w:tc>
        <w:tc>
          <w:tcPr>
            <w:tcW w:w="2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80" w:type="dxa"/>
            <w:vAlign w:val="bottom"/>
            <w:shd w:val="clear" w:color="auto" w:fill="B9D9EB"/>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65,816</w:t>
            </w:r>
          </w:p>
        </w:tc>
        <w:tc>
          <w:tcPr>
            <w:tcW w:w="20" w:type="dxa"/>
            <w:vAlign w:val="bottom"/>
          </w:tcPr>
          <w:p>
            <w:pPr>
              <w:spacing w:after="0"/>
              <w:rPr>
                <w:sz w:val="14"/>
                <w:szCs w:val="14"/>
                <w:color w:val="auto"/>
              </w:rPr>
            </w:pPr>
          </w:p>
        </w:tc>
      </w:tr>
      <w:tr>
        <w:trPr>
          <w:trHeight w:val="180"/>
        </w:trPr>
        <w:tc>
          <w:tcPr>
            <w:tcW w:w="2860" w:type="dxa"/>
            <w:vAlign w:val="bottom"/>
          </w:tcPr>
          <w:p>
            <w:pPr>
              <w:ind w:left="20"/>
              <w:spacing w:after="0"/>
              <w:rPr>
                <w:sz w:val="20"/>
                <w:szCs w:val="20"/>
                <w:color w:val="auto"/>
              </w:rPr>
            </w:pPr>
            <w:r>
              <w:rPr>
                <w:rFonts w:ascii="Arial" w:cs="Arial" w:eastAsia="Arial" w:hAnsi="Arial"/>
                <w:sz w:val="12"/>
                <w:szCs w:val="12"/>
                <w:color w:val="auto"/>
              </w:rPr>
              <w:t>Income tax (benefit) provision</w:t>
            </w:r>
          </w:p>
        </w:tc>
        <w:tc>
          <w:tcPr>
            <w:tcW w:w="140" w:type="dxa"/>
            <w:vAlign w:val="bottom"/>
          </w:tcPr>
          <w:p>
            <w:pPr>
              <w:spacing w:after="0"/>
              <w:rPr>
                <w:sz w:val="15"/>
                <w:szCs w:val="15"/>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51,659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13,072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(671)</w:t>
            </w:r>
          </w:p>
        </w:tc>
        <w:tc>
          <w:tcPr>
            <w:tcW w:w="20" w:type="dxa"/>
            <w:vAlign w:val="bottom"/>
          </w:tcPr>
          <w:p>
            <w:pPr>
              <w:spacing w:after="0"/>
              <w:rPr>
                <w:sz w:val="15"/>
                <w:szCs w:val="15"/>
                <w:color w:val="auto"/>
              </w:rPr>
            </w:pPr>
          </w:p>
        </w:tc>
      </w:tr>
      <w:tr>
        <w:trPr>
          <w:trHeight w:val="180"/>
        </w:trPr>
        <w:tc>
          <w:tcPr>
            <w:tcW w:w="2860" w:type="dxa"/>
            <w:vAlign w:val="bottom"/>
            <w:shd w:val="clear" w:color="auto" w:fill="B9D9EB"/>
          </w:tcPr>
          <w:p>
            <w:pPr>
              <w:ind w:left="20"/>
              <w:spacing w:after="0"/>
              <w:rPr>
                <w:sz w:val="20"/>
                <w:szCs w:val="20"/>
                <w:color w:val="auto"/>
              </w:rPr>
            </w:pPr>
            <w:r>
              <w:rPr>
                <w:rFonts w:ascii="Arial" w:cs="Arial" w:eastAsia="Arial" w:hAnsi="Arial"/>
                <w:sz w:val="12"/>
                <w:szCs w:val="12"/>
                <w:color w:val="auto"/>
              </w:rPr>
              <w:t>Interest expense, net of amounts capitalized</w:t>
            </w:r>
          </w:p>
        </w:tc>
        <w:tc>
          <w:tcPr>
            <w:tcW w:w="140" w:type="dxa"/>
            <w:vAlign w:val="bottom"/>
            <w:shd w:val="clear" w:color="auto" w:fill="B9D9EB"/>
          </w:tcPr>
          <w:p>
            <w:pPr>
              <w:spacing w:after="0"/>
              <w:rPr>
                <w:sz w:val="15"/>
                <w:szCs w:val="15"/>
                <w:color w:val="auto"/>
              </w:rPr>
            </w:pPr>
          </w:p>
        </w:tc>
        <w:tc>
          <w:tcPr>
            <w:tcW w:w="920" w:type="dxa"/>
            <w:vAlign w:val="bottom"/>
            <w:tcBorders>
              <w:right w:val="single" w:sz="8" w:color="B9D9EB"/>
            </w:tcBorders>
            <w:shd w:val="clear" w:color="auto" w:fill="B9D9EB"/>
          </w:tcPr>
          <w:p>
            <w:pPr>
              <w:jc w:val="right"/>
              <w:ind w:right="22"/>
              <w:spacing w:after="0"/>
              <w:rPr>
                <w:sz w:val="20"/>
                <w:szCs w:val="20"/>
                <w:color w:val="auto"/>
              </w:rPr>
            </w:pPr>
            <w:r>
              <w:rPr>
                <w:rFonts w:ascii="Arial" w:cs="Arial" w:eastAsia="Arial" w:hAnsi="Arial"/>
                <w:sz w:val="12"/>
                <w:szCs w:val="12"/>
                <w:color w:val="auto"/>
              </w:rPr>
              <w:t>13,005</w:t>
            </w:r>
          </w:p>
        </w:tc>
        <w:tc>
          <w:tcPr>
            <w:tcW w:w="80" w:type="dxa"/>
            <w:vAlign w:val="bottom"/>
            <w:shd w:val="clear" w:color="auto" w:fill="B9D9EB"/>
          </w:tcPr>
          <w:p>
            <w:pPr>
              <w:spacing w:after="0"/>
              <w:rPr>
                <w:sz w:val="15"/>
                <w:szCs w:val="15"/>
                <w:color w:val="auto"/>
              </w:rPr>
            </w:pPr>
          </w:p>
        </w:tc>
        <w:tc>
          <w:tcPr>
            <w:tcW w:w="240" w:type="dxa"/>
            <w:vAlign w:val="bottom"/>
            <w:shd w:val="clear" w:color="auto" w:fill="B9D9EB"/>
          </w:tcPr>
          <w:p>
            <w:pPr>
              <w:spacing w:after="0"/>
              <w:rPr>
                <w:sz w:val="15"/>
                <w:szCs w:val="15"/>
                <w:color w:val="auto"/>
              </w:rPr>
            </w:pP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7,943</w:t>
            </w:r>
          </w:p>
        </w:tc>
        <w:tc>
          <w:tcPr>
            <w:tcW w:w="2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10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14,662</w:t>
            </w:r>
          </w:p>
        </w:tc>
        <w:tc>
          <w:tcPr>
            <w:tcW w:w="20" w:type="dxa"/>
            <w:vAlign w:val="bottom"/>
          </w:tcPr>
          <w:p>
            <w:pPr>
              <w:spacing w:after="0"/>
              <w:rPr>
                <w:sz w:val="15"/>
                <w:szCs w:val="15"/>
                <w:color w:val="auto"/>
              </w:rPr>
            </w:pPr>
          </w:p>
        </w:tc>
      </w:tr>
      <w:tr>
        <w:trPr>
          <w:trHeight w:val="180"/>
        </w:trPr>
        <w:tc>
          <w:tcPr>
            <w:tcW w:w="2860" w:type="dxa"/>
            <w:vAlign w:val="bottom"/>
          </w:tcPr>
          <w:p>
            <w:pPr>
              <w:ind w:left="20"/>
              <w:spacing w:after="0"/>
              <w:rPr>
                <w:sz w:val="20"/>
                <w:szCs w:val="20"/>
                <w:color w:val="auto"/>
              </w:rPr>
            </w:pPr>
            <w:r>
              <w:rPr>
                <w:rFonts w:ascii="Arial" w:cs="Arial" w:eastAsia="Arial" w:hAnsi="Arial"/>
                <w:sz w:val="12"/>
                <w:szCs w:val="12"/>
                <w:color w:val="auto"/>
              </w:rPr>
              <w:t>Interest income and other, net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(17,206)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(3,235)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2,940</w:t>
            </w:r>
          </w:p>
        </w:tc>
        <w:tc>
          <w:tcPr>
            <w:tcW w:w="20" w:type="dxa"/>
            <w:vAlign w:val="bottom"/>
          </w:tcPr>
          <w:p>
            <w:pPr>
              <w:spacing w:after="0"/>
              <w:rPr>
                <w:sz w:val="15"/>
                <w:szCs w:val="15"/>
                <w:color w:val="auto"/>
              </w:rPr>
            </w:pPr>
          </w:p>
        </w:tc>
      </w:tr>
      <w:tr>
        <w:trPr>
          <w:trHeight w:val="180"/>
        </w:trPr>
        <w:tc>
          <w:tcPr>
            <w:tcW w:w="2860" w:type="dxa"/>
            <w:vAlign w:val="bottom"/>
            <w:shd w:val="clear" w:color="auto" w:fill="B9D9EB"/>
          </w:tcPr>
          <w:p>
            <w:pPr>
              <w:ind w:left="20"/>
              <w:spacing w:after="0"/>
              <w:rPr>
                <w:sz w:val="20"/>
                <w:szCs w:val="20"/>
                <w:color w:val="auto"/>
              </w:rPr>
            </w:pPr>
            <w:r>
              <w:rPr>
                <w:rFonts w:ascii="Arial" w:cs="Arial" w:eastAsia="Arial" w:hAnsi="Arial"/>
                <w:sz w:val="12"/>
                <w:szCs w:val="12"/>
                <w:color w:val="auto"/>
              </w:rPr>
              <w:t>Depreciation and amortization</w:t>
            </w:r>
          </w:p>
        </w:tc>
        <w:tc>
          <w:tcPr>
            <w:tcW w:w="140" w:type="dxa"/>
            <w:vAlign w:val="bottom"/>
            <w:shd w:val="clear" w:color="auto" w:fill="B9D9EB"/>
          </w:tcPr>
          <w:p>
            <w:pPr>
              <w:spacing w:after="0"/>
              <w:rPr>
                <w:sz w:val="15"/>
                <w:szCs w:val="15"/>
                <w:color w:val="auto"/>
              </w:rPr>
            </w:pPr>
          </w:p>
        </w:tc>
        <w:tc>
          <w:tcPr>
            <w:tcW w:w="920" w:type="dxa"/>
            <w:vAlign w:val="bottom"/>
            <w:tcBorders>
              <w:right w:val="single" w:sz="8" w:color="B9D9EB"/>
            </w:tcBorders>
            <w:shd w:val="clear" w:color="auto" w:fill="B9D9EB"/>
          </w:tcPr>
          <w:p>
            <w:pPr>
              <w:jc w:val="right"/>
              <w:ind w:right="22"/>
              <w:spacing w:after="0"/>
              <w:rPr>
                <w:sz w:val="20"/>
                <w:szCs w:val="20"/>
                <w:color w:val="auto"/>
              </w:rPr>
            </w:pPr>
            <w:r>
              <w:rPr>
                <w:rFonts w:ascii="Arial" w:cs="Arial" w:eastAsia="Arial" w:hAnsi="Arial"/>
                <w:sz w:val="12"/>
                <w:szCs w:val="12"/>
                <w:color w:val="auto"/>
              </w:rPr>
              <w:t>77,146</w:t>
            </w:r>
          </w:p>
        </w:tc>
        <w:tc>
          <w:tcPr>
            <w:tcW w:w="80" w:type="dxa"/>
            <w:vAlign w:val="bottom"/>
            <w:shd w:val="clear" w:color="auto" w:fill="B9D9EB"/>
          </w:tcPr>
          <w:p>
            <w:pPr>
              <w:spacing w:after="0"/>
              <w:rPr>
                <w:sz w:val="15"/>
                <w:szCs w:val="15"/>
                <w:color w:val="auto"/>
              </w:rPr>
            </w:pPr>
          </w:p>
        </w:tc>
        <w:tc>
          <w:tcPr>
            <w:tcW w:w="240" w:type="dxa"/>
            <w:vAlign w:val="bottom"/>
            <w:shd w:val="clear" w:color="auto" w:fill="B9D9EB"/>
          </w:tcPr>
          <w:p>
            <w:pPr>
              <w:spacing w:after="0"/>
              <w:rPr>
                <w:sz w:val="15"/>
                <w:szCs w:val="15"/>
                <w:color w:val="auto"/>
              </w:rPr>
            </w:pP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24,868</w:t>
            </w:r>
          </w:p>
        </w:tc>
        <w:tc>
          <w:tcPr>
            <w:tcW w:w="2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10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71,324</w:t>
            </w:r>
          </w:p>
        </w:tc>
        <w:tc>
          <w:tcPr>
            <w:tcW w:w="20" w:type="dxa"/>
            <w:vAlign w:val="bottom"/>
          </w:tcPr>
          <w:p>
            <w:pPr>
              <w:spacing w:after="0"/>
              <w:rPr>
                <w:sz w:val="15"/>
                <w:szCs w:val="15"/>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2"/>
                <w:szCs w:val="12"/>
                <w:color w:val="auto"/>
              </w:rPr>
              <w:t>Amortization of intangible assets and contract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2"/>
                <w:szCs w:val="12"/>
                <w:color w:val="auto"/>
              </w:rPr>
              <w:t>liabilities, net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(10,803)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8,170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(31,009)</w:t>
            </w:r>
          </w:p>
        </w:tc>
        <w:tc>
          <w:tcPr>
            <w:tcW w:w="20" w:type="dxa"/>
            <w:vAlign w:val="bottom"/>
          </w:tcPr>
          <w:p>
            <w:pPr>
              <w:spacing w:after="0"/>
              <w:rPr>
                <w:sz w:val="14"/>
                <w:szCs w:val="14"/>
                <w:color w:val="auto"/>
              </w:rPr>
            </w:pPr>
          </w:p>
        </w:tc>
      </w:tr>
      <w:tr>
        <w:trPr>
          <w:trHeight w:val="225"/>
        </w:trPr>
        <w:tc>
          <w:tcPr>
            <w:tcW w:w="2860" w:type="dxa"/>
            <w:vAlign w:val="bottom"/>
            <w:shd w:val="clear" w:color="auto" w:fill="B9D9EB"/>
          </w:tcPr>
          <w:p>
            <w:pPr>
              <w:ind w:left="20"/>
              <w:spacing w:after="0"/>
              <w:rPr>
                <w:sz w:val="20"/>
                <w:szCs w:val="20"/>
                <w:color w:val="auto"/>
              </w:rPr>
            </w:pPr>
            <w:r>
              <w:rPr>
                <w:rFonts w:ascii="Arial" w:cs="Arial" w:eastAsia="Arial" w:hAnsi="Arial"/>
                <w:sz w:val="12"/>
                <w:szCs w:val="12"/>
                <w:color w:val="auto"/>
              </w:rPr>
              <w:t>Gain on bargain purchase</w:t>
            </w:r>
          </w:p>
        </w:tc>
        <w:tc>
          <w:tcPr>
            <w:tcW w:w="140" w:type="dxa"/>
            <w:vAlign w:val="bottom"/>
            <w:shd w:val="clear" w:color="auto" w:fill="B9D9EB"/>
          </w:tcPr>
          <w:p>
            <w:pPr>
              <w:spacing w:after="0"/>
              <w:rPr>
                <w:sz w:val="19"/>
                <w:szCs w:val="19"/>
                <w:color w:val="auto"/>
              </w:rPr>
            </w:pPr>
          </w:p>
        </w:tc>
        <w:tc>
          <w:tcPr>
            <w:tcW w:w="920" w:type="dxa"/>
            <w:vAlign w:val="bottom"/>
            <w:tcBorders>
              <w:right w:val="single" w:sz="8" w:color="B9D9EB"/>
            </w:tcBorders>
            <w:shd w:val="clear" w:color="auto" w:fill="B9D9EB"/>
          </w:tcPr>
          <w:p>
            <w:pPr>
              <w:jc w:val="right"/>
              <w:spacing w:after="0"/>
              <w:rPr>
                <w:sz w:val="20"/>
                <w:szCs w:val="20"/>
                <w:color w:val="auto"/>
              </w:rPr>
            </w:pPr>
            <w:r>
              <w:rPr>
                <w:rFonts w:ascii="Arial" w:cs="Arial" w:eastAsia="Arial" w:hAnsi="Arial"/>
                <w:sz w:val="12"/>
                <w:szCs w:val="12"/>
                <w:color w:val="auto"/>
              </w:rPr>
              <w:t>(5,005)</w:t>
            </w:r>
          </w:p>
        </w:tc>
        <w:tc>
          <w:tcPr>
            <w:tcW w:w="80" w:type="dxa"/>
            <w:vAlign w:val="bottom"/>
            <w:shd w:val="clear" w:color="auto" w:fill="B9D9EB"/>
          </w:tcPr>
          <w:p>
            <w:pPr>
              <w:spacing w:after="0"/>
              <w:rPr>
                <w:sz w:val="19"/>
                <w:szCs w:val="19"/>
                <w:color w:val="auto"/>
              </w:rPr>
            </w:pPr>
          </w:p>
        </w:tc>
        <w:tc>
          <w:tcPr>
            <w:tcW w:w="240" w:type="dxa"/>
            <w:vAlign w:val="bottom"/>
            <w:shd w:val="clear" w:color="auto" w:fill="B9D9EB"/>
          </w:tcPr>
          <w:p>
            <w:pPr>
              <w:spacing w:after="0"/>
              <w:rPr>
                <w:sz w:val="19"/>
                <w:szCs w:val="19"/>
                <w:color w:val="auto"/>
              </w:rPr>
            </w:pPr>
          </w:p>
        </w:tc>
        <w:tc>
          <w:tcPr>
            <w:tcW w:w="900" w:type="dxa"/>
            <w:vAlign w:val="bottom"/>
            <w:gridSpan w:val="3"/>
            <w:shd w:val="clear" w:color="auto" w:fill="B9D9EB"/>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B9D9EB"/>
          </w:tcPr>
          <w:p>
            <w:pPr>
              <w:spacing w:after="0"/>
              <w:rPr>
                <w:sz w:val="19"/>
                <w:szCs w:val="19"/>
                <w:color w:val="auto"/>
              </w:rPr>
            </w:pPr>
          </w:p>
        </w:tc>
        <w:tc>
          <w:tcPr>
            <w:tcW w:w="10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9"/>
                <w:szCs w:val="19"/>
                <w:color w:val="auto"/>
              </w:rPr>
            </w:pPr>
          </w:p>
        </w:tc>
      </w:tr>
      <w:tr>
        <w:trPr>
          <w:trHeight w:val="180"/>
        </w:trPr>
        <w:tc>
          <w:tcPr>
            <w:tcW w:w="2860" w:type="dxa"/>
            <w:vAlign w:val="bottom"/>
          </w:tcPr>
          <w:p>
            <w:pPr>
              <w:ind w:left="20"/>
              <w:spacing w:after="0"/>
              <w:rPr>
                <w:sz w:val="20"/>
                <w:szCs w:val="20"/>
                <w:color w:val="auto"/>
              </w:rPr>
            </w:pPr>
            <w:r>
              <w:rPr>
                <w:rFonts w:ascii="Arial" w:cs="Arial" w:eastAsia="Arial" w:hAnsi="Arial"/>
                <w:sz w:val="12"/>
                <w:szCs w:val="12"/>
                <w:color w:val="auto"/>
              </w:rPr>
              <w:t>(Gain) loss on extinguishment of debt, net</w:t>
            </w: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196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26,397</w:t>
            </w:r>
          </w:p>
        </w:tc>
        <w:tc>
          <w:tcPr>
            <w:tcW w:w="20" w:type="dxa"/>
            <w:vAlign w:val="bottom"/>
          </w:tcPr>
          <w:p>
            <w:pPr>
              <w:spacing w:after="0"/>
              <w:rPr>
                <w:sz w:val="15"/>
                <w:szCs w:val="15"/>
                <w:color w:val="auto"/>
              </w:rPr>
            </w:pPr>
          </w:p>
        </w:tc>
      </w:tr>
      <w:tr>
        <w:trPr>
          <w:trHeight w:val="180"/>
        </w:trPr>
        <w:tc>
          <w:tcPr>
            <w:tcW w:w="2860" w:type="dxa"/>
            <w:vAlign w:val="bottom"/>
            <w:shd w:val="clear" w:color="auto" w:fill="B9D9EB"/>
          </w:tcPr>
          <w:p>
            <w:pPr>
              <w:ind w:left="20"/>
              <w:spacing w:after="0"/>
              <w:rPr>
                <w:sz w:val="20"/>
                <w:szCs w:val="20"/>
                <w:color w:val="auto"/>
              </w:rPr>
            </w:pPr>
            <w:r>
              <w:rPr>
                <w:rFonts w:ascii="Arial" w:cs="Arial" w:eastAsia="Arial" w:hAnsi="Arial"/>
                <w:sz w:val="12"/>
                <w:szCs w:val="12"/>
                <w:color w:val="auto"/>
              </w:rPr>
              <w:t>Professional services - corporate projects</w:t>
            </w:r>
          </w:p>
        </w:tc>
        <w:tc>
          <w:tcPr>
            <w:tcW w:w="140" w:type="dxa"/>
            <w:vAlign w:val="bottom"/>
            <w:shd w:val="clear" w:color="auto" w:fill="B9D9EB"/>
          </w:tcPr>
          <w:p>
            <w:pPr>
              <w:spacing w:after="0"/>
              <w:rPr>
                <w:sz w:val="15"/>
                <w:szCs w:val="15"/>
                <w:color w:val="auto"/>
              </w:rPr>
            </w:pPr>
          </w:p>
        </w:tc>
        <w:tc>
          <w:tcPr>
            <w:tcW w:w="1000" w:type="dxa"/>
            <w:vAlign w:val="bottom"/>
            <w:gridSpan w:val="2"/>
            <w:shd w:val="clear" w:color="auto" w:fill="B9D9EB"/>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B9D9EB"/>
          </w:tcPr>
          <w:p>
            <w:pPr>
              <w:spacing w:after="0"/>
              <w:rPr>
                <w:sz w:val="15"/>
                <w:szCs w:val="15"/>
                <w:color w:val="auto"/>
              </w:rPr>
            </w:pP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400</w:t>
            </w:r>
          </w:p>
        </w:tc>
        <w:tc>
          <w:tcPr>
            <w:tcW w:w="2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10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r>
      <w:tr>
        <w:trPr>
          <w:trHeight w:val="180"/>
        </w:trPr>
        <w:tc>
          <w:tcPr>
            <w:tcW w:w="2860" w:type="dxa"/>
            <w:vAlign w:val="bottom"/>
          </w:tcPr>
          <w:p>
            <w:pPr>
              <w:ind w:left="20"/>
              <w:spacing w:after="0"/>
              <w:rPr>
                <w:sz w:val="20"/>
                <w:szCs w:val="20"/>
                <w:color w:val="auto"/>
              </w:rPr>
            </w:pPr>
            <w:r>
              <w:rPr>
                <w:rFonts w:ascii="Arial" w:cs="Arial" w:eastAsia="Arial" w:hAnsi="Arial"/>
                <w:sz w:val="12"/>
                <w:szCs w:val="12"/>
                <w:color w:val="auto"/>
              </w:rPr>
              <w:t>Merger and integration costs</w:t>
            </w:r>
          </w:p>
        </w:tc>
        <w:tc>
          <w:tcPr>
            <w:tcW w:w="140" w:type="dxa"/>
            <w:vAlign w:val="bottom"/>
          </w:tcPr>
          <w:p>
            <w:pPr>
              <w:spacing w:after="0"/>
              <w:rPr>
                <w:sz w:val="15"/>
                <w:szCs w:val="15"/>
                <w:color w:val="auto"/>
              </w:rPr>
            </w:pPr>
          </w:p>
        </w:tc>
        <w:tc>
          <w:tcPr>
            <w:tcW w:w="920" w:type="dxa"/>
            <w:vAlign w:val="bottom"/>
          </w:tcPr>
          <w:p>
            <w:pPr>
              <w:jc w:val="right"/>
              <w:ind w:right="22"/>
              <w:spacing w:after="0"/>
              <w:rPr>
                <w:sz w:val="20"/>
                <w:szCs w:val="20"/>
                <w:color w:val="auto"/>
              </w:rPr>
            </w:pPr>
            <w:r>
              <w:rPr>
                <w:rFonts w:ascii="Arial" w:cs="Arial" w:eastAsia="Arial" w:hAnsi="Arial"/>
                <w:sz w:val="12"/>
                <w:szCs w:val="12"/>
                <w:color w:val="auto"/>
              </w:rPr>
              <w:t>12,966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9,338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22,452</w:t>
            </w:r>
          </w:p>
        </w:tc>
        <w:tc>
          <w:tcPr>
            <w:tcW w:w="20" w:type="dxa"/>
            <w:vAlign w:val="bottom"/>
          </w:tcPr>
          <w:p>
            <w:pPr>
              <w:spacing w:after="0"/>
              <w:rPr>
                <w:sz w:val="15"/>
                <w:szCs w:val="15"/>
                <w:color w:val="auto"/>
              </w:rPr>
            </w:pPr>
          </w:p>
        </w:tc>
      </w:tr>
      <w:tr>
        <w:trPr>
          <w:trHeight w:val="225"/>
        </w:trPr>
        <w:tc>
          <w:tcPr>
            <w:tcW w:w="2860" w:type="dxa"/>
            <w:vAlign w:val="bottom"/>
            <w:shd w:val="clear" w:color="auto" w:fill="B9D9EB"/>
          </w:tcPr>
          <w:p>
            <w:pPr>
              <w:ind w:left="20"/>
              <w:spacing w:after="0"/>
              <w:rPr>
                <w:sz w:val="20"/>
                <w:szCs w:val="20"/>
                <w:color w:val="auto"/>
              </w:rPr>
            </w:pPr>
            <w:r>
              <w:rPr>
                <w:rFonts w:ascii="Arial" w:cs="Arial" w:eastAsia="Arial" w:hAnsi="Arial"/>
                <w:sz w:val="12"/>
                <w:szCs w:val="12"/>
                <w:color w:val="auto"/>
              </w:rPr>
              <w:t>(Gain) loss on sale of operating assets, net</w:t>
            </w:r>
          </w:p>
        </w:tc>
        <w:tc>
          <w:tcPr>
            <w:tcW w:w="140" w:type="dxa"/>
            <w:vAlign w:val="bottom"/>
            <w:shd w:val="clear" w:color="auto" w:fill="B9D9EB"/>
          </w:tcPr>
          <w:p>
            <w:pPr>
              <w:spacing w:after="0"/>
              <w:rPr>
                <w:sz w:val="19"/>
                <w:szCs w:val="19"/>
                <w:color w:val="auto"/>
              </w:rPr>
            </w:pPr>
          </w:p>
        </w:tc>
        <w:tc>
          <w:tcPr>
            <w:tcW w:w="1000" w:type="dxa"/>
            <w:vAlign w:val="bottom"/>
            <w:gridSpan w:val="2"/>
            <w:shd w:val="clear" w:color="auto" w:fill="B9D9EB"/>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B9D9EB"/>
          </w:tcPr>
          <w:p>
            <w:pPr>
              <w:spacing w:after="0"/>
              <w:rPr>
                <w:sz w:val="19"/>
                <w:szCs w:val="19"/>
                <w:color w:val="auto"/>
              </w:rPr>
            </w:pP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354</w:t>
            </w:r>
          </w:p>
        </w:tc>
        <w:tc>
          <w:tcPr>
            <w:tcW w:w="20" w:type="dxa"/>
            <w:vAlign w:val="bottom"/>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10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9"/>
                <w:szCs w:val="19"/>
                <w:color w:val="auto"/>
              </w:rPr>
            </w:pPr>
          </w:p>
        </w:tc>
      </w:tr>
      <w:tr>
        <w:trPr>
          <w:trHeight w:val="180"/>
        </w:trPr>
        <w:tc>
          <w:tcPr>
            <w:tcW w:w="2860" w:type="dxa"/>
            <w:vAlign w:val="bottom"/>
            <w:tcBorders>
              <w:bottom w:val="single" w:sz="8" w:color="B9D9EB"/>
            </w:tcBorders>
          </w:tcPr>
          <w:p>
            <w:pPr>
              <w:ind w:left="20"/>
              <w:spacing w:after="0"/>
              <w:rPr>
                <w:sz w:val="20"/>
                <w:szCs w:val="20"/>
                <w:color w:val="auto"/>
              </w:rPr>
            </w:pPr>
            <w:r>
              <w:rPr>
                <w:rFonts w:ascii="Arial" w:cs="Arial" w:eastAsia="Arial" w:hAnsi="Arial"/>
                <w:sz w:val="12"/>
                <w:szCs w:val="12"/>
                <w:color w:val="auto"/>
              </w:rPr>
              <w:t>Hurricane losses and (recoveries), net</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2,642</w:t>
            </w:r>
          </w:p>
        </w:tc>
        <w:tc>
          <w:tcPr>
            <w:tcW w:w="80" w:type="dxa"/>
            <w:vAlign w:val="bottom"/>
            <w:tcBorders>
              <w:bottom w:val="single" w:sz="8" w:color="B9D9EB"/>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1,896</w:t>
            </w:r>
          </w:p>
        </w:tc>
        <w:tc>
          <w:tcPr>
            <w:tcW w:w="20" w:type="dxa"/>
            <w:vAlign w:val="bottom"/>
            <w:tcBorders>
              <w:bottom w:val="single" w:sz="8" w:color="B9D9EB"/>
            </w:tcBorders>
          </w:tcPr>
          <w:p>
            <w:pPr>
              <w:spacing w:after="0"/>
              <w:rPr>
                <w:sz w:val="15"/>
                <w:szCs w:val="15"/>
                <w:color w:val="auto"/>
              </w:rPr>
            </w:pPr>
          </w:p>
        </w:tc>
        <w:tc>
          <w:tcPr>
            <w:tcW w:w="80" w:type="dxa"/>
            <w:vAlign w:val="bottom"/>
            <w:tcBorders>
              <w:bottom w:val="single" w:sz="8" w:color="B9D9EB"/>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15,934</w:t>
            </w:r>
          </w:p>
        </w:tc>
        <w:tc>
          <w:tcPr>
            <w:tcW w:w="20" w:type="dxa"/>
            <w:vAlign w:val="bottom"/>
          </w:tcPr>
          <w:p>
            <w:pPr>
              <w:spacing w:after="0"/>
              <w:rPr>
                <w:sz w:val="15"/>
                <w:szCs w:val="15"/>
                <w:color w:val="auto"/>
              </w:rPr>
            </w:pPr>
          </w:p>
        </w:tc>
      </w:tr>
      <w:tr>
        <w:trPr>
          <w:trHeight w:val="162"/>
        </w:trPr>
        <w:tc>
          <w:tcPr>
            <w:tcW w:w="286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2"/>
                <w:szCs w:val="12"/>
                <w:b w:val="1"/>
                <w:bCs w:val="1"/>
                <w:color w:val="auto"/>
              </w:rPr>
              <w:t>Adjusted EBITDA</w:t>
            </w: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right w:val="single" w:sz="8" w:color="B9D9EB"/>
            </w:tcBorders>
            <w:shd w:val="clear" w:color="auto" w:fill="B9D9EB"/>
          </w:tcPr>
          <w:p>
            <w:pPr>
              <w:jc w:val="right"/>
              <w:ind w:right="22"/>
              <w:spacing w:after="0"/>
              <w:rPr>
                <w:sz w:val="20"/>
                <w:szCs w:val="20"/>
                <w:color w:val="auto"/>
              </w:rPr>
            </w:pPr>
            <w:r>
              <w:rPr>
                <w:rFonts w:ascii="Arial" w:cs="Arial" w:eastAsia="Arial" w:hAnsi="Arial"/>
                <w:sz w:val="12"/>
                <w:szCs w:val="12"/>
                <w:color w:val="auto"/>
              </w:rPr>
              <w:t>282,727</w:t>
            </w:r>
          </w:p>
        </w:tc>
        <w:tc>
          <w:tcPr>
            <w:tcW w:w="80" w:type="dxa"/>
            <w:vAlign w:val="bottom"/>
            <w:tcBorders>
              <w:bottom w:val="single" w:sz="8" w:color="B9D9EB"/>
            </w:tcBorders>
            <w:shd w:val="clear" w:color="auto" w:fill="B9D9EB"/>
          </w:tcPr>
          <w:p>
            <w:pPr>
              <w:spacing w:after="0"/>
              <w:rPr>
                <w:sz w:val="14"/>
                <w:szCs w:val="14"/>
                <w:color w:val="auto"/>
              </w:rPr>
            </w:pPr>
          </w:p>
        </w:tc>
        <w:tc>
          <w:tcPr>
            <w:tcW w:w="240" w:type="dxa"/>
            <w:vAlign w:val="bottom"/>
            <w:tcBorders>
              <w:bottom w:val="single" w:sz="8" w:color="auto"/>
            </w:tcBorders>
            <w:shd w:val="clear" w:color="auto" w:fill="B9D9EB"/>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96,587</w:t>
            </w:r>
          </w:p>
        </w:tc>
        <w:tc>
          <w:tcPr>
            <w:tcW w:w="20" w:type="dxa"/>
            <w:vAlign w:val="bottom"/>
            <w:tcBorders>
              <w:bottom w:val="single" w:sz="8" w:color="B9D9EB"/>
            </w:tcBorders>
            <w:shd w:val="clear" w:color="auto" w:fill="B9D9EB"/>
          </w:tcPr>
          <w:p>
            <w:pPr>
              <w:spacing w:after="0"/>
              <w:rPr>
                <w:sz w:val="14"/>
                <w:szCs w:val="14"/>
                <w:color w:val="auto"/>
              </w:rPr>
            </w:pPr>
          </w:p>
        </w:tc>
        <w:tc>
          <w:tcPr>
            <w:tcW w:w="80" w:type="dxa"/>
            <w:vAlign w:val="bottom"/>
            <w:tcBorders>
              <w:bottom w:val="single" w:sz="8" w:color="B9D9EB"/>
            </w:tcBorders>
            <w:shd w:val="clear" w:color="auto" w:fill="B9D9EB"/>
          </w:tcPr>
          <w:p>
            <w:pPr>
              <w:spacing w:after="0"/>
              <w:rPr>
                <w:sz w:val="14"/>
                <w:szCs w:val="14"/>
                <w:color w:val="auto"/>
              </w:rPr>
            </w:pPr>
          </w:p>
        </w:tc>
        <w:tc>
          <w:tcPr>
            <w:tcW w:w="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2"/>
                <w:szCs w:val="12"/>
                <w:color w:val="auto"/>
              </w:rPr>
              <w:t>187,845</w:t>
            </w:r>
          </w:p>
        </w:tc>
        <w:tc>
          <w:tcPr>
            <w:tcW w:w="20" w:type="dxa"/>
            <w:vAlign w:val="bottom"/>
          </w:tcPr>
          <w:p>
            <w:pPr>
              <w:spacing w:after="0"/>
              <w:rPr>
                <w:sz w:val="14"/>
                <w:szCs w:val="14"/>
                <w:color w:val="auto"/>
              </w:rPr>
            </w:pPr>
          </w:p>
        </w:tc>
      </w:tr>
      <w:tr>
        <w:trPr>
          <w:trHeight w:val="751"/>
        </w:trPr>
        <w:tc>
          <w:tcPr>
            <w:tcW w:w="2860" w:type="dxa"/>
            <w:vAlign w:val="bottom"/>
          </w:tcPr>
          <w:p>
            <w:pPr>
              <w:spacing w:after="0"/>
              <w:rPr>
                <w:sz w:val="20"/>
                <w:szCs w:val="20"/>
                <w:color w:val="auto"/>
              </w:rPr>
            </w:pPr>
            <w:r>
              <w:rPr>
                <w:rFonts w:ascii="Arial" w:cs="Arial" w:eastAsia="Arial" w:hAnsi="Arial"/>
                <w:sz w:val="12"/>
                <w:szCs w:val="12"/>
                <w:b w:val="1"/>
                <w:bCs w:val="1"/>
                <w:color w:val="auto"/>
              </w:rPr>
              <w:t>Reconciliation of Income Tax Benefit (Provision)</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ind w:left="140"/>
              <w:spacing w:after="0"/>
              <w:rPr>
                <w:sz w:val="20"/>
                <w:szCs w:val="20"/>
                <w:color w:val="auto"/>
              </w:rPr>
            </w:pPr>
            <w:r>
              <w:rPr>
                <w:rFonts w:ascii="Arial" w:cs="Arial" w:eastAsia="Arial" w:hAnsi="Arial"/>
                <w:sz w:val="10"/>
                <w:szCs w:val="10"/>
                <w:b w:val="1"/>
                <w:bCs w:val="1"/>
                <w:color w:val="auto"/>
              </w:rPr>
              <w:t>Three Months Ended September 30,</w:t>
            </w:r>
          </w:p>
        </w:tc>
        <w:tc>
          <w:tcPr>
            <w:tcW w:w="80" w:type="dxa"/>
            <w:vAlign w:val="bottom"/>
          </w:tcPr>
          <w:p>
            <w:pPr>
              <w:spacing w:after="0"/>
              <w:rPr>
                <w:sz w:val="14"/>
                <w:szCs w:val="14"/>
                <w:color w:val="auto"/>
              </w:rPr>
            </w:pPr>
          </w:p>
        </w:tc>
        <w:tc>
          <w:tcPr>
            <w:tcW w:w="1020" w:type="dxa"/>
            <w:vAlign w:val="bottom"/>
          </w:tcPr>
          <w:p>
            <w:pPr>
              <w:jc w:val="center"/>
              <w:ind w:right="2"/>
              <w:spacing w:after="0"/>
              <w:rPr>
                <w:sz w:val="20"/>
                <w:szCs w:val="20"/>
                <w:color w:val="auto"/>
              </w:rPr>
            </w:pPr>
            <w:r>
              <w:rPr>
                <w:rFonts w:ascii="Arial" w:cs="Arial" w:eastAsia="Arial" w:hAnsi="Arial"/>
                <w:sz w:val="10"/>
                <w:szCs w:val="10"/>
                <w:b w:val="1"/>
                <w:bCs w:val="1"/>
                <w:color w:val="auto"/>
                <w:w w:val="97"/>
              </w:rPr>
              <w:t>Three Months Ended</w:t>
            </w:r>
          </w:p>
        </w:tc>
        <w:tc>
          <w:tcPr>
            <w:tcW w:w="20" w:type="dxa"/>
            <w:vAlign w:val="bottom"/>
          </w:tcPr>
          <w:p>
            <w:pPr>
              <w:spacing w:after="0"/>
              <w:rPr>
                <w:sz w:val="14"/>
                <w:szCs w:val="14"/>
                <w:color w:val="auto"/>
              </w:rPr>
            </w:pPr>
          </w:p>
        </w:tc>
      </w:tr>
      <w:tr>
        <w:trPr>
          <w:trHeight w:val="160"/>
        </w:trPr>
        <w:tc>
          <w:tcPr>
            <w:tcW w:w="2860" w:type="dxa"/>
            <w:vAlign w:val="bottom"/>
            <w:tcBorders>
              <w:bottom w:val="single" w:sz="8" w:color="B9D9EB"/>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2022</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B9D9EB"/>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98"/>
              </w:rPr>
              <w:t>June 30, 2023</w:t>
            </w:r>
          </w:p>
        </w:tc>
        <w:tc>
          <w:tcPr>
            <w:tcW w:w="20" w:type="dxa"/>
            <w:vAlign w:val="bottom"/>
            <w:tcBorders>
              <w:top w:val="single" w:sz="8" w:color="auto"/>
              <w:bottom w:val="single" w:sz="8" w:color="auto"/>
            </w:tcBorders>
          </w:tcPr>
          <w:p>
            <w:pPr>
              <w:spacing w:after="0"/>
              <w:rPr>
                <w:sz w:val="13"/>
                <w:szCs w:val="13"/>
                <w:color w:val="auto"/>
              </w:rPr>
            </w:pPr>
          </w:p>
        </w:tc>
      </w:tr>
      <w:tr>
        <w:trPr>
          <w:trHeight w:val="161"/>
        </w:trPr>
        <w:tc>
          <w:tcPr>
            <w:tcW w:w="2860" w:type="dxa"/>
            <w:vAlign w:val="bottom"/>
            <w:shd w:val="clear" w:color="auto" w:fill="B9D9EB"/>
          </w:tcPr>
          <w:p>
            <w:pPr>
              <w:spacing w:after="0"/>
              <w:rPr>
                <w:sz w:val="20"/>
                <w:szCs w:val="20"/>
                <w:color w:val="auto"/>
              </w:rPr>
            </w:pPr>
            <w:r>
              <w:rPr>
                <w:rFonts w:ascii="Arial" w:cs="Arial" w:eastAsia="Arial" w:hAnsi="Arial"/>
                <w:sz w:val="12"/>
                <w:szCs w:val="12"/>
                <w:color w:val="auto"/>
              </w:rPr>
              <w:t>Income tax benefit (provision)</w:t>
            </w:r>
          </w:p>
        </w:tc>
        <w:tc>
          <w:tcPr>
            <w:tcW w:w="14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B9D9EB"/>
            </w:tcBorders>
            <w:shd w:val="clear" w:color="auto" w:fill="B9D9EB"/>
          </w:tcPr>
          <w:p>
            <w:pPr>
              <w:jc w:val="right"/>
              <w:spacing w:after="0"/>
              <w:rPr>
                <w:sz w:val="20"/>
                <w:szCs w:val="20"/>
                <w:color w:val="auto"/>
              </w:rPr>
            </w:pPr>
            <w:r>
              <w:rPr>
                <w:rFonts w:ascii="Arial" w:cs="Arial" w:eastAsia="Arial" w:hAnsi="Arial"/>
                <w:sz w:val="12"/>
                <w:szCs w:val="12"/>
                <w:color w:val="auto"/>
              </w:rPr>
              <w:t>(51,659)</w:t>
            </w:r>
          </w:p>
        </w:tc>
        <w:tc>
          <w:tcPr>
            <w:tcW w:w="80" w:type="dxa"/>
            <w:vAlign w:val="bottom"/>
          </w:tcPr>
          <w:p>
            <w:pPr>
              <w:spacing w:after="0"/>
              <w:rPr>
                <w:sz w:val="14"/>
                <w:szCs w:val="14"/>
                <w:color w:val="auto"/>
              </w:rPr>
            </w:pPr>
          </w:p>
        </w:tc>
        <w:tc>
          <w:tcPr>
            <w:tcW w:w="240" w:type="dxa"/>
            <w:vAlign w:val="bottom"/>
            <w:shd w:val="clear" w:color="auto" w:fill="B9D9EB"/>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(13,072)</w:t>
            </w:r>
          </w:p>
        </w:tc>
        <w:tc>
          <w:tcPr>
            <w:tcW w:w="2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8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671</w:t>
            </w:r>
          </w:p>
        </w:tc>
        <w:tc>
          <w:tcPr>
            <w:tcW w:w="20" w:type="dxa"/>
            <w:vAlign w:val="bottom"/>
            <w:shd w:val="clear" w:color="auto" w:fill="B9D9EB"/>
          </w:tcPr>
          <w:p>
            <w:pPr>
              <w:spacing w:after="0"/>
              <w:rPr>
                <w:sz w:val="14"/>
                <w:szCs w:val="14"/>
                <w:color w:val="auto"/>
              </w:rPr>
            </w:pPr>
          </w:p>
        </w:tc>
      </w:tr>
      <w:tr>
        <w:trPr>
          <w:trHeight w:val="180"/>
        </w:trPr>
        <w:tc>
          <w:tcPr>
            <w:tcW w:w="2860" w:type="dxa"/>
            <w:vAlign w:val="bottom"/>
          </w:tcPr>
          <w:p>
            <w:pPr>
              <w:spacing w:after="0"/>
              <w:rPr>
                <w:sz w:val="20"/>
                <w:szCs w:val="20"/>
                <w:color w:val="auto"/>
              </w:rPr>
            </w:pPr>
            <w:r>
              <w:rPr>
                <w:rFonts w:ascii="Arial" w:cs="Arial" w:eastAsia="Arial" w:hAnsi="Arial"/>
                <w:sz w:val="12"/>
                <w:szCs w:val="12"/>
                <w:color w:val="auto"/>
              </w:rPr>
              <w:t>Adjustments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8"/>
        </w:trPr>
        <w:tc>
          <w:tcPr>
            <w:tcW w:w="2860" w:type="dxa"/>
            <w:vAlign w:val="bottom"/>
            <w:shd w:val="clear" w:color="auto" w:fill="B9D9EB"/>
          </w:tcPr>
          <w:p>
            <w:pPr>
              <w:ind w:left="80"/>
              <w:spacing w:after="0"/>
              <w:rPr>
                <w:sz w:val="20"/>
                <w:szCs w:val="20"/>
                <w:color w:val="auto"/>
              </w:rPr>
            </w:pPr>
            <w:r>
              <w:rPr>
                <w:rFonts w:ascii="Arial" w:cs="Arial" w:eastAsia="Arial" w:hAnsi="Arial"/>
                <w:sz w:val="12"/>
                <w:szCs w:val="12"/>
                <w:color w:val="auto"/>
              </w:rPr>
              <w:t>Amortization of intangible assets and contract</w:t>
            </w:r>
          </w:p>
        </w:tc>
        <w:tc>
          <w:tcPr>
            <w:tcW w:w="140" w:type="dxa"/>
            <w:vAlign w:val="bottom"/>
            <w:shd w:val="clear" w:color="auto" w:fill="B9D9EB"/>
          </w:tcPr>
          <w:p>
            <w:pPr>
              <w:spacing w:after="0"/>
              <w:rPr>
                <w:sz w:val="17"/>
                <w:szCs w:val="17"/>
                <w:color w:val="auto"/>
              </w:rPr>
            </w:pPr>
          </w:p>
        </w:tc>
        <w:tc>
          <w:tcPr>
            <w:tcW w:w="920" w:type="dxa"/>
            <w:vAlign w:val="bottom"/>
            <w:tcBorders>
              <w:right w:val="single" w:sz="8" w:color="B9D9EB"/>
            </w:tcBorders>
            <w:shd w:val="clear" w:color="auto" w:fill="B9D9EB"/>
          </w:tcPr>
          <w:p>
            <w:pPr>
              <w:spacing w:after="0"/>
              <w:rPr>
                <w:sz w:val="17"/>
                <w:szCs w:val="17"/>
                <w:color w:val="auto"/>
              </w:rPr>
            </w:pPr>
          </w:p>
        </w:tc>
        <w:tc>
          <w:tcPr>
            <w:tcW w:w="80" w:type="dxa"/>
            <w:vAlign w:val="bottom"/>
            <w:shd w:val="clear" w:color="auto" w:fill="B9D9EB"/>
          </w:tcPr>
          <w:p>
            <w:pPr>
              <w:spacing w:after="0"/>
              <w:rPr>
                <w:sz w:val="17"/>
                <w:szCs w:val="17"/>
                <w:color w:val="auto"/>
              </w:rPr>
            </w:pPr>
          </w:p>
        </w:tc>
        <w:tc>
          <w:tcPr>
            <w:tcW w:w="240" w:type="dxa"/>
            <w:vAlign w:val="bottom"/>
            <w:shd w:val="clear" w:color="auto" w:fill="B9D9EB"/>
          </w:tcPr>
          <w:p>
            <w:pPr>
              <w:spacing w:after="0"/>
              <w:rPr>
                <w:sz w:val="17"/>
                <w:szCs w:val="17"/>
                <w:color w:val="auto"/>
              </w:rPr>
            </w:pPr>
          </w:p>
        </w:tc>
        <w:tc>
          <w:tcPr>
            <w:tcW w:w="800" w:type="dxa"/>
            <w:vAlign w:val="bottom"/>
            <w:shd w:val="clear" w:color="auto" w:fill="B9D9EB"/>
          </w:tcPr>
          <w:p>
            <w:pPr>
              <w:spacing w:after="0"/>
              <w:rPr>
                <w:sz w:val="17"/>
                <w:szCs w:val="17"/>
                <w:color w:val="auto"/>
              </w:rPr>
            </w:pPr>
          </w:p>
        </w:tc>
        <w:tc>
          <w:tcPr>
            <w:tcW w:w="20" w:type="dxa"/>
            <w:vAlign w:val="bottom"/>
            <w:shd w:val="clear" w:color="auto" w:fill="B9D9EB"/>
          </w:tcPr>
          <w:p>
            <w:pPr>
              <w:spacing w:after="0"/>
              <w:rPr>
                <w:sz w:val="17"/>
                <w:szCs w:val="17"/>
                <w:color w:val="auto"/>
              </w:rPr>
            </w:pPr>
          </w:p>
        </w:tc>
        <w:tc>
          <w:tcPr>
            <w:tcW w:w="80" w:type="dxa"/>
            <w:vAlign w:val="bottom"/>
            <w:shd w:val="clear" w:color="auto" w:fill="B9D9EB"/>
          </w:tcPr>
          <w:p>
            <w:pPr>
              <w:spacing w:after="0"/>
              <w:rPr>
                <w:sz w:val="17"/>
                <w:szCs w:val="17"/>
                <w:color w:val="auto"/>
              </w:rPr>
            </w:pPr>
          </w:p>
        </w:tc>
        <w:tc>
          <w:tcPr>
            <w:tcW w:w="80" w:type="dxa"/>
            <w:vAlign w:val="bottom"/>
            <w:shd w:val="clear" w:color="auto" w:fill="B9D9EB"/>
          </w:tcPr>
          <w:p>
            <w:pPr>
              <w:spacing w:after="0"/>
              <w:rPr>
                <w:sz w:val="17"/>
                <w:szCs w:val="17"/>
                <w:color w:val="auto"/>
              </w:rPr>
            </w:pPr>
          </w:p>
        </w:tc>
        <w:tc>
          <w:tcPr>
            <w:tcW w:w="1020" w:type="dxa"/>
            <w:vAlign w:val="bottom"/>
            <w:shd w:val="clear" w:color="auto" w:fill="B9D9EB"/>
          </w:tcPr>
          <w:p>
            <w:pPr>
              <w:spacing w:after="0"/>
              <w:rPr>
                <w:sz w:val="17"/>
                <w:szCs w:val="17"/>
                <w:color w:val="auto"/>
              </w:rPr>
            </w:pPr>
          </w:p>
        </w:tc>
        <w:tc>
          <w:tcPr>
            <w:tcW w:w="20" w:type="dxa"/>
            <w:vAlign w:val="bottom"/>
            <w:shd w:val="clear" w:color="auto" w:fill="B9D9EB"/>
          </w:tcPr>
          <w:p>
            <w:pPr>
              <w:spacing w:after="0"/>
              <w:rPr>
                <w:sz w:val="17"/>
                <w:szCs w:val="17"/>
                <w:color w:val="auto"/>
              </w:rPr>
            </w:pPr>
          </w:p>
        </w:tc>
      </w:tr>
      <w:tr>
        <w:trPr>
          <w:trHeight w:val="153"/>
        </w:trPr>
        <w:tc>
          <w:tcPr>
            <w:tcW w:w="2860" w:type="dxa"/>
            <w:vAlign w:val="bottom"/>
            <w:shd w:val="clear" w:color="auto" w:fill="B9D9EB"/>
          </w:tcPr>
          <w:p>
            <w:pPr>
              <w:ind w:left="80"/>
              <w:spacing w:after="0"/>
              <w:rPr>
                <w:sz w:val="20"/>
                <w:szCs w:val="20"/>
                <w:color w:val="auto"/>
              </w:rPr>
            </w:pPr>
            <w:r>
              <w:rPr>
                <w:rFonts w:ascii="Arial" w:cs="Arial" w:eastAsia="Arial" w:hAnsi="Arial"/>
                <w:sz w:val="12"/>
                <w:szCs w:val="12"/>
                <w:color w:val="auto"/>
              </w:rPr>
              <w:t>liabilities, net</w:t>
            </w:r>
          </w:p>
        </w:tc>
        <w:tc>
          <w:tcPr>
            <w:tcW w:w="140" w:type="dxa"/>
            <w:vAlign w:val="bottom"/>
            <w:shd w:val="clear" w:color="auto" w:fill="B9D9EB"/>
          </w:tcPr>
          <w:p>
            <w:pPr>
              <w:spacing w:after="0"/>
              <w:rPr>
                <w:sz w:val="13"/>
                <w:szCs w:val="13"/>
                <w:color w:val="auto"/>
              </w:rPr>
            </w:pPr>
          </w:p>
        </w:tc>
        <w:tc>
          <w:tcPr>
            <w:tcW w:w="920" w:type="dxa"/>
            <w:vAlign w:val="bottom"/>
            <w:tcBorders>
              <w:right w:val="single" w:sz="8" w:color="B9D9EB"/>
            </w:tcBorders>
            <w:shd w:val="clear" w:color="auto" w:fill="B9D9EB"/>
          </w:tcPr>
          <w:p>
            <w:pPr>
              <w:jc w:val="right"/>
              <w:ind w:right="2"/>
              <w:spacing w:after="0"/>
              <w:rPr>
                <w:sz w:val="20"/>
                <w:szCs w:val="20"/>
                <w:color w:val="auto"/>
              </w:rPr>
            </w:pPr>
            <w:r>
              <w:rPr>
                <w:rFonts w:ascii="Arial" w:cs="Arial" w:eastAsia="Arial" w:hAnsi="Arial"/>
                <w:sz w:val="12"/>
                <w:szCs w:val="12"/>
                <w:color w:val="auto"/>
              </w:rPr>
              <w:t>6,079</w:t>
            </w:r>
          </w:p>
        </w:tc>
        <w:tc>
          <w:tcPr>
            <w:tcW w:w="80" w:type="dxa"/>
            <w:vAlign w:val="bottom"/>
            <w:shd w:val="clear" w:color="auto" w:fill="B9D9EB"/>
          </w:tcPr>
          <w:p>
            <w:pPr>
              <w:spacing w:after="0"/>
              <w:rPr>
                <w:sz w:val="13"/>
                <w:szCs w:val="13"/>
                <w:color w:val="auto"/>
              </w:rPr>
            </w:pPr>
          </w:p>
        </w:tc>
        <w:tc>
          <w:tcPr>
            <w:tcW w:w="240" w:type="dxa"/>
            <w:vAlign w:val="bottom"/>
            <w:shd w:val="clear" w:color="auto" w:fill="B9D9EB"/>
          </w:tcPr>
          <w:p>
            <w:pPr>
              <w:spacing w:after="0"/>
              <w:rPr>
                <w:sz w:val="13"/>
                <w:szCs w:val="13"/>
                <w:color w:val="auto"/>
              </w:rPr>
            </w:pPr>
          </w:p>
        </w:tc>
        <w:tc>
          <w:tcPr>
            <w:tcW w:w="8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(1,716)</w:t>
            </w:r>
          </w:p>
        </w:tc>
        <w:tc>
          <w:tcPr>
            <w:tcW w:w="20" w:type="dxa"/>
            <w:vAlign w:val="bottom"/>
            <w:shd w:val="clear" w:color="auto" w:fill="B9D9EB"/>
          </w:tcPr>
          <w:p>
            <w:pPr>
              <w:spacing w:after="0"/>
              <w:rPr>
                <w:sz w:val="13"/>
                <w:szCs w:val="13"/>
                <w:color w:val="auto"/>
              </w:rPr>
            </w:pPr>
          </w:p>
        </w:tc>
        <w:tc>
          <w:tcPr>
            <w:tcW w:w="80" w:type="dxa"/>
            <w:vAlign w:val="bottom"/>
            <w:shd w:val="clear" w:color="auto" w:fill="B9D9EB"/>
          </w:tcPr>
          <w:p>
            <w:pPr>
              <w:spacing w:after="0"/>
              <w:rPr>
                <w:sz w:val="13"/>
                <w:szCs w:val="13"/>
                <w:color w:val="auto"/>
              </w:rPr>
            </w:pPr>
          </w:p>
        </w:tc>
        <w:tc>
          <w:tcPr>
            <w:tcW w:w="80" w:type="dxa"/>
            <w:vAlign w:val="bottom"/>
            <w:shd w:val="clear" w:color="auto" w:fill="B9D9EB"/>
          </w:tcPr>
          <w:p>
            <w:pPr>
              <w:spacing w:after="0"/>
              <w:rPr>
                <w:sz w:val="13"/>
                <w:szCs w:val="13"/>
                <w:color w:val="auto"/>
              </w:rPr>
            </w:pPr>
          </w:p>
        </w:tc>
        <w:tc>
          <w:tcPr>
            <w:tcW w:w="10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3,747</w:t>
            </w:r>
          </w:p>
        </w:tc>
        <w:tc>
          <w:tcPr>
            <w:tcW w:w="20" w:type="dxa"/>
            <w:vAlign w:val="bottom"/>
            <w:shd w:val="clear" w:color="auto" w:fill="B9D9EB"/>
          </w:tcPr>
          <w:p>
            <w:pPr>
              <w:spacing w:after="0"/>
              <w:rPr>
                <w:sz w:val="13"/>
                <w:szCs w:val="13"/>
                <w:color w:val="auto"/>
              </w:rPr>
            </w:pPr>
          </w:p>
        </w:tc>
      </w:tr>
      <w:tr>
        <w:trPr>
          <w:trHeight w:val="180"/>
        </w:trPr>
        <w:tc>
          <w:tcPr>
            <w:tcW w:w="2860" w:type="dxa"/>
            <w:vAlign w:val="bottom"/>
          </w:tcPr>
          <w:p>
            <w:pPr>
              <w:ind w:left="80"/>
              <w:spacing w:after="0"/>
              <w:rPr>
                <w:sz w:val="20"/>
                <w:szCs w:val="20"/>
                <w:color w:val="auto"/>
              </w:rPr>
            </w:pPr>
            <w:r>
              <w:rPr>
                <w:rFonts w:ascii="Arial" w:cs="Arial" w:eastAsia="Arial" w:hAnsi="Arial"/>
                <w:sz w:val="12"/>
                <w:szCs w:val="12"/>
                <w:color w:val="auto"/>
              </w:rPr>
              <w:t>Joint taxation scheme compensation</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(1,981)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3"/>
          </w:tcPr>
          <w:p>
            <w:pPr>
              <w:ind w:left="6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r>
      <w:tr>
        <w:trPr>
          <w:trHeight w:val="180"/>
        </w:trPr>
        <w:tc>
          <w:tcPr>
            <w:tcW w:w="2860" w:type="dxa"/>
            <w:vAlign w:val="bottom"/>
            <w:shd w:val="clear" w:color="auto" w:fill="B9D9EB"/>
          </w:tcPr>
          <w:p>
            <w:pPr>
              <w:ind w:left="80"/>
              <w:spacing w:after="0"/>
              <w:rPr>
                <w:sz w:val="20"/>
                <w:szCs w:val="20"/>
                <w:color w:val="auto"/>
              </w:rPr>
            </w:pPr>
            <w:r>
              <w:rPr>
                <w:rFonts w:ascii="Arial" w:cs="Arial" w:eastAsia="Arial" w:hAnsi="Arial"/>
                <w:sz w:val="12"/>
                <w:szCs w:val="12"/>
                <w:color w:val="auto"/>
              </w:rPr>
              <w:t>Hurricane losses and (recoveries), net</w:t>
            </w:r>
          </w:p>
        </w:tc>
        <w:tc>
          <w:tcPr>
            <w:tcW w:w="140" w:type="dxa"/>
            <w:vAlign w:val="bottom"/>
            <w:shd w:val="clear" w:color="auto" w:fill="B9D9EB"/>
          </w:tcPr>
          <w:p>
            <w:pPr>
              <w:spacing w:after="0"/>
              <w:rPr>
                <w:sz w:val="15"/>
                <w:szCs w:val="15"/>
                <w:color w:val="auto"/>
              </w:rPr>
            </w:pPr>
          </w:p>
        </w:tc>
        <w:tc>
          <w:tcPr>
            <w:tcW w:w="1000" w:type="dxa"/>
            <w:vAlign w:val="bottom"/>
            <w:gridSpan w:val="2"/>
            <w:shd w:val="clear" w:color="auto" w:fill="B9D9EB"/>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B9D9EB"/>
          </w:tcPr>
          <w:p>
            <w:pPr>
              <w:spacing w:after="0"/>
              <w:rPr>
                <w:sz w:val="15"/>
                <w:szCs w:val="15"/>
                <w:color w:val="auto"/>
              </w:rPr>
            </w:pPr>
          </w:p>
        </w:tc>
        <w:tc>
          <w:tcPr>
            <w:tcW w:w="8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(398)</w:t>
            </w:r>
          </w:p>
        </w:tc>
        <w:tc>
          <w:tcPr>
            <w:tcW w:w="2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10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B9D9EB"/>
          </w:tcPr>
          <w:p>
            <w:pPr>
              <w:spacing w:after="0"/>
              <w:rPr>
                <w:sz w:val="15"/>
                <w:szCs w:val="15"/>
                <w:color w:val="auto"/>
              </w:rPr>
            </w:pPr>
          </w:p>
        </w:tc>
      </w:tr>
      <w:tr>
        <w:trPr>
          <w:trHeight w:val="180"/>
        </w:trPr>
        <w:tc>
          <w:tcPr>
            <w:tcW w:w="2860" w:type="dxa"/>
            <w:vAlign w:val="bottom"/>
            <w:tcBorders>
              <w:bottom w:val="single" w:sz="8" w:color="B9D9EB"/>
            </w:tcBorders>
          </w:tcPr>
          <w:p>
            <w:pPr>
              <w:ind w:left="80"/>
              <w:spacing w:after="0"/>
              <w:rPr>
                <w:sz w:val="20"/>
                <w:szCs w:val="20"/>
                <w:color w:val="auto"/>
              </w:rPr>
            </w:pPr>
            <w:r>
              <w:rPr>
                <w:rFonts w:ascii="Arial" w:cs="Arial" w:eastAsia="Arial" w:hAnsi="Arial"/>
                <w:sz w:val="12"/>
                <w:szCs w:val="12"/>
                <w:color w:val="auto"/>
              </w:rPr>
              <w:t>Discrete tax items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(17,088)</w:t>
            </w:r>
          </w:p>
        </w:tc>
        <w:tc>
          <w:tcPr>
            <w:tcW w:w="80" w:type="dxa"/>
            <w:vAlign w:val="bottom"/>
            <w:tcBorders>
              <w:bottom w:val="single" w:sz="8" w:color="B9D9EB"/>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(10,628)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B9D9EB"/>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(47,601)</w:t>
            </w:r>
          </w:p>
        </w:tc>
        <w:tc>
          <w:tcPr>
            <w:tcW w:w="20" w:type="dxa"/>
            <w:vAlign w:val="bottom"/>
            <w:tcBorders>
              <w:bottom w:val="single" w:sz="8" w:color="auto"/>
            </w:tcBorders>
          </w:tcPr>
          <w:p>
            <w:pPr>
              <w:spacing w:after="0"/>
              <w:rPr>
                <w:sz w:val="15"/>
                <w:szCs w:val="15"/>
                <w:color w:val="auto"/>
              </w:rPr>
            </w:pPr>
          </w:p>
        </w:tc>
      </w:tr>
      <w:tr>
        <w:trPr>
          <w:trHeight w:val="160"/>
        </w:trPr>
        <w:tc>
          <w:tcPr>
            <w:tcW w:w="2860" w:type="dxa"/>
            <w:vAlign w:val="bottom"/>
            <w:shd w:val="clear" w:color="auto" w:fill="B9D9EB"/>
          </w:tcPr>
          <w:p>
            <w:pPr>
              <w:spacing w:after="0"/>
              <w:rPr>
                <w:sz w:val="20"/>
                <w:szCs w:val="20"/>
                <w:color w:val="auto"/>
              </w:rPr>
            </w:pPr>
            <w:r>
              <w:rPr>
                <w:rFonts w:ascii="Arial" w:cs="Arial" w:eastAsia="Arial" w:hAnsi="Arial"/>
                <w:sz w:val="12"/>
                <w:szCs w:val="12"/>
                <w:color w:val="auto"/>
              </w:rPr>
              <w:t>Total Adjustments</w:t>
            </w:r>
          </w:p>
        </w:tc>
        <w:tc>
          <w:tcPr>
            <w:tcW w:w="140" w:type="dxa"/>
            <w:vAlign w:val="bottom"/>
            <w:tcBorders>
              <w:bottom w:val="single" w:sz="8" w:color="auto"/>
            </w:tcBorders>
            <w:shd w:val="clear" w:color="auto" w:fill="B9D9EB"/>
          </w:tcPr>
          <w:p>
            <w:pPr>
              <w:spacing w:after="0"/>
              <w:rPr>
                <w:sz w:val="13"/>
                <w:szCs w:val="13"/>
                <w:color w:val="auto"/>
              </w:rPr>
            </w:pPr>
          </w:p>
        </w:tc>
        <w:tc>
          <w:tcPr>
            <w:tcW w:w="920" w:type="dxa"/>
            <w:vAlign w:val="bottom"/>
            <w:tcBorders>
              <w:bottom w:val="single" w:sz="8" w:color="auto"/>
              <w:right w:val="single" w:sz="8" w:color="B9D9EB"/>
            </w:tcBorders>
            <w:shd w:val="clear" w:color="auto" w:fill="B9D9EB"/>
          </w:tcPr>
          <w:p>
            <w:pPr>
              <w:jc w:val="right"/>
              <w:spacing w:after="0"/>
              <w:rPr>
                <w:sz w:val="20"/>
                <w:szCs w:val="20"/>
                <w:color w:val="auto"/>
              </w:rPr>
            </w:pPr>
            <w:r>
              <w:rPr>
                <w:rFonts w:ascii="Arial" w:cs="Arial" w:eastAsia="Arial" w:hAnsi="Arial"/>
                <w:sz w:val="12"/>
                <w:szCs w:val="12"/>
                <w:color w:val="auto"/>
              </w:rPr>
              <w:t>(12,990)</w:t>
            </w:r>
          </w:p>
        </w:tc>
        <w:tc>
          <w:tcPr>
            <w:tcW w:w="80" w:type="dxa"/>
            <w:vAlign w:val="bottom"/>
            <w:shd w:val="clear" w:color="auto" w:fill="B9D9EB"/>
          </w:tcPr>
          <w:p>
            <w:pPr>
              <w:spacing w:after="0"/>
              <w:rPr>
                <w:sz w:val="13"/>
                <w:szCs w:val="13"/>
                <w:color w:val="auto"/>
              </w:rPr>
            </w:pPr>
          </w:p>
        </w:tc>
        <w:tc>
          <w:tcPr>
            <w:tcW w:w="240" w:type="dxa"/>
            <w:vAlign w:val="bottom"/>
            <w:tcBorders>
              <w:bottom w:val="single" w:sz="8" w:color="auto"/>
            </w:tcBorders>
            <w:shd w:val="clear" w:color="auto" w:fill="B9D9EB"/>
          </w:tcPr>
          <w:p>
            <w:pPr>
              <w:spacing w:after="0"/>
              <w:rPr>
                <w:sz w:val="13"/>
                <w:szCs w:val="13"/>
                <w:color w:val="auto"/>
              </w:rPr>
            </w:pPr>
          </w:p>
        </w:tc>
        <w:tc>
          <w:tcPr>
            <w:tcW w:w="8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(12,742)</w:t>
            </w:r>
          </w:p>
        </w:tc>
        <w:tc>
          <w:tcPr>
            <w:tcW w:w="20" w:type="dxa"/>
            <w:vAlign w:val="bottom"/>
            <w:tcBorders>
              <w:bottom w:val="single" w:sz="8" w:color="auto"/>
            </w:tcBorders>
            <w:shd w:val="clear" w:color="auto" w:fill="B9D9EB"/>
          </w:tcPr>
          <w:p>
            <w:pPr>
              <w:spacing w:after="0"/>
              <w:rPr>
                <w:sz w:val="13"/>
                <w:szCs w:val="13"/>
                <w:color w:val="auto"/>
              </w:rPr>
            </w:pPr>
          </w:p>
        </w:tc>
        <w:tc>
          <w:tcPr>
            <w:tcW w:w="80" w:type="dxa"/>
            <w:vAlign w:val="bottom"/>
            <w:shd w:val="clear" w:color="auto" w:fill="B9D9EB"/>
          </w:tcPr>
          <w:p>
            <w:pPr>
              <w:spacing w:after="0"/>
              <w:rPr>
                <w:sz w:val="13"/>
                <w:szCs w:val="13"/>
                <w:color w:val="auto"/>
              </w:rPr>
            </w:pPr>
          </w:p>
        </w:tc>
        <w:tc>
          <w:tcPr>
            <w:tcW w:w="80" w:type="dxa"/>
            <w:vAlign w:val="bottom"/>
            <w:tcBorders>
              <w:bottom w:val="single" w:sz="8" w:color="auto"/>
            </w:tcBorders>
            <w:shd w:val="clear" w:color="auto" w:fill="B9D9EB"/>
          </w:tcPr>
          <w:p>
            <w:pPr>
              <w:spacing w:after="0"/>
              <w:rPr>
                <w:sz w:val="13"/>
                <w:szCs w:val="13"/>
                <w:color w:val="auto"/>
              </w:rPr>
            </w:pPr>
          </w:p>
        </w:tc>
        <w:tc>
          <w:tcPr>
            <w:tcW w:w="10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(43,854)</w:t>
            </w:r>
          </w:p>
        </w:tc>
        <w:tc>
          <w:tcPr>
            <w:tcW w:w="20" w:type="dxa"/>
            <w:vAlign w:val="bottom"/>
            <w:tcBorders>
              <w:bottom w:val="single" w:sz="8" w:color="auto"/>
            </w:tcBorders>
            <w:shd w:val="clear" w:color="auto" w:fill="B9D9EB"/>
          </w:tcPr>
          <w:p>
            <w:pPr>
              <w:spacing w:after="0"/>
              <w:rPr>
                <w:sz w:val="13"/>
                <w:szCs w:val="13"/>
                <w:color w:val="auto"/>
              </w:rPr>
            </w:pPr>
          </w:p>
        </w:tc>
      </w:tr>
      <w:tr>
        <w:trPr>
          <w:trHeight w:val="142"/>
        </w:trPr>
        <w:tc>
          <w:tcPr>
            <w:tcW w:w="2860" w:type="dxa"/>
            <w:vAlign w:val="bottom"/>
          </w:tcPr>
          <w:p>
            <w:pPr>
              <w:spacing w:after="0"/>
              <w:rPr>
                <w:sz w:val="20"/>
                <w:szCs w:val="20"/>
                <w:color w:val="auto"/>
              </w:rPr>
            </w:pPr>
            <w:r>
              <w:rPr>
                <w:rFonts w:ascii="Arial" w:cs="Arial" w:eastAsia="Arial" w:hAnsi="Arial"/>
                <w:sz w:val="12"/>
                <w:szCs w:val="12"/>
                <w:color w:val="auto"/>
              </w:rPr>
              <w:t>Adjusted income tax benefit (provision)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(64,649)</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(25,814)</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(43,183)</w:t>
            </w:r>
          </w:p>
        </w:tc>
        <w:tc>
          <w:tcPr>
            <w:tcW w:w="20" w:type="dxa"/>
            <w:vAlign w:val="bottom"/>
            <w:tcBorders>
              <w:bottom w:val="single" w:sz="8" w:color="auto"/>
            </w:tcBorders>
          </w:tcPr>
          <w:p>
            <w:pPr>
              <w:spacing w:after="0"/>
              <w:rPr>
                <w:sz w:val="12"/>
                <w:szCs w:val="12"/>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71"/>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682"/>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764"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2"/>
          <w:szCs w:val="12"/>
          <w:b w:val="1"/>
          <w:bCs w:val="1"/>
          <w:color w:val="auto"/>
        </w:rPr>
        <w:t>NOBLE CORPORATION plc AND SUBSIDIARIES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NON-GAAP MEASURES AND RECONCILIATION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per share amounts)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00" w:lineRule="exact"/>
        <w:rPr>
          <w:sz w:val="20"/>
          <w:szCs w:val="20"/>
          <w:color w:val="auto"/>
        </w:rPr>
      </w:pPr>
    </w:p>
    <w:p>
      <w:pPr>
        <w:ind w:left="1380"/>
        <w:spacing w:after="0"/>
        <w:rPr>
          <w:sz w:val="20"/>
          <w:szCs w:val="20"/>
          <w:color w:val="auto"/>
        </w:rPr>
      </w:pPr>
      <w:r>
        <w:rPr>
          <w:rFonts w:ascii="Arial" w:cs="Arial" w:eastAsia="Arial" w:hAnsi="Arial"/>
          <w:sz w:val="12"/>
          <w:szCs w:val="12"/>
          <w:b w:val="1"/>
          <w:bCs w:val="1"/>
          <w:color w:val="auto"/>
        </w:rPr>
        <w:t>Reconciliation of Net Income (Loss)</w:t>
      </w:r>
    </w:p>
    <w:p>
      <w:pPr>
        <w:spacing w:after="0" w:line="66" w:lineRule="exact"/>
        <w:rPr>
          <w:sz w:val="20"/>
          <w:szCs w:val="20"/>
          <w:color w:val="auto"/>
        </w:rPr>
      </w:pPr>
    </w:p>
    <w:tbl>
      <w:tblPr>
        <w:tblLayout w:type="fixed"/>
        <w:tblInd w:w="1380" w:type="dxa"/>
        <w:tblCellMar>
          <w:top w:w="0" w:type="dxa"/>
          <w:left w:w="0" w:type="dxa"/>
          <w:bottom w:w="0" w:type="dxa"/>
          <w:right w:w="0" w:type="dxa"/>
        </w:tblCellMar>
      </w:tblPr>
      <w:tr>
        <w:trPr>
          <w:trHeight w:val="134"/>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40" w:type="dxa"/>
            <w:vAlign w:val="bottom"/>
            <w:gridSpan w:val="5"/>
          </w:tcPr>
          <w:p>
            <w:pPr>
              <w:ind w:left="140"/>
              <w:spacing w:after="0"/>
              <w:rPr>
                <w:sz w:val="20"/>
                <w:szCs w:val="20"/>
                <w:color w:val="auto"/>
              </w:rPr>
            </w:pPr>
            <w:r>
              <w:rPr>
                <w:rFonts w:ascii="Arial" w:cs="Arial" w:eastAsia="Arial" w:hAnsi="Arial"/>
                <w:sz w:val="10"/>
                <w:szCs w:val="10"/>
                <w:b w:val="1"/>
                <w:bCs w:val="1"/>
                <w:color w:val="auto"/>
              </w:rPr>
              <w:t>Three Months Ended September 30,</w:t>
            </w:r>
          </w:p>
        </w:tc>
        <w:tc>
          <w:tcPr>
            <w:tcW w:w="80" w:type="dxa"/>
            <w:vAlign w:val="bottom"/>
          </w:tcPr>
          <w:p>
            <w:pPr>
              <w:spacing w:after="0"/>
              <w:rPr>
                <w:sz w:val="11"/>
                <w:szCs w:val="11"/>
                <w:color w:val="auto"/>
              </w:rPr>
            </w:pPr>
          </w:p>
        </w:tc>
        <w:tc>
          <w:tcPr>
            <w:tcW w:w="1040" w:type="dxa"/>
            <w:vAlign w:val="bottom"/>
          </w:tcPr>
          <w:p>
            <w:pPr>
              <w:jc w:val="center"/>
              <w:ind w:right="42"/>
              <w:spacing w:after="0"/>
              <w:rPr>
                <w:sz w:val="20"/>
                <w:szCs w:val="20"/>
                <w:color w:val="auto"/>
              </w:rPr>
            </w:pPr>
            <w:r>
              <w:rPr>
                <w:rFonts w:ascii="Arial" w:cs="Arial" w:eastAsia="Arial" w:hAnsi="Arial"/>
                <w:sz w:val="10"/>
                <w:szCs w:val="10"/>
                <w:b w:val="1"/>
                <w:bCs w:val="1"/>
                <w:color w:val="auto"/>
                <w:w w:val="94"/>
              </w:rPr>
              <w:t>Three Months Ended</w:t>
            </w:r>
          </w:p>
        </w:tc>
      </w:tr>
      <w:tr>
        <w:trPr>
          <w:trHeight w:val="160"/>
        </w:trPr>
        <w:tc>
          <w:tcPr>
            <w:tcW w:w="2860" w:type="dxa"/>
            <w:vAlign w:val="bottom"/>
            <w:tcBorders>
              <w:bottom w:val="single" w:sz="8" w:color="B9D9EB"/>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top w:val="single" w:sz="8" w:color="auto"/>
              <w:bottom w:val="single" w:sz="8" w:color="B9D9EB"/>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bottom w:val="single" w:sz="8" w:color="B9D9EB"/>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5"/>
              </w:rPr>
              <w:t>June 30, 2023</w:t>
            </w:r>
          </w:p>
        </w:tc>
      </w:tr>
      <w:tr>
        <w:trPr>
          <w:trHeight w:val="161"/>
        </w:trPr>
        <w:tc>
          <w:tcPr>
            <w:tcW w:w="2860" w:type="dxa"/>
            <w:vAlign w:val="bottom"/>
            <w:shd w:val="clear" w:color="auto" w:fill="B9D9EB"/>
          </w:tcPr>
          <w:p>
            <w:pPr>
              <w:spacing w:after="0"/>
              <w:rPr>
                <w:sz w:val="20"/>
                <w:szCs w:val="20"/>
                <w:color w:val="auto"/>
              </w:rPr>
            </w:pPr>
            <w:r>
              <w:rPr>
                <w:rFonts w:ascii="Arial" w:cs="Arial" w:eastAsia="Arial" w:hAnsi="Arial"/>
                <w:sz w:val="12"/>
                <w:szCs w:val="12"/>
                <w:color w:val="auto"/>
              </w:rPr>
              <w:t>Net income (loss)</w:t>
            </w:r>
          </w:p>
        </w:tc>
        <w:tc>
          <w:tcPr>
            <w:tcW w:w="14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158,323</w:t>
            </w:r>
          </w:p>
        </w:tc>
        <w:tc>
          <w:tcPr>
            <w:tcW w:w="80" w:type="dxa"/>
            <w:vAlign w:val="bottom"/>
            <w:shd w:val="clear" w:color="auto" w:fill="B9D9EB"/>
          </w:tcPr>
          <w:p>
            <w:pPr>
              <w:spacing w:after="0"/>
              <w:rPr>
                <w:sz w:val="14"/>
                <w:szCs w:val="14"/>
                <w:color w:val="auto"/>
              </w:rPr>
            </w:pPr>
          </w:p>
        </w:tc>
        <w:tc>
          <w:tcPr>
            <w:tcW w:w="240" w:type="dxa"/>
            <w:vAlign w:val="bottom"/>
            <w:shd w:val="clear" w:color="auto" w:fill="B9D9EB"/>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33,585</w:t>
            </w:r>
          </w:p>
        </w:tc>
        <w:tc>
          <w:tcPr>
            <w:tcW w:w="100" w:type="dxa"/>
            <w:vAlign w:val="bottom"/>
            <w:shd w:val="clear" w:color="auto" w:fill="B9D9EB"/>
          </w:tcPr>
          <w:p>
            <w:pPr>
              <w:spacing w:after="0"/>
              <w:rPr>
                <w:sz w:val="14"/>
                <w:szCs w:val="14"/>
                <w:color w:val="auto"/>
              </w:rPr>
            </w:pPr>
          </w:p>
        </w:tc>
        <w:tc>
          <w:tcPr>
            <w:tcW w:w="8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65,816</w:t>
            </w:r>
          </w:p>
        </w:tc>
      </w:tr>
      <w:tr>
        <w:trPr>
          <w:trHeight w:val="180"/>
        </w:trPr>
        <w:tc>
          <w:tcPr>
            <w:tcW w:w="2860" w:type="dxa"/>
            <w:vAlign w:val="bottom"/>
          </w:tcPr>
          <w:p>
            <w:pPr>
              <w:spacing w:after="0"/>
              <w:rPr>
                <w:sz w:val="20"/>
                <w:szCs w:val="20"/>
                <w:color w:val="auto"/>
              </w:rPr>
            </w:pPr>
            <w:r>
              <w:rPr>
                <w:rFonts w:ascii="Arial" w:cs="Arial" w:eastAsia="Arial" w:hAnsi="Arial"/>
                <w:sz w:val="12"/>
                <w:szCs w:val="12"/>
                <w:color w:val="auto"/>
              </w:rPr>
              <w:t>Adjustments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35"/>
        </w:trPr>
        <w:tc>
          <w:tcPr>
            <w:tcW w:w="2860" w:type="dxa"/>
            <w:vAlign w:val="bottom"/>
            <w:shd w:val="clear" w:color="auto" w:fill="B9D9EB"/>
          </w:tcPr>
          <w:p>
            <w:pPr>
              <w:ind w:left="80"/>
              <w:spacing w:after="0" w:line="136" w:lineRule="exact"/>
              <w:rPr>
                <w:sz w:val="20"/>
                <w:szCs w:val="20"/>
                <w:color w:val="auto"/>
              </w:rPr>
            </w:pPr>
            <w:r>
              <w:rPr>
                <w:rFonts w:ascii="Arial" w:cs="Arial" w:eastAsia="Arial" w:hAnsi="Arial"/>
                <w:sz w:val="12"/>
                <w:szCs w:val="12"/>
                <w:color w:val="auto"/>
              </w:rPr>
              <w:t>Amortization of intangible assets and contract</w:t>
            </w:r>
          </w:p>
        </w:tc>
        <w:tc>
          <w:tcPr>
            <w:tcW w:w="140" w:type="dxa"/>
            <w:vAlign w:val="bottom"/>
            <w:shd w:val="clear" w:color="auto" w:fill="B9D9EB"/>
          </w:tcPr>
          <w:p>
            <w:pPr>
              <w:spacing w:after="0"/>
              <w:rPr>
                <w:sz w:val="11"/>
                <w:szCs w:val="11"/>
                <w:color w:val="auto"/>
              </w:rPr>
            </w:pPr>
          </w:p>
        </w:tc>
        <w:tc>
          <w:tcPr>
            <w:tcW w:w="920" w:type="dxa"/>
            <w:vAlign w:val="bottom"/>
            <w:shd w:val="clear" w:color="auto" w:fill="B9D9EB"/>
          </w:tcPr>
          <w:p>
            <w:pPr>
              <w:spacing w:after="0"/>
              <w:rPr>
                <w:sz w:val="11"/>
                <w:szCs w:val="11"/>
                <w:color w:val="auto"/>
              </w:rPr>
            </w:pPr>
          </w:p>
        </w:tc>
        <w:tc>
          <w:tcPr>
            <w:tcW w:w="80" w:type="dxa"/>
            <w:vAlign w:val="bottom"/>
            <w:shd w:val="clear" w:color="auto" w:fill="B9D9EB"/>
          </w:tcPr>
          <w:p>
            <w:pPr>
              <w:spacing w:after="0"/>
              <w:rPr>
                <w:sz w:val="11"/>
                <w:szCs w:val="11"/>
                <w:color w:val="auto"/>
              </w:rPr>
            </w:pPr>
          </w:p>
        </w:tc>
        <w:tc>
          <w:tcPr>
            <w:tcW w:w="240" w:type="dxa"/>
            <w:vAlign w:val="bottom"/>
            <w:shd w:val="clear" w:color="auto" w:fill="B9D9EB"/>
          </w:tcPr>
          <w:p>
            <w:pPr>
              <w:spacing w:after="0"/>
              <w:rPr>
                <w:sz w:val="11"/>
                <w:szCs w:val="11"/>
                <w:color w:val="auto"/>
              </w:rPr>
            </w:pPr>
          </w:p>
        </w:tc>
        <w:tc>
          <w:tcPr>
            <w:tcW w:w="800" w:type="dxa"/>
            <w:vAlign w:val="bottom"/>
            <w:shd w:val="clear" w:color="auto" w:fill="B9D9EB"/>
          </w:tcPr>
          <w:p>
            <w:pPr>
              <w:spacing w:after="0"/>
              <w:rPr>
                <w:sz w:val="11"/>
                <w:szCs w:val="11"/>
                <w:color w:val="auto"/>
              </w:rPr>
            </w:pPr>
          </w:p>
        </w:tc>
        <w:tc>
          <w:tcPr>
            <w:tcW w:w="100" w:type="dxa"/>
            <w:vAlign w:val="bottom"/>
            <w:shd w:val="clear" w:color="auto" w:fill="B9D9EB"/>
          </w:tcPr>
          <w:p>
            <w:pPr>
              <w:spacing w:after="0"/>
              <w:rPr>
                <w:sz w:val="11"/>
                <w:szCs w:val="11"/>
                <w:color w:val="auto"/>
              </w:rPr>
            </w:pPr>
          </w:p>
        </w:tc>
        <w:tc>
          <w:tcPr>
            <w:tcW w:w="80" w:type="dxa"/>
            <w:vAlign w:val="bottom"/>
            <w:shd w:val="clear" w:color="auto" w:fill="B9D9EB"/>
          </w:tcPr>
          <w:p>
            <w:pPr>
              <w:spacing w:after="0"/>
              <w:rPr>
                <w:sz w:val="11"/>
                <w:szCs w:val="11"/>
                <w:color w:val="auto"/>
              </w:rPr>
            </w:pPr>
          </w:p>
        </w:tc>
        <w:tc>
          <w:tcPr>
            <w:tcW w:w="1040" w:type="dxa"/>
            <w:vAlign w:val="bottom"/>
            <w:shd w:val="clear" w:color="auto" w:fill="B9D9EB"/>
          </w:tcPr>
          <w:p>
            <w:pPr>
              <w:spacing w:after="0"/>
              <w:rPr>
                <w:sz w:val="11"/>
                <w:szCs w:val="11"/>
                <w:color w:val="auto"/>
              </w:rPr>
            </w:pPr>
          </w:p>
        </w:tc>
      </w:tr>
      <w:tr>
        <w:trPr>
          <w:trHeight w:val="153"/>
        </w:trPr>
        <w:tc>
          <w:tcPr>
            <w:tcW w:w="2860" w:type="dxa"/>
            <w:vAlign w:val="bottom"/>
            <w:shd w:val="clear" w:color="auto" w:fill="B9D9EB"/>
          </w:tcPr>
          <w:p>
            <w:pPr>
              <w:ind w:left="80"/>
              <w:spacing w:after="0"/>
              <w:rPr>
                <w:sz w:val="20"/>
                <w:szCs w:val="20"/>
                <w:color w:val="auto"/>
              </w:rPr>
            </w:pPr>
            <w:r>
              <w:rPr>
                <w:rFonts w:ascii="Arial" w:cs="Arial" w:eastAsia="Arial" w:hAnsi="Arial"/>
                <w:sz w:val="12"/>
                <w:szCs w:val="12"/>
                <w:color w:val="auto"/>
              </w:rPr>
              <w:t>liabilities, net</w:t>
            </w:r>
          </w:p>
        </w:tc>
        <w:tc>
          <w:tcPr>
            <w:tcW w:w="140" w:type="dxa"/>
            <w:vAlign w:val="bottom"/>
            <w:shd w:val="clear" w:color="auto" w:fill="B9D9EB"/>
          </w:tcPr>
          <w:p>
            <w:pPr>
              <w:spacing w:after="0"/>
              <w:rPr>
                <w:sz w:val="13"/>
                <w:szCs w:val="13"/>
                <w:color w:val="auto"/>
              </w:rPr>
            </w:pPr>
          </w:p>
        </w:tc>
        <w:tc>
          <w:tcPr>
            <w:tcW w:w="9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(4,724)</w:t>
            </w:r>
          </w:p>
        </w:tc>
        <w:tc>
          <w:tcPr>
            <w:tcW w:w="80" w:type="dxa"/>
            <w:vAlign w:val="bottom"/>
            <w:shd w:val="clear" w:color="auto" w:fill="B9D9EB"/>
          </w:tcPr>
          <w:p>
            <w:pPr>
              <w:spacing w:after="0"/>
              <w:rPr>
                <w:sz w:val="13"/>
                <w:szCs w:val="13"/>
                <w:color w:val="auto"/>
              </w:rPr>
            </w:pPr>
          </w:p>
        </w:tc>
        <w:tc>
          <w:tcPr>
            <w:tcW w:w="240" w:type="dxa"/>
            <w:vAlign w:val="bottom"/>
            <w:shd w:val="clear" w:color="auto" w:fill="B9D9EB"/>
          </w:tcPr>
          <w:p>
            <w:pPr>
              <w:spacing w:after="0"/>
              <w:rPr>
                <w:sz w:val="13"/>
                <w:szCs w:val="13"/>
                <w:color w:val="auto"/>
              </w:rPr>
            </w:pP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6,454</w:t>
            </w:r>
          </w:p>
        </w:tc>
        <w:tc>
          <w:tcPr>
            <w:tcW w:w="100" w:type="dxa"/>
            <w:vAlign w:val="bottom"/>
            <w:shd w:val="clear" w:color="auto" w:fill="B9D9EB"/>
          </w:tcPr>
          <w:p>
            <w:pPr>
              <w:spacing w:after="0"/>
              <w:rPr>
                <w:sz w:val="13"/>
                <w:szCs w:val="13"/>
                <w:color w:val="auto"/>
              </w:rPr>
            </w:pPr>
          </w:p>
        </w:tc>
        <w:tc>
          <w:tcPr>
            <w:tcW w:w="80" w:type="dxa"/>
            <w:vAlign w:val="bottom"/>
            <w:shd w:val="clear" w:color="auto" w:fill="B9D9EB"/>
          </w:tcPr>
          <w:p>
            <w:pPr>
              <w:spacing w:after="0"/>
              <w:rPr>
                <w:sz w:val="13"/>
                <w:szCs w:val="13"/>
                <w:color w:val="auto"/>
              </w:rPr>
            </w:pPr>
          </w:p>
        </w:tc>
        <w:tc>
          <w:tcPr>
            <w:tcW w:w="1040" w:type="dxa"/>
            <w:vAlign w:val="bottom"/>
            <w:shd w:val="clear" w:color="auto" w:fill="B9D9EB"/>
          </w:tcPr>
          <w:p>
            <w:pPr>
              <w:jc w:val="right"/>
              <w:spacing w:after="0"/>
              <w:rPr>
                <w:sz w:val="20"/>
                <w:szCs w:val="20"/>
                <w:color w:val="auto"/>
              </w:rPr>
            </w:pPr>
            <w:r>
              <w:rPr>
                <w:rFonts w:ascii="Arial" w:cs="Arial" w:eastAsia="Arial" w:hAnsi="Arial"/>
                <w:sz w:val="12"/>
                <w:szCs w:val="12"/>
                <w:color w:val="auto"/>
              </w:rPr>
              <w:t>(27,262)</w:t>
            </w:r>
          </w:p>
        </w:tc>
      </w:tr>
      <w:tr>
        <w:trPr>
          <w:trHeight w:val="225"/>
        </w:trPr>
        <w:tc>
          <w:tcPr>
            <w:tcW w:w="2860" w:type="dxa"/>
            <w:vAlign w:val="bottom"/>
          </w:tcPr>
          <w:p>
            <w:pPr>
              <w:ind w:left="80"/>
              <w:spacing w:after="0"/>
              <w:rPr>
                <w:sz w:val="20"/>
                <w:szCs w:val="20"/>
                <w:color w:val="auto"/>
              </w:rPr>
            </w:pPr>
            <w:r>
              <w:rPr>
                <w:rFonts w:ascii="Arial" w:cs="Arial" w:eastAsia="Arial" w:hAnsi="Arial"/>
                <w:sz w:val="12"/>
                <w:szCs w:val="12"/>
                <w:color w:val="auto"/>
              </w:rPr>
              <w:t>Joint taxation scheme compensation</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(19,837)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225"/>
        </w:trPr>
        <w:tc>
          <w:tcPr>
            <w:tcW w:w="2860" w:type="dxa"/>
            <w:vAlign w:val="bottom"/>
            <w:shd w:val="clear" w:color="auto" w:fill="B9D9EB"/>
          </w:tcPr>
          <w:p>
            <w:pPr>
              <w:ind w:left="80"/>
              <w:spacing w:after="0"/>
              <w:rPr>
                <w:sz w:val="20"/>
                <w:szCs w:val="20"/>
                <w:color w:val="auto"/>
              </w:rPr>
            </w:pPr>
            <w:r>
              <w:rPr>
                <w:rFonts w:ascii="Arial" w:cs="Arial" w:eastAsia="Arial" w:hAnsi="Arial"/>
                <w:sz w:val="12"/>
                <w:szCs w:val="12"/>
                <w:color w:val="auto"/>
              </w:rPr>
              <w:t>Gain on bargain purchase</w:t>
            </w:r>
          </w:p>
        </w:tc>
        <w:tc>
          <w:tcPr>
            <w:tcW w:w="140" w:type="dxa"/>
            <w:vAlign w:val="bottom"/>
            <w:shd w:val="clear" w:color="auto" w:fill="B9D9EB"/>
          </w:tcPr>
          <w:p>
            <w:pPr>
              <w:spacing w:after="0"/>
              <w:rPr>
                <w:sz w:val="19"/>
                <w:szCs w:val="19"/>
                <w:color w:val="auto"/>
              </w:rPr>
            </w:pPr>
          </w:p>
        </w:tc>
        <w:tc>
          <w:tcPr>
            <w:tcW w:w="9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(5,005)</w:t>
            </w:r>
          </w:p>
        </w:tc>
        <w:tc>
          <w:tcPr>
            <w:tcW w:w="80" w:type="dxa"/>
            <w:vAlign w:val="bottom"/>
            <w:shd w:val="clear" w:color="auto" w:fill="B9D9EB"/>
          </w:tcPr>
          <w:p>
            <w:pPr>
              <w:spacing w:after="0"/>
              <w:rPr>
                <w:sz w:val="19"/>
                <w:szCs w:val="19"/>
                <w:color w:val="auto"/>
              </w:rPr>
            </w:pPr>
          </w:p>
        </w:tc>
        <w:tc>
          <w:tcPr>
            <w:tcW w:w="240" w:type="dxa"/>
            <w:vAlign w:val="bottom"/>
            <w:shd w:val="clear" w:color="auto" w:fill="B9D9EB"/>
          </w:tcPr>
          <w:p>
            <w:pPr>
              <w:spacing w:after="0"/>
              <w:rPr>
                <w:sz w:val="19"/>
                <w:szCs w:val="19"/>
                <w:color w:val="auto"/>
              </w:rPr>
            </w:pPr>
          </w:p>
        </w:tc>
        <w:tc>
          <w:tcPr>
            <w:tcW w:w="900" w:type="dxa"/>
            <w:vAlign w:val="bottom"/>
            <w:gridSpan w:val="2"/>
            <w:shd w:val="clear" w:color="auto" w:fill="B9D9EB"/>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B9D9EB"/>
          </w:tcPr>
          <w:p>
            <w:pPr>
              <w:spacing w:after="0"/>
              <w:rPr>
                <w:sz w:val="19"/>
                <w:szCs w:val="19"/>
                <w:color w:val="auto"/>
              </w:rPr>
            </w:pPr>
          </w:p>
        </w:tc>
        <w:tc>
          <w:tcPr>
            <w:tcW w:w="104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w:t>
            </w:r>
          </w:p>
        </w:tc>
      </w:tr>
      <w:tr>
        <w:trPr>
          <w:trHeight w:val="180"/>
        </w:trPr>
        <w:tc>
          <w:tcPr>
            <w:tcW w:w="2860" w:type="dxa"/>
            <w:vAlign w:val="bottom"/>
          </w:tcPr>
          <w:p>
            <w:pPr>
              <w:ind w:left="80"/>
              <w:spacing w:after="0"/>
              <w:rPr>
                <w:sz w:val="20"/>
                <w:szCs w:val="20"/>
                <w:color w:val="auto"/>
              </w:rPr>
            </w:pPr>
            <w:r>
              <w:rPr>
                <w:rFonts w:ascii="Arial" w:cs="Arial" w:eastAsia="Arial" w:hAnsi="Arial"/>
                <w:sz w:val="12"/>
                <w:szCs w:val="12"/>
                <w:color w:val="auto"/>
              </w:rPr>
              <w:t>Professional services - corporate projects</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400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80"/>
        </w:trPr>
        <w:tc>
          <w:tcPr>
            <w:tcW w:w="2860" w:type="dxa"/>
            <w:vAlign w:val="bottom"/>
            <w:shd w:val="clear" w:color="auto" w:fill="B9D9EB"/>
          </w:tcPr>
          <w:p>
            <w:pPr>
              <w:ind w:left="80"/>
              <w:spacing w:after="0"/>
              <w:rPr>
                <w:sz w:val="20"/>
                <w:szCs w:val="20"/>
                <w:color w:val="auto"/>
              </w:rPr>
            </w:pPr>
            <w:r>
              <w:rPr>
                <w:rFonts w:ascii="Arial" w:cs="Arial" w:eastAsia="Arial" w:hAnsi="Arial"/>
                <w:sz w:val="12"/>
                <w:szCs w:val="12"/>
                <w:color w:val="auto"/>
              </w:rPr>
              <w:t>Merger and integration costs</w:t>
            </w:r>
          </w:p>
        </w:tc>
        <w:tc>
          <w:tcPr>
            <w:tcW w:w="140" w:type="dxa"/>
            <w:vAlign w:val="bottom"/>
            <w:shd w:val="clear" w:color="auto" w:fill="B9D9EB"/>
          </w:tcPr>
          <w:p>
            <w:pPr>
              <w:spacing w:after="0"/>
              <w:rPr>
                <w:sz w:val="15"/>
                <w:szCs w:val="15"/>
                <w:color w:val="auto"/>
              </w:rPr>
            </w:pPr>
          </w:p>
        </w:tc>
        <w:tc>
          <w:tcPr>
            <w:tcW w:w="9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12,966</w:t>
            </w:r>
          </w:p>
        </w:tc>
        <w:tc>
          <w:tcPr>
            <w:tcW w:w="80" w:type="dxa"/>
            <w:vAlign w:val="bottom"/>
            <w:shd w:val="clear" w:color="auto" w:fill="B9D9EB"/>
          </w:tcPr>
          <w:p>
            <w:pPr>
              <w:spacing w:after="0"/>
              <w:rPr>
                <w:sz w:val="15"/>
                <w:szCs w:val="15"/>
                <w:color w:val="auto"/>
              </w:rPr>
            </w:pPr>
          </w:p>
        </w:tc>
        <w:tc>
          <w:tcPr>
            <w:tcW w:w="240" w:type="dxa"/>
            <w:vAlign w:val="bottom"/>
            <w:shd w:val="clear" w:color="auto" w:fill="B9D9EB"/>
          </w:tcPr>
          <w:p>
            <w:pPr>
              <w:spacing w:after="0"/>
              <w:rPr>
                <w:sz w:val="15"/>
                <w:szCs w:val="15"/>
                <w:color w:val="auto"/>
              </w:rPr>
            </w:pP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9,338</w:t>
            </w:r>
          </w:p>
        </w:tc>
        <w:tc>
          <w:tcPr>
            <w:tcW w:w="10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104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22,452</w:t>
            </w:r>
          </w:p>
        </w:tc>
      </w:tr>
      <w:tr>
        <w:trPr>
          <w:trHeight w:val="225"/>
        </w:trPr>
        <w:tc>
          <w:tcPr>
            <w:tcW w:w="2860" w:type="dxa"/>
            <w:vAlign w:val="bottom"/>
          </w:tcPr>
          <w:p>
            <w:pPr>
              <w:ind w:left="80"/>
              <w:spacing w:after="0"/>
              <w:rPr>
                <w:sz w:val="20"/>
                <w:szCs w:val="20"/>
                <w:color w:val="auto"/>
              </w:rPr>
            </w:pPr>
            <w:r>
              <w:rPr>
                <w:rFonts w:ascii="Arial" w:cs="Arial" w:eastAsia="Arial" w:hAnsi="Arial"/>
                <w:sz w:val="12"/>
                <w:szCs w:val="12"/>
                <w:color w:val="auto"/>
              </w:rPr>
              <w:t>(Gain) loss on sale of operating assets, net</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354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80"/>
        </w:trPr>
        <w:tc>
          <w:tcPr>
            <w:tcW w:w="2860" w:type="dxa"/>
            <w:vAlign w:val="bottom"/>
            <w:shd w:val="clear" w:color="auto" w:fill="B9D9EB"/>
          </w:tcPr>
          <w:p>
            <w:pPr>
              <w:ind w:left="80"/>
              <w:spacing w:after="0"/>
              <w:rPr>
                <w:sz w:val="20"/>
                <w:szCs w:val="20"/>
                <w:color w:val="auto"/>
              </w:rPr>
            </w:pPr>
            <w:r>
              <w:rPr>
                <w:rFonts w:ascii="Arial" w:cs="Arial" w:eastAsia="Arial" w:hAnsi="Arial"/>
                <w:sz w:val="12"/>
                <w:szCs w:val="12"/>
                <w:color w:val="auto"/>
              </w:rPr>
              <w:t>Hurricane losses and (recoveries), net</w:t>
            </w:r>
          </w:p>
        </w:tc>
        <w:tc>
          <w:tcPr>
            <w:tcW w:w="140" w:type="dxa"/>
            <w:vAlign w:val="bottom"/>
            <w:shd w:val="clear" w:color="auto" w:fill="B9D9EB"/>
          </w:tcPr>
          <w:p>
            <w:pPr>
              <w:spacing w:after="0"/>
              <w:rPr>
                <w:sz w:val="15"/>
                <w:szCs w:val="15"/>
                <w:color w:val="auto"/>
              </w:rPr>
            </w:pPr>
          </w:p>
        </w:tc>
        <w:tc>
          <w:tcPr>
            <w:tcW w:w="9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2,642</w:t>
            </w:r>
          </w:p>
        </w:tc>
        <w:tc>
          <w:tcPr>
            <w:tcW w:w="80" w:type="dxa"/>
            <w:vAlign w:val="bottom"/>
            <w:shd w:val="clear" w:color="auto" w:fill="B9D9EB"/>
          </w:tcPr>
          <w:p>
            <w:pPr>
              <w:spacing w:after="0"/>
              <w:rPr>
                <w:sz w:val="15"/>
                <w:szCs w:val="15"/>
                <w:color w:val="auto"/>
              </w:rPr>
            </w:pPr>
          </w:p>
        </w:tc>
        <w:tc>
          <w:tcPr>
            <w:tcW w:w="240" w:type="dxa"/>
            <w:vAlign w:val="bottom"/>
            <w:shd w:val="clear" w:color="auto" w:fill="B9D9EB"/>
          </w:tcPr>
          <w:p>
            <w:pPr>
              <w:spacing w:after="0"/>
              <w:rPr>
                <w:sz w:val="15"/>
                <w:szCs w:val="15"/>
                <w:color w:val="auto"/>
              </w:rPr>
            </w:pP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1,498</w:t>
            </w:r>
          </w:p>
        </w:tc>
        <w:tc>
          <w:tcPr>
            <w:tcW w:w="10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104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15,934</w:t>
            </w:r>
          </w:p>
        </w:tc>
      </w:tr>
      <w:tr>
        <w:trPr>
          <w:trHeight w:val="180"/>
        </w:trPr>
        <w:tc>
          <w:tcPr>
            <w:tcW w:w="2860" w:type="dxa"/>
            <w:vAlign w:val="bottom"/>
          </w:tcPr>
          <w:p>
            <w:pPr>
              <w:ind w:left="80"/>
              <w:spacing w:after="0"/>
              <w:rPr>
                <w:sz w:val="20"/>
                <w:szCs w:val="20"/>
                <w:color w:val="auto"/>
              </w:rPr>
            </w:pPr>
            <w:r>
              <w:rPr>
                <w:rFonts w:ascii="Arial" w:cs="Arial" w:eastAsia="Arial" w:hAnsi="Arial"/>
                <w:sz w:val="12"/>
                <w:szCs w:val="12"/>
                <w:color w:val="auto"/>
              </w:rPr>
              <w:t>(Gain) loss on extinguishment of debt, net</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196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26,397</w:t>
            </w:r>
          </w:p>
        </w:tc>
      </w:tr>
      <w:tr>
        <w:trPr>
          <w:trHeight w:val="180"/>
        </w:trPr>
        <w:tc>
          <w:tcPr>
            <w:tcW w:w="2860" w:type="dxa"/>
            <w:vAlign w:val="bottom"/>
            <w:shd w:val="clear" w:color="auto" w:fill="B9D9EB"/>
          </w:tcPr>
          <w:p>
            <w:pPr>
              <w:ind w:left="80"/>
              <w:spacing w:after="0"/>
              <w:rPr>
                <w:sz w:val="20"/>
                <w:szCs w:val="20"/>
                <w:color w:val="auto"/>
              </w:rPr>
            </w:pPr>
            <w:r>
              <w:rPr>
                <w:rFonts w:ascii="Arial" w:cs="Arial" w:eastAsia="Arial" w:hAnsi="Arial"/>
                <w:sz w:val="12"/>
                <w:szCs w:val="12"/>
                <w:color w:val="auto"/>
              </w:rPr>
              <w:t>Discrete tax items</w:t>
            </w:r>
          </w:p>
        </w:tc>
        <w:tc>
          <w:tcPr>
            <w:tcW w:w="140" w:type="dxa"/>
            <w:vAlign w:val="bottom"/>
            <w:tcBorders>
              <w:bottom w:val="single" w:sz="8" w:color="auto"/>
            </w:tcBorders>
            <w:shd w:val="clear" w:color="auto" w:fill="B9D9EB"/>
          </w:tcPr>
          <w:p>
            <w:pPr>
              <w:spacing w:after="0"/>
              <w:rPr>
                <w:sz w:val="15"/>
                <w:szCs w:val="15"/>
                <w:color w:val="auto"/>
              </w:rPr>
            </w:pPr>
          </w:p>
        </w:tc>
        <w:tc>
          <w:tcPr>
            <w:tcW w:w="9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(17,088)</w:t>
            </w:r>
          </w:p>
        </w:tc>
        <w:tc>
          <w:tcPr>
            <w:tcW w:w="80" w:type="dxa"/>
            <w:vAlign w:val="bottom"/>
            <w:shd w:val="clear" w:color="auto" w:fill="B9D9EB"/>
          </w:tcPr>
          <w:p>
            <w:pPr>
              <w:spacing w:after="0"/>
              <w:rPr>
                <w:sz w:val="15"/>
                <w:szCs w:val="15"/>
                <w:color w:val="auto"/>
              </w:rPr>
            </w:pPr>
          </w:p>
        </w:tc>
        <w:tc>
          <w:tcPr>
            <w:tcW w:w="240" w:type="dxa"/>
            <w:vAlign w:val="bottom"/>
            <w:tcBorders>
              <w:bottom w:val="single" w:sz="8" w:color="auto"/>
            </w:tcBorders>
            <w:shd w:val="clear" w:color="auto" w:fill="B9D9EB"/>
          </w:tcPr>
          <w:p>
            <w:pPr>
              <w:spacing w:after="0"/>
              <w:rPr>
                <w:sz w:val="15"/>
                <w:szCs w:val="15"/>
                <w:color w:val="auto"/>
              </w:rPr>
            </w:pPr>
          </w:p>
        </w:tc>
        <w:tc>
          <w:tcPr>
            <w:tcW w:w="8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(10,628)</w:t>
            </w:r>
          </w:p>
        </w:tc>
        <w:tc>
          <w:tcPr>
            <w:tcW w:w="100" w:type="dxa"/>
            <w:vAlign w:val="bottom"/>
            <w:shd w:val="clear" w:color="auto" w:fill="B9D9EB"/>
          </w:tcPr>
          <w:p>
            <w:pPr>
              <w:spacing w:after="0"/>
              <w:rPr>
                <w:sz w:val="15"/>
                <w:szCs w:val="15"/>
                <w:color w:val="auto"/>
              </w:rPr>
            </w:pPr>
          </w:p>
        </w:tc>
        <w:tc>
          <w:tcPr>
            <w:tcW w:w="80" w:type="dxa"/>
            <w:vAlign w:val="bottom"/>
            <w:tcBorders>
              <w:bottom w:val="single" w:sz="8" w:color="auto"/>
            </w:tcBorders>
            <w:shd w:val="clear" w:color="auto" w:fill="B9D9EB"/>
          </w:tcPr>
          <w:p>
            <w:pPr>
              <w:spacing w:after="0"/>
              <w:rPr>
                <w:sz w:val="15"/>
                <w:szCs w:val="15"/>
                <w:color w:val="auto"/>
              </w:rPr>
            </w:pPr>
          </w:p>
        </w:tc>
        <w:tc>
          <w:tcPr>
            <w:tcW w:w="10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(47,601)</w:t>
            </w:r>
          </w:p>
        </w:tc>
      </w:tr>
      <w:tr>
        <w:trPr>
          <w:trHeight w:val="160"/>
        </w:trPr>
        <w:tc>
          <w:tcPr>
            <w:tcW w:w="286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Total Adjustments</w:t>
            </w: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(31,046)</w:t>
            </w:r>
          </w:p>
        </w:tc>
        <w:tc>
          <w:tcPr>
            <w:tcW w:w="80" w:type="dxa"/>
            <w:vAlign w:val="bottom"/>
            <w:tcBorders>
              <w:bottom w:val="single" w:sz="8" w:color="B9D9EB"/>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7,612</w:t>
            </w:r>
          </w:p>
        </w:tc>
        <w:tc>
          <w:tcPr>
            <w:tcW w:w="100" w:type="dxa"/>
            <w:vAlign w:val="bottom"/>
            <w:tcBorders>
              <w:bottom w:val="single" w:sz="8" w:color="B9D9EB"/>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(10,080)</w:t>
            </w:r>
          </w:p>
        </w:tc>
      </w:tr>
      <w:tr>
        <w:trPr>
          <w:trHeight w:val="162"/>
        </w:trPr>
        <w:tc>
          <w:tcPr>
            <w:tcW w:w="2860" w:type="dxa"/>
            <w:vAlign w:val="bottom"/>
            <w:tcBorders>
              <w:bottom w:val="single" w:sz="8" w:color="B9D9EB"/>
            </w:tcBorders>
            <w:shd w:val="clear" w:color="auto" w:fill="B9D9EB"/>
          </w:tcPr>
          <w:p>
            <w:pPr>
              <w:spacing w:after="0"/>
              <w:rPr>
                <w:sz w:val="20"/>
                <w:szCs w:val="20"/>
                <w:color w:val="auto"/>
              </w:rPr>
            </w:pPr>
            <w:r>
              <w:rPr>
                <w:rFonts w:ascii="Arial" w:cs="Arial" w:eastAsia="Arial" w:hAnsi="Arial"/>
                <w:sz w:val="12"/>
                <w:szCs w:val="12"/>
                <w:color w:val="auto"/>
              </w:rPr>
              <w:t>Adjusted net income (loss)</w:t>
            </w: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2"/>
                <w:szCs w:val="12"/>
                <w:color w:val="auto"/>
              </w:rPr>
              <w:t>127,277</w:t>
            </w:r>
          </w:p>
        </w:tc>
        <w:tc>
          <w:tcPr>
            <w:tcW w:w="80" w:type="dxa"/>
            <w:vAlign w:val="bottom"/>
            <w:tcBorders>
              <w:bottom w:val="single" w:sz="8" w:color="B9D9EB"/>
            </w:tcBorders>
            <w:shd w:val="clear" w:color="auto" w:fill="B9D9EB"/>
          </w:tcPr>
          <w:p>
            <w:pPr>
              <w:spacing w:after="0"/>
              <w:rPr>
                <w:sz w:val="14"/>
                <w:szCs w:val="14"/>
                <w:color w:val="auto"/>
              </w:rPr>
            </w:pPr>
          </w:p>
        </w:tc>
        <w:tc>
          <w:tcPr>
            <w:tcW w:w="240" w:type="dxa"/>
            <w:vAlign w:val="bottom"/>
            <w:tcBorders>
              <w:bottom w:val="single" w:sz="8" w:color="auto"/>
            </w:tcBorders>
            <w:shd w:val="clear" w:color="auto" w:fill="B9D9EB"/>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41,197</w:t>
            </w:r>
          </w:p>
        </w:tc>
        <w:tc>
          <w:tcPr>
            <w:tcW w:w="100" w:type="dxa"/>
            <w:vAlign w:val="bottom"/>
            <w:tcBorders>
              <w:bottom w:val="single" w:sz="8" w:color="B9D9EB"/>
            </w:tcBorders>
            <w:shd w:val="clear" w:color="auto" w:fill="B9D9EB"/>
          </w:tcPr>
          <w:p>
            <w:pPr>
              <w:spacing w:after="0"/>
              <w:rPr>
                <w:sz w:val="14"/>
                <w:szCs w:val="14"/>
                <w:color w:val="auto"/>
              </w:rPr>
            </w:pPr>
          </w:p>
        </w:tc>
        <w:tc>
          <w:tcPr>
            <w:tcW w:w="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2"/>
                <w:szCs w:val="12"/>
                <w:color w:val="auto"/>
              </w:rPr>
              <w:t>55,736</w:t>
            </w:r>
          </w:p>
        </w:tc>
      </w:tr>
      <w:tr>
        <w:trPr>
          <w:trHeight w:val="346"/>
        </w:trPr>
        <w:tc>
          <w:tcPr>
            <w:tcW w:w="2860" w:type="dxa"/>
            <w:vAlign w:val="bottom"/>
          </w:tcPr>
          <w:p>
            <w:pPr>
              <w:spacing w:after="0"/>
              <w:rPr>
                <w:sz w:val="20"/>
                <w:szCs w:val="20"/>
                <w:color w:val="auto"/>
              </w:rPr>
            </w:pPr>
            <w:r>
              <w:rPr>
                <w:rFonts w:ascii="Arial" w:cs="Arial" w:eastAsia="Arial" w:hAnsi="Arial"/>
                <w:sz w:val="12"/>
                <w:szCs w:val="12"/>
                <w:b w:val="1"/>
                <w:bCs w:val="1"/>
                <w:color w:val="auto"/>
              </w:rPr>
              <w:t>Reconciliation of Diluted EPS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1"/>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ind w:left="140"/>
              <w:spacing w:after="0"/>
              <w:rPr>
                <w:sz w:val="20"/>
                <w:szCs w:val="20"/>
                <w:color w:val="auto"/>
              </w:rPr>
            </w:pPr>
            <w:r>
              <w:rPr>
                <w:rFonts w:ascii="Arial" w:cs="Arial" w:eastAsia="Arial" w:hAnsi="Arial"/>
                <w:sz w:val="10"/>
                <w:szCs w:val="10"/>
                <w:b w:val="1"/>
                <w:bCs w:val="1"/>
                <w:color w:val="auto"/>
              </w:rPr>
              <w:t>Three Months Ended September 30,</w:t>
            </w:r>
          </w:p>
        </w:tc>
        <w:tc>
          <w:tcPr>
            <w:tcW w:w="80" w:type="dxa"/>
            <w:vAlign w:val="bottom"/>
          </w:tcPr>
          <w:p>
            <w:pPr>
              <w:spacing w:after="0"/>
              <w:rPr>
                <w:sz w:val="14"/>
                <w:szCs w:val="14"/>
                <w:color w:val="auto"/>
              </w:rPr>
            </w:pPr>
          </w:p>
        </w:tc>
        <w:tc>
          <w:tcPr>
            <w:tcW w:w="1040" w:type="dxa"/>
            <w:vAlign w:val="bottom"/>
          </w:tcPr>
          <w:p>
            <w:pPr>
              <w:jc w:val="center"/>
              <w:ind w:right="42"/>
              <w:spacing w:after="0"/>
              <w:rPr>
                <w:sz w:val="20"/>
                <w:szCs w:val="20"/>
                <w:color w:val="auto"/>
              </w:rPr>
            </w:pPr>
            <w:r>
              <w:rPr>
                <w:rFonts w:ascii="Arial" w:cs="Arial" w:eastAsia="Arial" w:hAnsi="Arial"/>
                <w:sz w:val="10"/>
                <w:szCs w:val="10"/>
                <w:b w:val="1"/>
                <w:bCs w:val="1"/>
                <w:color w:val="auto"/>
                <w:w w:val="94"/>
              </w:rPr>
              <w:t>Three Months Ended</w:t>
            </w:r>
          </w:p>
        </w:tc>
      </w:tr>
      <w:tr>
        <w:trPr>
          <w:trHeight w:val="160"/>
        </w:trPr>
        <w:tc>
          <w:tcPr>
            <w:tcW w:w="2860" w:type="dxa"/>
            <w:vAlign w:val="bottom"/>
            <w:tcBorders>
              <w:bottom w:val="single" w:sz="8" w:color="B9D9EB"/>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top w:val="single" w:sz="8" w:color="auto"/>
              <w:bottom w:val="single" w:sz="8" w:color="B9D9EB"/>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bottom w:val="single" w:sz="8" w:color="B9D9EB"/>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5"/>
              </w:rPr>
              <w:t>June 30, 2023</w:t>
            </w:r>
          </w:p>
        </w:tc>
      </w:tr>
      <w:tr>
        <w:trPr>
          <w:trHeight w:val="161"/>
        </w:trPr>
        <w:tc>
          <w:tcPr>
            <w:tcW w:w="2860" w:type="dxa"/>
            <w:vAlign w:val="bottom"/>
            <w:shd w:val="clear" w:color="auto" w:fill="B9D9EB"/>
          </w:tcPr>
          <w:p>
            <w:pPr>
              <w:spacing w:after="0"/>
              <w:rPr>
                <w:sz w:val="20"/>
                <w:szCs w:val="20"/>
                <w:color w:val="auto"/>
              </w:rPr>
            </w:pPr>
            <w:r>
              <w:rPr>
                <w:rFonts w:ascii="Arial" w:cs="Arial" w:eastAsia="Arial" w:hAnsi="Arial"/>
                <w:sz w:val="12"/>
                <w:szCs w:val="12"/>
                <w:color w:val="auto"/>
              </w:rPr>
              <w:t>Unadjusted diluted EPS</w:t>
            </w:r>
          </w:p>
        </w:tc>
        <w:tc>
          <w:tcPr>
            <w:tcW w:w="14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1.09</w:t>
            </w:r>
          </w:p>
        </w:tc>
        <w:tc>
          <w:tcPr>
            <w:tcW w:w="80" w:type="dxa"/>
            <w:vAlign w:val="bottom"/>
            <w:shd w:val="clear" w:color="auto" w:fill="B9D9EB"/>
          </w:tcPr>
          <w:p>
            <w:pPr>
              <w:spacing w:after="0"/>
              <w:rPr>
                <w:sz w:val="14"/>
                <w:szCs w:val="14"/>
                <w:color w:val="auto"/>
              </w:rPr>
            </w:pPr>
          </w:p>
        </w:tc>
        <w:tc>
          <w:tcPr>
            <w:tcW w:w="240" w:type="dxa"/>
            <w:vAlign w:val="bottom"/>
            <w:shd w:val="clear" w:color="auto" w:fill="B9D9EB"/>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0.41</w:t>
            </w:r>
          </w:p>
        </w:tc>
        <w:tc>
          <w:tcPr>
            <w:tcW w:w="100" w:type="dxa"/>
            <w:vAlign w:val="bottom"/>
            <w:shd w:val="clear" w:color="auto" w:fill="B9D9EB"/>
          </w:tcPr>
          <w:p>
            <w:pPr>
              <w:spacing w:after="0"/>
              <w:rPr>
                <w:sz w:val="14"/>
                <w:szCs w:val="14"/>
                <w:color w:val="auto"/>
              </w:rPr>
            </w:pPr>
          </w:p>
        </w:tc>
        <w:tc>
          <w:tcPr>
            <w:tcW w:w="8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0.45</w:t>
            </w:r>
          </w:p>
        </w:tc>
      </w:tr>
      <w:tr>
        <w:trPr>
          <w:trHeight w:val="180"/>
        </w:trPr>
        <w:tc>
          <w:tcPr>
            <w:tcW w:w="2860" w:type="dxa"/>
            <w:vAlign w:val="bottom"/>
          </w:tcPr>
          <w:p>
            <w:pPr>
              <w:spacing w:after="0"/>
              <w:rPr>
                <w:sz w:val="20"/>
                <w:szCs w:val="20"/>
                <w:color w:val="auto"/>
              </w:rPr>
            </w:pPr>
            <w:r>
              <w:rPr>
                <w:rFonts w:ascii="Arial" w:cs="Arial" w:eastAsia="Arial" w:hAnsi="Arial"/>
                <w:sz w:val="12"/>
                <w:szCs w:val="12"/>
                <w:color w:val="auto"/>
              </w:rPr>
              <w:t>Adjustments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35"/>
        </w:trPr>
        <w:tc>
          <w:tcPr>
            <w:tcW w:w="2860" w:type="dxa"/>
            <w:vAlign w:val="bottom"/>
            <w:shd w:val="clear" w:color="auto" w:fill="B9D9EB"/>
          </w:tcPr>
          <w:p>
            <w:pPr>
              <w:ind w:left="80"/>
              <w:spacing w:after="0" w:line="136" w:lineRule="exact"/>
              <w:rPr>
                <w:sz w:val="20"/>
                <w:szCs w:val="20"/>
                <w:color w:val="auto"/>
              </w:rPr>
            </w:pPr>
            <w:r>
              <w:rPr>
                <w:rFonts w:ascii="Arial" w:cs="Arial" w:eastAsia="Arial" w:hAnsi="Arial"/>
                <w:sz w:val="12"/>
                <w:szCs w:val="12"/>
                <w:color w:val="auto"/>
              </w:rPr>
              <w:t>Amortization of intangible assets and contract</w:t>
            </w:r>
          </w:p>
        </w:tc>
        <w:tc>
          <w:tcPr>
            <w:tcW w:w="140" w:type="dxa"/>
            <w:vAlign w:val="bottom"/>
            <w:shd w:val="clear" w:color="auto" w:fill="B9D9EB"/>
          </w:tcPr>
          <w:p>
            <w:pPr>
              <w:spacing w:after="0"/>
              <w:rPr>
                <w:sz w:val="11"/>
                <w:szCs w:val="11"/>
                <w:color w:val="auto"/>
              </w:rPr>
            </w:pPr>
          </w:p>
        </w:tc>
        <w:tc>
          <w:tcPr>
            <w:tcW w:w="920" w:type="dxa"/>
            <w:vAlign w:val="bottom"/>
            <w:shd w:val="clear" w:color="auto" w:fill="B9D9EB"/>
          </w:tcPr>
          <w:p>
            <w:pPr>
              <w:spacing w:after="0"/>
              <w:rPr>
                <w:sz w:val="11"/>
                <w:szCs w:val="11"/>
                <w:color w:val="auto"/>
              </w:rPr>
            </w:pPr>
          </w:p>
        </w:tc>
        <w:tc>
          <w:tcPr>
            <w:tcW w:w="80" w:type="dxa"/>
            <w:vAlign w:val="bottom"/>
            <w:shd w:val="clear" w:color="auto" w:fill="B9D9EB"/>
          </w:tcPr>
          <w:p>
            <w:pPr>
              <w:spacing w:after="0"/>
              <w:rPr>
                <w:sz w:val="11"/>
                <w:szCs w:val="11"/>
                <w:color w:val="auto"/>
              </w:rPr>
            </w:pPr>
          </w:p>
        </w:tc>
        <w:tc>
          <w:tcPr>
            <w:tcW w:w="240" w:type="dxa"/>
            <w:vAlign w:val="bottom"/>
            <w:shd w:val="clear" w:color="auto" w:fill="B9D9EB"/>
          </w:tcPr>
          <w:p>
            <w:pPr>
              <w:spacing w:after="0"/>
              <w:rPr>
                <w:sz w:val="11"/>
                <w:szCs w:val="11"/>
                <w:color w:val="auto"/>
              </w:rPr>
            </w:pPr>
          </w:p>
        </w:tc>
        <w:tc>
          <w:tcPr>
            <w:tcW w:w="800" w:type="dxa"/>
            <w:vAlign w:val="bottom"/>
            <w:shd w:val="clear" w:color="auto" w:fill="B9D9EB"/>
          </w:tcPr>
          <w:p>
            <w:pPr>
              <w:spacing w:after="0"/>
              <w:rPr>
                <w:sz w:val="11"/>
                <w:szCs w:val="11"/>
                <w:color w:val="auto"/>
              </w:rPr>
            </w:pPr>
          </w:p>
        </w:tc>
        <w:tc>
          <w:tcPr>
            <w:tcW w:w="100" w:type="dxa"/>
            <w:vAlign w:val="bottom"/>
            <w:shd w:val="clear" w:color="auto" w:fill="B9D9EB"/>
          </w:tcPr>
          <w:p>
            <w:pPr>
              <w:spacing w:after="0"/>
              <w:rPr>
                <w:sz w:val="11"/>
                <w:szCs w:val="11"/>
                <w:color w:val="auto"/>
              </w:rPr>
            </w:pPr>
          </w:p>
        </w:tc>
        <w:tc>
          <w:tcPr>
            <w:tcW w:w="80" w:type="dxa"/>
            <w:vAlign w:val="bottom"/>
            <w:shd w:val="clear" w:color="auto" w:fill="B9D9EB"/>
          </w:tcPr>
          <w:p>
            <w:pPr>
              <w:spacing w:after="0"/>
              <w:rPr>
                <w:sz w:val="11"/>
                <w:szCs w:val="11"/>
                <w:color w:val="auto"/>
              </w:rPr>
            </w:pPr>
          </w:p>
        </w:tc>
        <w:tc>
          <w:tcPr>
            <w:tcW w:w="1040" w:type="dxa"/>
            <w:vAlign w:val="bottom"/>
            <w:shd w:val="clear" w:color="auto" w:fill="B9D9EB"/>
          </w:tcPr>
          <w:p>
            <w:pPr>
              <w:spacing w:after="0"/>
              <w:rPr>
                <w:sz w:val="11"/>
                <w:szCs w:val="11"/>
                <w:color w:val="auto"/>
              </w:rPr>
            </w:pPr>
          </w:p>
        </w:tc>
      </w:tr>
      <w:tr>
        <w:trPr>
          <w:trHeight w:val="153"/>
        </w:trPr>
        <w:tc>
          <w:tcPr>
            <w:tcW w:w="2860" w:type="dxa"/>
            <w:vAlign w:val="bottom"/>
            <w:shd w:val="clear" w:color="auto" w:fill="B9D9EB"/>
          </w:tcPr>
          <w:p>
            <w:pPr>
              <w:ind w:left="80"/>
              <w:spacing w:after="0"/>
              <w:rPr>
                <w:sz w:val="20"/>
                <w:szCs w:val="20"/>
                <w:color w:val="auto"/>
              </w:rPr>
            </w:pPr>
            <w:r>
              <w:rPr>
                <w:rFonts w:ascii="Arial" w:cs="Arial" w:eastAsia="Arial" w:hAnsi="Arial"/>
                <w:sz w:val="12"/>
                <w:szCs w:val="12"/>
                <w:color w:val="auto"/>
              </w:rPr>
              <w:t>liabilities, net</w:t>
            </w:r>
          </w:p>
        </w:tc>
        <w:tc>
          <w:tcPr>
            <w:tcW w:w="140" w:type="dxa"/>
            <w:vAlign w:val="bottom"/>
            <w:shd w:val="clear" w:color="auto" w:fill="B9D9EB"/>
          </w:tcPr>
          <w:p>
            <w:pPr>
              <w:spacing w:after="0"/>
              <w:rPr>
                <w:sz w:val="13"/>
                <w:szCs w:val="13"/>
                <w:color w:val="auto"/>
              </w:rPr>
            </w:pPr>
          </w:p>
        </w:tc>
        <w:tc>
          <w:tcPr>
            <w:tcW w:w="9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(0.03)</w:t>
            </w:r>
          </w:p>
        </w:tc>
        <w:tc>
          <w:tcPr>
            <w:tcW w:w="80" w:type="dxa"/>
            <w:vAlign w:val="bottom"/>
            <w:shd w:val="clear" w:color="auto" w:fill="B9D9EB"/>
          </w:tcPr>
          <w:p>
            <w:pPr>
              <w:spacing w:after="0"/>
              <w:rPr>
                <w:sz w:val="13"/>
                <w:szCs w:val="13"/>
                <w:color w:val="auto"/>
              </w:rPr>
            </w:pPr>
          </w:p>
        </w:tc>
        <w:tc>
          <w:tcPr>
            <w:tcW w:w="240" w:type="dxa"/>
            <w:vAlign w:val="bottom"/>
            <w:shd w:val="clear" w:color="auto" w:fill="B9D9EB"/>
          </w:tcPr>
          <w:p>
            <w:pPr>
              <w:spacing w:after="0"/>
              <w:rPr>
                <w:sz w:val="13"/>
                <w:szCs w:val="13"/>
                <w:color w:val="auto"/>
              </w:rPr>
            </w:pP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0.08</w:t>
            </w:r>
          </w:p>
        </w:tc>
        <w:tc>
          <w:tcPr>
            <w:tcW w:w="100" w:type="dxa"/>
            <w:vAlign w:val="bottom"/>
            <w:shd w:val="clear" w:color="auto" w:fill="B9D9EB"/>
          </w:tcPr>
          <w:p>
            <w:pPr>
              <w:spacing w:after="0"/>
              <w:rPr>
                <w:sz w:val="13"/>
                <w:szCs w:val="13"/>
                <w:color w:val="auto"/>
              </w:rPr>
            </w:pPr>
          </w:p>
        </w:tc>
        <w:tc>
          <w:tcPr>
            <w:tcW w:w="80" w:type="dxa"/>
            <w:vAlign w:val="bottom"/>
            <w:shd w:val="clear" w:color="auto" w:fill="B9D9EB"/>
          </w:tcPr>
          <w:p>
            <w:pPr>
              <w:spacing w:after="0"/>
              <w:rPr>
                <w:sz w:val="13"/>
                <w:szCs w:val="13"/>
                <w:color w:val="auto"/>
              </w:rPr>
            </w:pPr>
          </w:p>
        </w:tc>
        <w:tc>
          <w:tcPr>
            <w:tcW w:w="1040" w:type="dxa"/>
            <w:vAlign w:val="bottom"/>
            <w:shd w:val="clear" w:color="auto" w:fill="B9D9EB"/>
          </w:tcPr>
          <w:p>
            <w:pPr>
              <w:jc w:val="right"/>
              <w:spacing w:after="0"/>
              <w:rPr>
                <w:sz w:val="20"/>
                <w:szCs w:val="20"/>
                <w:color w:val="auto"/>
              </w:rPr>
            </w:pPr>
            <w:r>
              <w:rPr>
                <w:rFonts w:ascii="Arial" w:cs="Arial" w:eastAsia="Arial" w:hAnsi="Arial"/>
                <w:sz w:val="12"/>
                <w:szCs w:val="12"/>
                <w:color w:val="auto"/>
              </w:rPr>
              <w:t>(0.19)</w:t>
            </w:r>
          </w:p>
        </w:tc>
      </w:tr>
      <w:tr>
        <w:trPr>
          <w:trHeight w:val="225"/>
        </w:trPr>
        <w:tc>
          <w:tcPr>
            <w:tcW w:w="2860" w:type="dxa"/>
            <w:vAlign w:val="bottom"/>
          </w:tcPr>
          <w:p>
            <w:pPr>
              <w:ind w:left="80"/>
              <w:spacing w:after="0"/>
              <w:rPr>
                <w:sz w:val="20"/>
                <w:szCs w:val="20"/>
                <w:color w:val="auto"/>
              </w:rPr>
            </w:pPr>
            <w:r>
              <w:rPr>
                <w:rFonts w:ascii="Arial" w:cs="Arial" w:eastAsia="Arial" w:hAnsi="Arial"/>
                <w:sz w:val="12"/>
                <w:szCs w:val="12"/>
                <w:color w:val="auto"/>
              </w:rPr>
              <w:t>Joint taxation scheme compensation</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(0.14)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80"/>
        </w:trPr>
        <w:tc>
          <w:tcPr>
            <w:tcW w:w="2860" w:type="dxa"/>
            <w:vAlign w:val="bottom"/>
            <w:shd w:val="clear" w:color="auto" w:fill="B9D9EB"/>
          </w:tcPr>
          <w:p>
            <w:pPr>
              <w:ind w:left="80"/>
              <w:spacing w:after="0"/>
              <w:rPr>
                <w:sz w:val="20"/>
                <w:szCs w:val="20"/>
                <w:color w:val="auto"/>
              </w:rPr>
            </w:pPr>
            <w:r>
              <w:rPr>
                <w:rFonts w:ascii="Arial" w:cs="Arial" w:eastAsia="Arial" w:hAnsi="Arial"/>
                <w:sz w:val="12"/>
                <w:szCs w:val="12"/>
                <w:color w:val="auto"/>
              </w:rPr>
              <w:t>Gain on bargain purchase</w:t>
            </w:r>
          </w:p>
        </w:tc>
        <w:tc>
          <w:tcPr>
            <w:tcW w:w="140" w:type="dxa"/>
            <w:vAlign w:val="bottom"/>
            <w:shd w:val="clear" w:color="auto" w:fill="B9D9EB"/>
          </w:tcPr>
          <w:p>
            <w:pPr>
              <w:spacing w:after="0"/>
              <w:rPr>
                <w:sz w:val="15"/>
                <w:szCs w:val="15"/>
                <w:color w:val="auto"/>
              </w:rPr>
            </w:pPr>
          </w:p>
        </w:tc>
        <w:tc>
          <w:tcPr>
            <w:tcW w:w="9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(0.03)</w:t>
            </w:r>
          </w:p>
        </w:tc>
        <w:tc>
          <w:tcPr>
            <w:tcW w:w="80" w:type="dxa"/>
            <w:vAlign w:val="bottom"/>
            <w:shd w:val="clear" w:color="auto" w:fill="B9D9EB"/>
          </w:tcPr>
          <w:p>
            <w:pPr>
              <w:spacing w:after="0"/>
              <w:rPr>
                <w:sz w:val="15"/>
                <w:szCs w:val="15"/>
                <w:color w:val="auto"/>
              </w:rPr>
            </w:pPr>
          </w:p>
        </w:tc>
        <w:tc>
          <w:tcPr>
            <w:tcW w:w="240" w:type="dxa"/>
            <w:vAlign w:val="bottom"/>
            <w:shd w:val="clear" w:color="auto" w:fill="B9D9EB"/>
          </w:tcPr>
          <w:p>
            <w:pPr>
              <w:spacing w:after="0"/>
              <w:rPr>
                <w:sz w:val="15"/>
                <w:szCs w:val="15"/>
                <w:color w:val="auto"/>
              </w:rPr>
            </w:pPr>
          </w:p>
        </w:tc>
        <w:tc>
          <w:tcPr>
            <w:tcW w:w="900" w:type="dxa"/>
            <w:vAlign w:val="bottom"/>
            <w:gridSpan w:val="2"/>
            <w:shd w:val="clear" w:color="auto" w:fill="B9D9EB"/>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B9D9EB"/>
          </w:tcPr>
          <w:p>
            <w:pPr>
              <w:spacing w:after="0"/>
              <w:rPr>
                <w:sz w:val="15"/>
                <w:szCs w:val="15"/>
                <w:color w:val="auto"/>
              </w:rPr>
            </w:pPr>
          </w:p>
        </w:tc>
        <w:tc>
          <w:tcPr>
            <w:tcW w:w="104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w:t>
            </w:r>
          </w:p>
        </w:tc>
      </w:tr>
      <w:tr>
        <w:trPr>
          <w:trHeight w:val="180"/>
        </w:trPr>
        <w:tc>
          <w:tcPr>
            <w:tcW w:w="2860" w:type="dxa"/>
            <w:vAlign w:val="bottom"/>
          </w:tcPr>
          <w:p>
            <w:pPr>
              <w:ind w:left="80"/>
              <w:spacing w:after="0"/>
              <w:rPr>
                <w:sz w:val="20"/>
                <w:szCs w:val="20"/>
                <w:color w:val="auto"/>
              </w:rPr>
            </w:pPr>
            <w:r>
              <w:rPr>
                <w:rFonts w:ascii="Arial" w:cs="Arial" w:eastAsia="Arial" w:hAnsi="Arial"/>
                <w:sz w:val="12"/>
                <w:szCs w:val="12"/>
                <w:color w:val="auto"/>
              </w:rPr>
              <w:t>Professional services - corporate projects</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80"/>
        </w:trPr>
        <w:tc>
          <w:tcPr>
            <w:tcW w:w="2860" w:type="dxa"/>
            <w:vAlign w:val="bottom"/>
            <w:shd w:val="clear" w:color="auto" w:fill="B9D9EB"/>
          </w:tcPr>
          <w:p>
            <w:pPr>
              <w:ind w:left="80"/>
              <w:spacing w:after="0"/>
              <w:rPr>
                <w:sz w:val="20"/>
                <w:szCs w:val="20"/>
                <w:color w:val="auto"/>
              </w:rPr>
            </w:pPr>
            <w:r>
              <w:rPr>
                <w:rFonts w:ascii="Arial" w:cs="Arial" w:eastAsia="Arial" w:hAnsi="Arial"/>
                <w:sz w:val="12"/>
                <w:szCs w:val="12"/>
                <w:color w:val="auto"/>
              </w:rPr>
              <w:t>Merger and integration costs</w:t>
            </w:r>
          </w:p>
        </w:tc>
        <w:tc>
          <w:tcPr>
            <w:tcW w:w="140" w:type="dxa"/>
            <w:vAlign w:val="bottom"/>
            <w:shd w:val="clear" w:color="auto" w:fill="B9D9EB"/>
          </w:tcPr>
          <w:p>
            <w:pPr>
              <w:spacing w:after="0"/>
              <w:rPr>
                <w:sz w:val="15"/>
                <w:szCs w:val="15"/>
                <w:color w:val="auto"/>
              </w:rPr>
            </w:pPr>
          </w:p>
        </w:tc>
        <w:tc>
          <w:tcPr>
            <w:tcW w:w="9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0.08</w:t>
            </w:r>
          </w:p>
        </w:tc>
        <w:tc>
          <w:tcPr>
            <w:tcW w:w="80" w:type="dxa"/>
            <w:vAlign w:val="bottom"/>
            <w:shd w:val="clear" w:color="auto" w:fill="B9D9EB"/>
          </w:tcPr>
          <w:p>
            <w:pPr>
              <w:spacing w:after="0"/>
              <w:rPr>
                <w:sz w:val="15"/>
                <w:szCs w:val="15"/>
                <w:color w:val="auto"/>
              </w:rPr>
            </w:pPr>
          </w:p>
        </w:tc>
        <w:tc>
          <w:tcPr>
            <w:tcW w:w="240" w:type="dxa"/>
            <w:vAlign w:val="bottom"/>
            <w:shd w:val="clear" w:color="auto" w:fill="B9D9EB"/>
          </w:tcPr>
          <w:p>
            <w:pPr>
              <w:spacing w:after="0"/>
              <w:rPr>
                <w:sz w:val="15"/>
                <w:szCs w:val="15"/>
                <w:color w:val="auto"/>
              </w:rPr>
            </w:pP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0.12</w:t>
            </w:r>
          </w:p>
        </w:tc>
        <w:tc>
          <w:tcPr>
            <w:tcW w:w="10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104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0.15</w:t>
            </w:r>
          </w:p>
        </w:tc>
      </w:tr>
      <w:tr>
        <w:trPr>
          <w:trHeight w:val="225"/>
        </w:trPr>
        <w:tc>
          <w:tcPr>
            <w:tcW w:w="2860" w:type="dxa"/>
            <w:vAlign w:val="bottom"/>
          </w:tcPr>
          <w:p>
            <w:pPr>
              <w:ind w:left="80"/>
              <w:spacing w:after="0"/>
              <w:rPr>
                <w:sz w:val="20"/>
                <w:szCs w:val="20"/>
                <w:color w:val="auto"/>
              </w:rPr>
            </w:pPr>
            <w:r>
              <w:rPr>
                <w:rFonts w:ascii="Arial" w:cs="Arial" w:eastAsia="Arial" w:hAnsi="Arial"/>
                <w:sz w:val="12"/>
                <w:szCs w:val="12"/>
                <w:color w:val="auto"/>
              </w:rPr>
              <w:t>(Gain) loss on sale of operating assets, net</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80"/>
        </w:trPr>
        <w:tc>
          <w:tcPr>
            <w:tcW w:w="2860" w:type="dxa"/>
            <w:vAlign w:val="bottom"/>
            <w:shd w:val="clear" w:color="auto" w:fill="B9D9EB"/>
          </w:tcPr>
          <w:p>
            <w:pPr>
              <w:ind w:left="80"/>
              <w:spacing w:after="0"/>
              <w:rPr>
                <w:sz w:val="20"/>
                <w:szCs w:val="20"/>
                <w:color w:val="auto"/>
              </w:rPr>
            </w:pPr>
            <w:r>
              <w:rPr>
                <w:rFonts w:ascii="Arial" w:cs="Arial" w:eastAsia="Arial" w:hAnsi="Arial"/>
                <w:sz w:val="12"/>
                <w:szCs w:val="12"/>
                <w:color w:val="auto"/>
              </w:rPr>
              <w:t>Hurricane losses and (recoveries), net</w:t>
            </w:r>
          </w:p>
        </w:tc>
        <w:tc>
          <w:tcPr>
            <w:tcW w:w="140" w:type="dxa"/>
            <w:vAlign w:val="bottom"/>
            <w:shd w:val="clear" w:color="auto" w:fill="B9D9EB"/>
          </w:tcPr>
          <w:p>
            <w:pPr>
              <w:spacing w:after="0"/>
              <w:rPr>
                <w:sz w:val="15"/>
                <w:szCs w:val="15"/>
                <w:color w:val="auto"/>
              </w:rPr>
            </w:pPr>
          </w:p>
        </w:tc>
        <w:tc>
          <w:tcPr>
            <w:tcW w:w="9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0.02</w:t>
            </w:r>
          </w:p>
        </w:tc>
        <w:tc>
          <w:tcPr>
            <w:tcW w:w="80" w:type="dxa"/>
            <w:vAlign w:val="bottom"/>
            <w:shd w:val="clear" w:color="auto" w:fill="B9D9EB"/>
          </w:tcPr>
          <w:p>
            <w:pPr>
              <w:spacing w:after="0"/>
              <w:rPr>
                <w:sz w:val="15"/>
                <w:szCs w:val="15"/>
                <w:color w:val="auto"/>
              </w:rPr>
            </w:pPr>
          </w:p>
        </w:tc>
        <w:tc>
          <w:tcPr>
            <w:tcW w:w="240" w:type="dxa"/>
            <w:vAlign w:val="bottom"/>
            <w:shd w:val="clear" w:color="auto" w:fill="B9D9EB"/>
          </w:tcPr>
          <w:p>
            <w:pPr>
              <w:spacing w:after="0"/>
              <w:rPr>
                <w:sz w:val="15"/>
                <w:szCs w:val="15"/>
                <w:color w:val="auto"/>
              </w:rPr>
            </w:pP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0.02</w:t>
            </w:r>
          </w:p>
        </w:tc>
        <w:tc>
          <w:tcPr>
            <w:tcW w:w="10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104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0.11</w:t>
            </w:r>
          </w:p>
        </w:tc>
      </w:tr>
      <w:tr>
        <w:trPr>
          <w:trHeight w:val="180"/>
        </w:trPr>
        <w:tc>
          <w:tcPr>
            <w:tcW w:w="2860" w:type="dxa"/>
            <w:vAlign w:val="bottom"/>
          </w:tcPr>
          <w:p>
            <w:pPr>
              <w:ind w:left="80"/>
              <w:spacing w:after="0"/>
              <w:rPr>
                <w:sz w:val="20"/>
                <w:szCs w:val="20"/>
                <w:color w:val="auto"/>
              </w:rPr>
            </w:pPr>
            <w:r>
              <w:rPr>
                <w:rFonts w:ascii="Arial" w:cs="Arial" w:eastAsia="Arial" w:hAnsi="Arial"/>
                <w:sz w:val="12"/>
                <w:szCs w:val="12"/>
                <w:color w:val="auto"/>
              </w:rPr>
              <w:t>(Gain) loss on extinguishment of debt, net</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0.18</w:t>
            </w:r>
          </w:p>
        </w:tc>
      </w:tr>
      <w:tr>
        <w:trPr>
          <w:trHeight w:val="180"/>
        </w:trPr>
        <w:tc>
          <w:tcPr>
            <w:tcW w:w="2860" w:type="dxa"/>
            <w:vAlign w:val="bottom"/>
            <w:shd w:val="clear" w:color="auto" w:fill="B9D9EB"/>
          </w:tcPr>
          <w:p>
            <w:pPr>
              <w:ind w:left="80"/>
              <w:spacing w:after="0"/>
              <w:rPr>
                <w:sz w:val="20"/>
                <w:szCs w:val="20"/>
                <w:color w:val="auto"/>
              </w:rPr>
            </w:pPr>
            <w:r>
              <w:rPr>
                <w:rFonts w:ascii="Arial" w:cs="Arial" w:eastAsia="Arial" w:hAnsi="Arial"/>
                <w:sz w:val="12"/>
                <w:szCs w:val="12"/>
                <w:color w:val="auto"/>
              </w:rPr>
              <w:t>Discrete tax items</w:t>
            </w:r>
          </w:p>
        </w:tc>
        <w:tc>
          <w:tcPr>
            <w:tcW w:w="140" w:type="dxa"/>
            <w:vAlign w:val="bottom"/>
            <w:tcBorders>
              <w:bottom w:val="single" w:sz="8" w:color="auto"/>
            </w:tcBorders>
            <w:shd w:val="clear" w:color="auto" w:fill="B9D9EB"/>
          </w:tcPr>
          <w:p>
            <w:pPr>
              <w:spacing w:after="0"/>
              <w:rPr>
                <w:sz w:val="15"/>
                <w:szCs w:val="15"/>
                <w:color w:val="auto"/>
              </w:rPr>
            </w:pPr>
          </w:p>
        </w:tc>
        <w:tc>
          <w:tcPr>
            <w:tcW w:w="9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(0.12)</w:t>
            </w:r>
          </w:p>
        </w:tc>
        <w:tc>
          <w:tcPr>
            <w:tcW w:w="80" w:type="dxa"/>
            <w:vAlign w:val="bottom"/>
            <w:shd w:val="clear" w:color="auto" w:fill="B9D9EB"/>
          </w:tcPr>
          <w:p>
            <w:pPr>
              <w:spacing w:after="0"/>
              <w:rPr>
                <w:sz w:val="15"/>
                <w:szCs w:val="15"/>
                <w:color w:val="auto"/>
              </w:rPr>
            </w:pPr>
          </w:p>
        </w:tc>
        <w:tc>
          <w:tcPr>
            <w:tcW w:w="240" w:type="dxa"/>
            <w:vAlign w:val="bottom"/>
            <w:tcBorders>
              <w:bottom w:val="single" w:sz="8" w:color="auto"/>
            </w:tcBorders>
            <w:shd w:val="clear" w:color="auto" w:fill="B9D9EB"/>
          </w:tcPr>
          <w:p>
            <w:pPr>
              <w:spacing w:after="0"/>
              <w:rPr>
                <w:sz w:val="15"/>
                <w:szCs w:val="15"/>
                <w:color w:val="auto"/>
              </w:rPr>
            </w:pPr>
          </w:p>
        </w:tc>
        <w:tc>
          <w:tcPr>
            <w:tcW w:w="8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(0.13)</w:t>
            </w:r>
          </w:p>
        </w:tc>
        <w:tc>
          <w:tcPr>
            <w:tcW w:w="100" w:type="dxa"/>
            <w:vAlign w:val="bottom"/>
            <w:shd w:val="clear" w:color="auto" w:fill="B9D9EB"/>
          </w:tcPr>
          <w:p>
            <w:pPr>
              <w:spacing w:after="0"/>
              <w:rPr>
                <w:sz w:val="15"/>
                <w:szCs w:val="15"/>
                <w:color w:val="auto"/>
              </w:rPr>
            </w:pPr>
          </w:p>
        </w:tc>
        <w:tc>
          <w:tcPr>
            <w:tcW w:w="80" w:type="dxa"/>
            <w:vAlign w:val="bottom"/>
            <w:tcBorders>
              <w:bottom w:val="single" w:sz="8" w:color="auto"/>
            </w:tcBorders>
            <w:shd w:val="clear" w:color="auto" w:fill="B9D9EB"/>
          </w:tcPr>
          <w:p>
            <w:pPr>
              <w:spacing w:after="0"/>
              <w:rPr>
                <w:sz w:val="15"/>
                <w:szCs w:val="15"/>
                <w:color w:val="auto"/>
              </w:rPr>
            </w:pPr>
          </w:p>
        </w:tc>
        <w:tc>
          <w:tcPr>
            <w:tcW w:w="10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(0.32)</w:t>
            </w:r>
          </w:p>
        </w:tc>
      </w:tr>
      <w:tr>
        <w:trPr>
          <w:trHeight w:val="160"/>
        </w:trPr>
        <w:tc>
          <w:tcPr>
            <w:tcW w:w="286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Total Adjustments</w:t>
            </w: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(0.22)</w:t>
            </w:r>
          </w:p>
        </w:tc>
        <w:tc>
          <w:tcPr>
            <w:tcW w:w="80" w:type="dxa"/>
            <w:vAlign w:val="bottom"/>
            <w:tcBorders>
              <w:bottom w:val="single" w:sz="8" w:color="B9D9EB"/>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0.09</w:t>
            </w:r>
          </w:p>
        </w:tc>
        <w:tc>
          <w:tcPr>
            <w:tcW w:w="100" w:type="dxa"/>
            <w:vAlign w:val="bottom"/>
            <w:tcBorders>
              <w:bottom w:val="single" w:sz="8" w:color="B9D9EB"/>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(0.07)</w:t>
            </w:r>
          </w:p>
        </w:tc>
      </w:tr>
      <w:tr>
        <w:trPr>
          <w:trHeight w:val="162"/>
        </w:trPr>
        <w:tc>
          <w:tcPr>
            <w:tcW w:w="2860" w:type="dxa"/>
            <w:vAlign w:val="bottom"/>
            <w:tcBorders>
              <w:bottom w:val="single" w:sz="8" w:color="B9D9EB"/>
            </w:tcBorders>
            <w:shd w:val="clear" w:color="auto" w:fill="B9D9EB"/>
          </w:tcPr>
          <w:p>
            <w:pPr>
              <w:spacing w:after="0"/>
              <w:rPr>
                <w:sz w:val="20"/>
                <w:szCs w:val="20"/>
                <w:color w:val="auto"/>
              </w:rPr>
            </w:pPr>
            <w:r>
              <w:rPr>
                <w:rFonts w:ascii="Arial" w:cs="Arial" w:eastAsia="Arial" w:hAnsi="Arial"/>
                <w:sz w:val="12"/>
                <w:szCs w:val="12"/>
                <w:color w:val="auto"/>
              </w:rPr>
              <w:t>Adjusted diluted EPS</w:t>
            </w: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2"/>
                <w:szCs w:val="12"/>
                <w:color w:val="auto"/>
              </w:rPr>
              <w:t>0.87</w:t>
            </w:r>
          </w:p>
        </w:tc>
        <w:tc>
          <w:tcPr>
            <w:tcW w:w="80" w:type="dxa"/>
            <w:vAlign w:val="bottom"/>
            <w:tcBorders>
              <w:bottom w:val="single" w:sz="8" w:color="B9D9EB"/>
            </w:tcBorders>
            <w:shd w:val="clear" w:color="auto" w:fill="B9D9EB"/>
          </w:tcPr>
          <w:p>
            <w:pPr>
              <w:spacing w:after="0"/>
              <w:rPr>
                <w:sz w:val="14"/>
                <w:szCs w:val="14"/>
                <w:color w:val="auto"/>
              </w:rPr>
            </w:pPr>
          </w:p>
        </w:tc>
        <w:tc>
          <w:tcPr>
            <w:tcW w:w="240" w:type="dxa"/>
            <w:vAlign w:val="bottom"/>
            <w:tcBorders>
              <w:bottom w:val="single" w:sz="8" w:color="auto"/>
            </w:tcBorders>
            <w:shd w:val="clear" w:color="auto" w:fill="B9D9EB"/>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0.50</w:t>
            </w:r>
          </w:p>
        </w:tc>
        <w:tc>
          <w:tcPr>
            <w:tcW w:w="100" w:type="dxa"/>
            <w:vAlign w:val="bottom"/>
            <w:tcBorders>
              <w:bottom w:val="single" w:sz="8" w:color="B9D9EB"/>
            </w:tcBorders>
            <w:shd w:val="clear" w:color="auto" w:fill="B9D9EB"/>
          </w:tcPr>
          <w:p>
            <w:pPr>
              <w:spacing w:after="0"/>
              <w:rPr>
                <w:sz w:val="14"/>
                <w:szCs w:val="14"/>
                <w:color w:val="auto"/>
              </w:rPr>
            </w:pPr>
          </w:p>
        </w:tc>
        <w:tc>
          <w:tcPr>
            <w:tcW w:w="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2"/>
                <w:szCs w:val="12"/>
                <w:color w:val="auto"/>
              </w:rPr>
              <w:t>0.38</w:t>
            </w:r>
          </w:p>
        </w:tc>
      </w:tr>
      <w:tr>
        <w:trPr>
          <w:trHeight w:val="346"/>
        </w:trPr>
        <w:tc>
          <w:tcPr>
            <w:tcW w:w="2860" w:type="dxa"/>
            <w:vAlign w:val="bottom"/>
          </w:tcPr>
          <w:p>
            <w:pPr>
              <w:spacing w:after="0"/>
              <w:rPr>
                <w:sz w:val="20"/>
                <w:szCs w:val="20"/>
                <w:color w:val="auto"/>
              </w:rPr>
            </w:pPr>
            <w:r>
              <w:rPr>
                <w:rFonts w:ascii="Arial" w:cs="Arial" w:eastAsia="Arial" w:hAnsi="Arial"/>
                <w:sz w:val="12"/>
                <w:szCs w:val="12"/>
                <w:b w:val="1"/>
                <w:bCs w:val="1"/>
                <w:color w:val="auto"/>
              </w:rPr>
              <w:t>Reconciliation of Free Cash Flow</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1"/>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ind w:left="140"/>
              <w:spacing w:after="0"/>
              <w:rPr>
                <w:sz w:val="20"/>
                <w:szCs w:val="20"/>
                <w:color w:val="auto"/>
              </w:rPr>
            </w:pPr>
            <w:r>
              <w:rPr>
                <w:rFonts w:ascii="Arial" w:cs="Arial" w:eastAsia="Arial" w:hAnsi="Arial"/>
                <w:sz w:val="10"/>
                <w:szCs w:val="10"/>
                <w:b w:val="1"/>
                <w:bCs w:val="1"/>
                <w:color w:val="auto"/>
              </w:rPr>
              <w:t>Three Months Ended September 30,</w:t>
            </w:r>
          </w:p>
        </w:tc>
        <w:tc>
          <w:tcPr>
            <w:tcW w:w="80" w:type="dxa"/>
            <w:vAlign w:val="bottom"/>
          </w:tcPr>
          <w:p>
            <w:pPr>
              <w:spacing w:after="0"/>
              <w:rPr>
                <w:sz w:val="14"/>
                <w:szCs w:val="14"/>
                <w:color w:val="auto"/>
              </w:rPr>
            </w:pPr>
          </w:p>
        </w:tc>
        <w:tc>
          <w:tcPr>
            <w:tcW w:w="1040" w:type="dxa"/>
            <w:vAlign w:val="bottom"/>
          </w:tcPr>
          <w:p>
            <w:pPr>
              <w:jc w:val="center"/>
              <w:ind w:right="42"/>
              <w:spacing w:after="0"/>
              <w:rPr>
                <w:sz w:val="20"/>
                <w:szCs w:val="20"/>
                <w:color w:val="auto"/>
              </w:rPr>
            </w:pPr>
            <w:r>
              <w:rPr>
                <w:rFonts w:ascii="Arial" w:cs="Arial" w:eastAsia="Arial" w:hAnsi="Arial"/>
                <w:sz w:val="10"/>
                <w:szCs w:val="10"/>
                <w:b w:val="1"/>
                <w:bCs w:val="1"/>
                <w:color w:val="auto"/>
                <w:w w:val="94"/>
              </w:rPr>
              <w:t>Three Months Ended</w:t>
            </w:r>
          </w:p>
        </w:tc>
      </w:tr>
      <w:tr>
        <w:trPr>
          <w:trHeight w:val="160"/>
        </w:trPr>
        <w:tc>
          <w:tcPr>
            <w:tcW w:w="2860" w:type="dxa"/>
            <w:vAlign w:val="bottom"/>
            <w:tcBorders>
              <w:bottom w:val="single" w:sz="8" w:color="B9D9EB"/>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top w:val="single" w:sz="8" w:color="auto"/>
              <w:bottom w:val="single" w:sz="8" w:color="B9D9EB"/>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bottom w:val="single" w:sz="8" w:color="B9D9EB"/>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5"/>
              </w:rPr>
              <w:t>June 30, 2023</w:t>
            </w:r>
          </w:p>
        </w:tc>
      </w:tr>
      <w:tr>
        <w:trPr>
          <w:trHeight w:val="161"/>
        </w:trPr>
        <w:tc>
          <w:tcPr>
            <w:tcW w:w="2860" w:type="dxa"/>
            <w:vAlign w:val="bottom"/>
            <w:shd w:val="clear" w:color="auto" w:fill="B9D9EB"/>
          </w:tcPr>
          <w:p>
            <w:pPr>
              <w:spacing w:after="0"/>
              <w:rPr>
                <w:sz w:val="20"/>
                <w:szCs w:val="20"/>
                <w:color w:val="auto"/>
              </w:rPr>
            </w:pPr>
            <w:r>
              <w:rPr>
                <w:rFonts w:ascii="Arial" w:cs="Arial" w:eastAsia="Arial" w:hAnsi="Arial"/>
                <w:sz w:val="12"/>
                <w:szCs w:val="12"/>
                <w:color w:val="auto"/>
              </w:rPr>
              <w:t>Net cash provided by (used in) operating activities</w:t>
            </w:r>
          </w:p>
        </w:tc>
        <w:tc>
          <w:tcPr>
            <w:tcW w:w="14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138,768</w:t>
            </w:r>
          </w:p>
        </w:tc>
        <w:tc>
          <w:tcPr>
            <w:tcW w:w="80" w:type="dxa"/>
            <w:vAlign w:val="bottom"/>
            <w:shd w:val="clear" w:color="auto" w:fill="B9D9EB"/>
          </w:tcPr>
          <w:p>
            <w:pPr>
              <w:spacing w:after="0"/>
              <w:rPr>
                <w:sz w:val="14"/>
                <w:szCs w:val="14"/>
                <w:color w:val="auto"/>
              </w:rPr>
            </w:pPr>
          </w:p>
        </w:tc>
        <w:tc>
          <w:tcPr>
            <w:tcW w:w="240" w:type="dxa"/>
            <w:vAlign w:val="bottom"/>
            <w:shd w:val="clear" w:color="auto" w:fill="B9D9EB"/>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73,507</w:t>
            </w:r>
          </w:p>
        </w:tc>
        <w:tc>
          <w:tcPr>
            <w:tcW w:w="100" w:type="dxa"/>
            <w:vAlign w:val="bottom"/>
            <w:shd w:val="clear" w:color="auto" w:fill="B9D9EB"/>
          </w:tcPr>
          <w:p>
            <w:pPr>
              <w:spacing w:after="0"/>
              <w:rPr>
                <w:sz w:val="14"/>
                <w:szCs w:val="14"/>
                <w:color w:val="auto"/>
              </w:rPr>
            </w:pPr>
          </w:p>
        </w:tc>
        <w:tc>
          <w:tcPr>
            <w:tcW w:w="8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211,160</w:t>
            </w:r>
          </w:p>
        </w:tc>
      </w:tr>
      <w:tr>
        <w:trPr>
          <w:trHeight w:val="180"/>
        </w:trPr>
        <w:tc>
          <w:tcPr>
            <w:tcW w:w="286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Capital expenditures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(98,601)</w:t>
            </w:r>
          </w:p>
        </w:tc>
        <w:tc>
          <w:tcPr>
            <w:tcW w:w="80" w:type="dxa"/>
            <w:vAlign w:val="bottom"/>
            <w:tcBorders>
              <w:bottom w:val="single" w:sz="8" w:color="B9D9EB"/>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(29,710)</w:t>
            </w:r>
          </w:p>
        </w:tc>
        <w:tc>
          <w:tcPr>
            <w:tcW w:w="100" w:type="dxa"/>
            <w:vAlign w:val="bottom"/>
            <w:tcBorders>
              <w:bottom w:val="single" w:sz="8" w:color="B9D9EB"/>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(106,796)</w:t>
            </w:r>
          </w:p>
        </w:tc>
      </w:tr>
      <w:tr>
        <w:trPr>
          <w:trHeight w:val="158"/>
        </w:trPr>
        <w:tc>
          <w:tcPr>
            <w:tcW w:w="2860" w:type="dxa"/>
            <w:vAlign w:val="bottom"/>
            <w:tcBorders>
              <w:bottom w:val="single" w:sz="8" w:color="B9D9EB"/>
            </w:tcBorders>
            <w:shd w:val="clear" w:color="auto" w:fill="B9D9EB"/>
          </w:tcPr>
          <w:p>
            <w:pPr>
              <w:spacing w:after="0"/>
              <w:rPr>
                <w:sz w:val="20"/>
                <w:szCs w:val="20"/>
                <w:color w:val="auto"/>
              </w:rPr>
            </w:pPr>
            <w:r>
              <w:rPr>
                <w:rFonts w:ascii="Arial" w:cs="Arial" w:eastAsia="Arial" w:hAnsi="Arial"/>
                <w:sz w:val="12"/>
                <w:szCs w:val="12"/>
                <w:b w:val="1"/>
                <w:bCs w:val="1"/>
                <w:color w:val="auto"/>
              </w:rPr>
              <w:t>Free cash flow</w:t>
            </w: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2"/>
                <w:szCs w:val="12"/>
                <w:color w:val="auto"/>
              </w:rPr>
              <w:t>40,167</w:t>
            </w:r>
          </w:p>
        </w:tc>
        <w:tc>
          <w:tcPr>
            <w:tcW w:w="80" w:type="dxa"/>
            <w:vAlign w:val="bottom"/>
            <w:tcBorders>
              <w:bottom w:val="single" w:sz="8" w:color="B9D9EB"/>
            </w:tcBorders>
            <w:shd w:val="clear" w:color="auto" w:fill="B9D9EB"/>
          </w:tcPr>
          <w:p>
            <w:pPr>
              <w:spacing w:after="0"/>
              <w:rPr>
                <w:sz w:val="13"/>
                <w:szCs w:val="13"/>
                <w:color w:val="auto"/>
              </w:rPr>
            </w:pPr>
          </w:p>
        </w:tc>
        <w:tc>
          <w:tcPr>
            <w:tcW w:w="240" w:type="dxa"/>
            <w:vAlign w:val="bottom"/>
            <w:tcBorders>
              <w:bottom w:val="single" w:sz="8" w:color="auto"/>
            </w:tcBorders>
            <w:shd w:val="clear" w:color="auto" w:fill="B9D9EB"/>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43,797</w:t>
            </w:r>
          </w:p>
        </w:tc>
        <w:tc>
          <w:tcPr>
            <w:tcW w:w="100" w:type="dxa"/>
            <w:vAlign w:val="bottom"/>
            <w:tcBorders>
              <w:bottom w:val="single" w:sz="8" w:color="B9D9EB"/>
            </w:tcBorders>
            <w:shd w:val="clear" w:color="auto" w:fill="B9D9EB"/>
          </w:tcPr>
          <w:p>
            <w:pPr>
              <w:spacing w:after="0"/>
              <w:rPr>
                <w:sz w:val="13"/>
                <w:szCs w:val="13"/>
                <w:color w:val="auto"/>
              </w:rPr>
            </w:pPr>
          </w:p>
        </w:tc>
        <w:tc>
          <w:tcPr>
            <w:tcW w:w="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2"/>
                <w:szCs w:val="12"/>
                <w:color w:val="auto"/>
              </w:rPr>
              <w:t>104,364</w:t>
            </w:r>
          </w:p>
        </w:tc>
      </w:tr>
      <w:tr>
        <w:trPr>
          <w:trHeight w:val="495"/>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662"/>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9019"/>
          </w:cols>
          <w:pgMar w:left="1440" w:top="764" w:right="1440" w:bottom="1440"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2023-10-31T15:38:29Z</dcterms:created>
  <dcterms:modified xsi:type="dcterms:W3CDTF">2023-10-31T15:38:29Z</dcterms:modified>
</cp:coreProperties>
</file>