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Open Sans;sans-serif" w:hAnsi="Open Sans;sans-serif"/>
          <w:b/>
          <w:color w:val="000000"/>
          <w:sz w:val="36"/>
        </w:rPr>
      </w:pPr>
      <w:r>
        <w:rPr>
          <w:rFonts w:ascii="Open Sans;sans-serif" w:hAnsi="Open Sans;sans-serif"/>
          <w:b/>
          <w:color w:val="000000"/>
          <w:sz w:val="36"/>
        </w:rPr>
        <w:t>UNITED STATES</w:t>
      </w:r>
    </w:p>
    <w:p>
      <w:pPr>
        <w:pStyle w:val="TextBody"/>
        <w:bidi w:val="0"/>
        <w:spacing w:lineRule="auto" w:line="288" w:before="0" w:after="0"/>
        <w:jc w:val="center"/>
        <w:rPr>
          <w:rFonts w:ascii="Open Sans;sans-serif" w:hAnsi="Open Sans;sans-serif"/>
          <w:b/>
          <w:color w:val="000000"/>
          <w:sz w:val="36"/>
        </w:rPr>
      </w:pPr>
      <w:r>
        <w:rPr>
          <w:rFonts w:ascii="Open Sans;sans-serif" w:hAnsi="Open Sans;sans-serif"/>
          <w:b/>
          <w:color w:val="000000"/>
          <w:sz w:val="36"/>
        </w:rPr>
        <w:t>SECURITIES AND EXCHANGE COMMISSION</w:t>
      </w:r>
    </w:p>
    <w:p>
      <w:pPr>
        <w:pStyle w:val="TextBody"/>
        <w:bidi w:val="0"/>
        <w:spacing w:lineRule="auto" w:line="288" w:before="0" w:after="0"/>
        <w:jc w:val="center"/>
        <w:rPr/>
      </w:pPr>
      <w:r>
        <w:rPr>
          <w:rFonts w:ascii="Open Sans;sans-serif" w:hAnsi="Open Sans;sans-serif"/>
          <w:b/>
          <w:color w:val="000000"/>
          <w:sz w:val="24"/>
        </w:rPr>
        <w:t>Washington, D.C. 20549</w:t>
      </w:r>
      <w:r>
        <w:rPr>
          <w:color w:val="000000"/>
        </w:rPr>
        <w:t> </w:t>
      </w:r>
    </w:p>
    <w:p>
      <w:pPr>
        <w:pStyle w:val="TextBody"/>
        <w:bidi w:val="0"/>
        <w:spacing w:lineRule="auto" w:line="288" w:before="0" w:after="0"/>
        <w:jc w:val="center"/>
        <w:rPr>
          <w:rFonts w:ascii="Open Sans;sans-serif" w:hAnsi="Open Sans;sans-serif"/>
          <w:b/>
          <w:color w:val="000000"/>
          <w:sz w:val="12"/>
        </w:rPr>
      </w:pPr>
      <w:r>
        <w:rPr>
          <w:rFonts w:ascii="Open Sans;sans-serif" w:hAnsi="Open Sans;sans-serif"/>
          <w:b/>
          <w:color w:val="000000"/>
          <w:sz w:val="12"/>
        </w:rPr>
        <w:t>__________________________________________</w:t>
      </w:r>
    </w:p>
    <w:p>
      <w:pPr>
        <w:pStyle w:val="TextBody"/>
        <w:bidi w:val="0"/>
        <w:spacing w:lineRule="auto" w:line="288" w:before="120" w:after="283"/>
        <w:jc w:val="center"/>
        <w:rPr/>
      </w:pPr>
      <w:r>
        <w:rPr>
          <w:rFonts w:ascii="Open Sans;sans-serif" w:hAnsi="Open Sans;sans-serif"/>
          <w:b/>
          <w:color w:val="000000"/>
          <w:sz w:val="36"/>
        </w:rPr>
        <w:t>FORM 8-K</w:t>
      </w:r>
      <w:r>
        <w:rPr>
          <w:color w:val="000000"/>
        </w:rPr>
        <w:t> </w:t>
      </w:r>
    </w:p>
    <w:p>
      <w:pPr>
        <w:pStyle w:val="TextBody"/>
        <w:bidi w:val="0"/>
        <w:spacing w:lineRule="auto" w:line="288" w:before="0" w:after="0"/>
        <w:jc w:val="center"/>
        <w:rPr>
          <w:rFonts w:ascii="Open Sans;sans-serif" w:hAnsi="Open Sans;sans-serif"/>
          <w:b/>
          <w:color w:val="000000"/>
          <w:sz w:val="12"/>
        </w:rPr>
      </w:pPr>
      <w:r>
        <w:rPr>
          <w:rFonts w:ascii="Open Sans;sans-serif" w:hAnsi="Open Sans;sans-serif"/>
          <w:b/>
          <w:color w:val="000000"/>
          <w:sz w:val="12"/>
        </w:rPr>
        <w:t>__________________________________________</w:t>
      </w:r>
    </w:p>
    <w:p>
      <w:pPr>
        <w:pStyle w:val="TextBody"/>
        <w:bidi w:val="0"/>
        <w:spacing w:lineRule="auto" w:line="288" w:before="280" w:after="283"/>
        <w:jc w:val="center"/>
        <w:rPr>
          <w:rFonts w:ascii="Open Sans;sans-serif" w:hAnsi="Open Sans;sans-serif"/>
          <w:b/>
          <w:color w:val="000000"/>
          <w:sz w:val="24"/>
        </w:rPr>
      </w:pPr>
      <w:r>
        <w:rPr>
          <w:rFonts w:ascii="Open Sans;sans-serif" w:hAnsi="Open Sans;sans-serif"/>
          <w:b/>
          <w:color w:val="000000"/>
          <w:sz w:val="24"/>
        </w:rPr>
        <w:t>CURRENT REPORT</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Pursuant to Section 13 or 15(d)</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of the Securities Exchange Act of 1934</w:t>
      </w:r>
    </w:p>
    <w:p>
      <w:pPr>
        <w:pStyle w:val="TextBody"/>
        <w:bidi w:val="0"/>
        <w:spacing w:lineRule="auto" w:line="288" w:before="240" w:after="283"/>
        <w:jc w:val="center"/>
        <w:rPr>
          <w:rFonts w:ascii="Open Sans;sans-serif" w:hAnsi="Open Sans;sans-serif"/>
          <w:b/>
          <w:color w:val="000000"/>
          <w:sz w:val="24"/>
        </w:rPr>
      </w:pPr>
      <w:r>
        <w:rPr>
          <w:rFonts w:ascii="Open Sans;sans-serif" w:hAnsi="Open Sans;sans-serif"/>
          <w:b/>
          <w:color w:val="000000"/>
          <w:sz w:val="24"/>
        </w:rPr>
        <w:t xml:space="preserve">Date of report (date of earliest event reported): August 2, 2023 </w:t>
      </w:r>
    </w:p>
    <w:p>
      <w:pPr>
        <w:pStyle w:val="TextBody"/>
        <w:bidi w:val="0"/>
        <w:spacing w:lineRule="auto" w:line="288" w:before="0" w:after="0"/>
        <w:jc w:val="center"/>
        <w:rPr>
          <w:rFonts w:ascii="Open Sans;sans-serif" w:hAnsi="Open Sans;sans-serif"/>
          <w:b/>
          <w:color w:val="000000"/>
          <w:sz w:val="12"/>
        </w:rPr>
      </w:pPr>
      <w:r>
        <w:rPr>
          <w:rFonts w:ascii="Open Sans;sans-serif" w:hAnsi="Open Sans;sans-serif"/>
          <w:b/>
          <w:color w:val="000000"/>
          <w:sz w:val="12"/>
        </w:rPr>
        <w:t>__________________________________________</w:t>
      </w:r>
    </w:p>
    <w:p>
      <w:pPr>
        <w:pStyle w:val="TextBody"/>
        <w:bidi w:val="0"/>
        <w:spacing w:lineRule="auto" w:line="288" w:before="120" w:after="283"/>
        <w:jc w:val="center"/>
        <w:rPr>
          <w:rFonts w:ascii="Open Sans;sans-serif" w:hAnsi="Open Sans;sans-serif"/>
          <w:b/>
          <w:color w:val="000000"/>
          <w:sz w:val="48"/>
        </w:rPr>
      </w:pPr>
      <w:r>
        <w:rPr>
          <w:rFonts w:ascii="Open Sans;sans-serif" w:hAnsi="Open Sans;sans-serif"/>
          <w:b/>
          <w:color w:val="000000"/>
          <w:sz w:val="48"/>
        </w:rPr>
        <w:t xml:space="preserve">NOBLE CORPORATION plc </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475"/>
        <w:gridCol w:w="1259"/>
        <w:gridCol w:w="1266"/>
        <w:gridCol w:w="109"/>
        <w:gridCol w:w="109"/>
        <w:gridCol w:w="109"/>
        <w:gridCol w:w="792"/>
        <w:gridCol w:w="792"/>
        <w:gridCol w:w="800"/>
        <w:gridCol w:w="109"/>
        <w:gridCol w:w="109"/>
        <w:gridCol w:w="109"/>
        <w:gridCol w:w="928"/>
        <w:gridCol w:w="928"/>
        <w:gridCol w:w="1311"/>
      </w:tblGrid>
      <w:tr>
        <w:trPr/>
        <w:tc>
          <w:tcPr>
            <w:tcW w:w="147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67"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England and Wales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001-41520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98-1644664</w:t>
            </w:r>
          </w:p>
        </w:tc>
      </w:tr>
      <w:tr>
        <w:trPr/>
        <w:tc>
          <w:tcPr>
            <w:tcW w:w="4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(I.R.S. employer identification no.)</w:t>
            </w:r>
          </w:p>
        </w:tc>
      </w:tr>
    </w:tbl>
    <w:tbl>
      <w:tblPr>
        <w:tblW w:w="6928" w:type="dxa"/>
        <w:jc w:val="center"/>
        <w:tblInd w:w="0" w:type="dxa"/>
        <w:tblLayout w:type="fixed"/>
        <w:tblCellMar>
          <w:top w:w="28" w:type="dxa"/>
          <w:left w:w="28" w:type="dxa"/>
          <w:bottom w:w="28" w:type="dxa"/>
          <w:right w:w="28" w:type="dxa"/>
        </w:tblCellMar>
      </w:tblPr>
      <w:tblGrid>
        <w:gridCol w:w="884"/>
        <w:gridCol w:w="779"/>
        <w:gridCol w:w="781"/>
        <w:gridCol w:w="404"/>
        <w:gridCol w:w="404"/>
        <w:gridCol w:w="406"/>
        <w:gridCol w:w="469"/>
        <w:gridCol w:w="469"/>
        <w:gridCol w:w="471"/>
        <w:gridCol w:w="250"/>
        <w:gridCol w:w="250"/>
        <w:gridCol w:w="251"/>
        <w:gridCol w:w="325"/>
        <w:gridCol w:w="325"/>
        <w:gridCol w:w="460"/>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20"/>
              </w:rPr>
            </w:pPr>
            <w:r>
              <w:rPr>
                <w:rFonts w:ascii="Open Sans;sans-serif" w:hAnsi="Open Sans;sans-serif"/>
                <w:b/>
                <w:color w:val="000000"/>
                <w:sz w:val="20"/>
              </w:rPr>
              <w:t>13135 Dairy Ashford,</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Suite 800,</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Sugar Land,</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Texas</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77478</w:t>
            </w:r>
          </w:p>
        </w:tc>
      </w:tr>
      <w:tr>
        <w:trPr/>
        <w:tc>
          <w:tcPr>
            <w:tcW w:w="58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(Address of principal executive offices)</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(Zip code)</w:t>
            </w:r>
          </w:p>
        </w:tc>
      </w:tr>
    </w:tbl>
    <w:p>
      <w:pPr>
        <w:pStyle w:val="TextBody"/>
        <w:bidi w:val="0"/>
        <w:spacing w:lineRule="auto" w:line="288" w:before="60" w:after="283"/>
        <w:jc w:val="center"/>
        <w:rPr>
          <w:rFonts w:ascii="Open Sans;sans-serif" w:hAnsi="Open Sans;sans-serif"/>
          <w:b/>
          <w:color w:val="000000"/>
          <w:sz w:val="20"/>
        </w:rPr>
      </w:pPr>
      <w:r>
        <w:rPr>
          <w:rFonts w:ascii="Open Sans;sans-serif" w:hAnsi="Open Sans;sans-serif"/>
          <w:b/>
          <w:color w:val="000000"/>
          <w:sz w:val="20"/>
        </w:rPr>
        <w:t xml:space="preserve">Registrant’s telephone number, including area code: 281 276-6100 </w:t>
      </w:r>
    </w:p>
    <w:p>
      <w:pPr>
        <w:pStyle w:val="TextBody"/>
        <w:bidi w:val="0"/>
        <w:spacing w:lineRule="auto" w:line="288" w:before="60" w:after="120"/>
        <w:jc w:val="center"/>
        <w:rPr>
          <w:rFonts w:ascii="Open Sans;sans-serif" w:hAnsi="Open Sans;sans-serif"/>
          <w:b/>
          <w:color w:val="000000"/>
          <w:sz w:val="12"/>
        </w:rPr>
      </w:pPr>
      <w:r>
        <w:rPr>
          <w:rFonts w:ascii="Open Sans;sans-serif" w:hAnsi="Open Sans;sans-serif"/>
          <w:b/>
          <w:color w:val="000000"/>
          <w:sz w:val="12"/>
        </w:rPr>
        <w:t>__________________________________________</w:t>
      </w:r>
    </w:p>
    <w:tbl>
      <w:tblPr>
        <w:tblW w:w="10205" w:type="dxa"/>
        <w:jc w:val="center"/>
        <w:tblInd w:w="0" w:type="dxa"/>
        <w:tblLayout w:type="fixed"/>
        <w:tblCellMar>
          <w:top w:w="28" w:type="dxa"/>
          <w:left w:w="28" w:type="dxa"/>
          <w:bottom w:w="28" w:type="dxa"/>
          <w:right w:w="28" w:type="dxa"/>
        </w:tblCellMar>
      </w:tblPr>
      <w:tblGrid>
        <w:gridCol w:w="3264"/>
        <w:gridCol w:w="2867"/>
        <w:gridCol w:w="4074"/>
      </w:tblGrid>
      <w:tr>
        <w:trPr/>
        <w:tc>
          <w:tcPr>
            <w:tcW w:w="3264"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Open Sans;sans-serif" w:hAnsi="Open Sans;sans-serif"/>
                <w:b w:val="false"/>
                <w:color w:val="000000"/>
                <w:sz w:val="18"/>
              </w:rPr>
            </w:pPr>
            <w:r>
              <w:rPr>
                <w:rFonts w:ascii="Open Sans;sans-serif" w:hAnsi="Open Sans;sans-serif"/>
                <w:b w:val="false"/>
                <w:color w:val="000000"/>
                <w:sz w:val="18"/>
              </w:rPr>
              <w:t>Check the appropriate box below if the Form 8-K filing is intended to simultaneously satisfy the filing obligation of the registrant under any of the following provisions</w:t>
            </w:r>
          </w:p>
        </w:tc>
      </w:tr>
    </w:tbl>
    <w:tbl>
      <w:tblPr>
        <w:tblW w:w="8682" w:type="dxa"/>
        <w:jc w:val="center"/>
        <w:tblInd w:w="0" w:type="dxa"/>
        <w:tblLayout w:type="fixed"/>
        <w:tblCellMar>
          <w:top w:w="28" w:type="dxa"/>
          <w:left w:w="28" w:type="dxa"/>
          <w:bottom w:w="28" w:type="dxa"/>
          <w:right w:w="28" w:type="dxa"/>
        </w:tblCellMar>
      </w:tblPr>
      <w:tblGrid>
        <w:gridCol w:w="124"/>
        <w:gridCol w:w="109"/>
        <w:gridCol w:w="109"/>
        <w:gridCol w:w="2440"/>
        <w:gridCol w:w="2440"/>
        <w:gridCol w:w="34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34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Written communications pursuant to Rule 425 under the Securities Act (17 CFR 230.425)</w:t>
            </w:r>
          </w:p>
        </w:tc>
      </w:tr>
    </w:tbl>
    <w:tbl>
      <w:tblPr>
        <w:tblW w:w="8651" w:type="dxa"/>
        <w:jc w:val="center"/>
        <w:tblInd w:w="0" w:type="dxa"/>
        <w:tblLayout w:type="fixed"/>
        <w:tblCellMar>
          <w:top w:w="28" w:type="dxa"/>
          <w:left w:w="28" w:type="dxa"/>
          <w:bottom w:w="28" w:type="dxa"/>
          <w:right w:w="28" w:type="dxa"/>
        </w:tblCellMar>
      </w:tblPr>
      <w:tblGrid>
        <w:gridCol w:w="124"/>
        <w:gridCol w:w="109"/>
        <w:gridCol w:w="109"/>
        <w:gridCol w:w="2427"/>
        <w:gridCol w:w="2427"/>
        <w:gridCol w:w="34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Soliciting material pursuant to Rule 14a-12 under the Exchange Act (17 CFR 240.14a-12)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Pre-commencement communications pursuant to Rule 14d-2(b) under the Exchange Act (17 CFR 240.14d-2(b))</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Open Sans;sans-serif" w:hAnsi="Open Sans;sans-serif"/>
          <w:b w:val="false"/>
          <w:color w:val="000000"/>
          <w:sz w:val="18"/>
        </w:rPr>
      </w:pPr>
      <w:r>
        <w:rPr>
          <w:rFonts w:ascii="Open Sans;sans-serif" w:hAnsi="Open Sans;sans-serif"/>
          <w:b w:val="false"/>
          <w:color w:val="000000"/>
          <w:sz w:val="18"/>
        </w:rPr>
        <w:t xml:space="preserve">Securities registered pursuant to Section 12(b) of the Act: </w:t>
      </w:r>
    </w:p>
    <w:tbl>
      <w:tblPr>
        <w:tblW w:w="10205" w:type="dxa"/>
        <w:jc w:val="center"/>
        <w:tblInd w:w="0" w:type="dxa"/>
        <w:tblLayout w:type="fixed"/>
        <w:tblCellMar>
          <w:top w:w="28" w:type="dxa"/>
          <w:left w:w="28" w:type="dxa"/>
          <w:bottom w:w="28" w:type="dxa"/>
          <w:right w:w="28" w:type="dxa"/>
        </w:tblCellMar>
      </w:tblPr>
      <w:tblGrid>
        <w:gridCol w:w="1614"/>
        <w:gridCol w:w="1379"/>
        <w:gridCol w:w="1382"/>
        <w:gridCol w:w="630"/>
        <w:gridCol w:w="630"/>
        <w:gridCol w:w="632"/>
        <w:gridCol w:w="1152"/>
        <w:gridCol w:w="1152"/>
        <w:gridCol w:w="1634"/>
      </w:tblGrid>
      <w:tr>
        <w:trPr/>
        <w:tc>
          <w:tcPr>
            <w:tcW w:w="161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Title of each class</w:t>
            </w:r>
          </w:p>
        </w:tc>
        <w:tc>
          <w:tcPr>
            <w:tcW w:w="189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8"/>
              </w:rPr>
            </w:pPr>
            <w:r>
              <w:rPr>
                <w:rFonts w:ascii="Open Sans;sans-serif" w:hAnsi="Open Sans;sans-serif"/>
                <w:b/>
                <w:color w:val="000000"/>
                <w:sz w:val="18"/>
              </w:rPr>
              <w:t>Trading Symbol(s)</w:t>
            </w:r>
          </w:p>
        </w:tc>
        <w:tc>
          <w:tcPr>
            <w:tcW w:w="3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Name of each exchange on which registered</w:t>
            </w:r>
          </w:p>
        </w:tc>
      </w:tr>
      <w:tr>
        <w:trPr/>
        <w:tc>
          <w:tcPr>
            <w:tcW w:w="4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A Ordinary Shares, par value $0.00001 per share</w:t>
            </w:r>
          </w:p>
        </w:tc>
        <w:tc>
          <w:tcPr>
            <w:tcW w:w="189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NE</w:t>
            </w:r>
          </w:p>
        </w:tc>
        <w:tc>
          <w:tcPr>
            <w:tcW w:w="393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New York Stock Exchange</w:t>
            </w:r>
          </w:p>
        </w:tc>
      </w:tr>
      <w:tr>
        <w:trPr/>
        <w:tc>
          <w:tcPr>
            <w:tcW w:w="4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Tranche 1 Warrants of Noble Corporation plc</w:t>
            </w:r>
          </w:p>
        </w:tc>
        <w:tc>
          <w:tcPr>
            <w:tcW w:w="189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NE WS</w:t>
            </w:r>
          </w:p>
        </w:tc>
        <w:tc>
          <w:tcPr>
            <w:tcW w:w="393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New York Stock Exchange</w:t>
            </w:r>
          </w:p>
        </w:tc>
      </w:tr>
      <w:tr>
        <w:trPr/>
        <w:tc>
          <w:tcPr>
            <w:tcW w:w="4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Tranche 2 Warrants of Noble Corporation plc</w:t>
            </w:r>
          </w:p>
        </w:tc>
        <w:tc>
          <w:tcPr>
            <w:tcW w:w="189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NE WSA</w:t>
            </w:r>
          </w:p>
        </w:tc>
        <w:tc>
          <w:tcPr>
            <w:tcW w:w="393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6"/>
              </w:rPr>
            </w:pPr>
            <w:r>
              <w:rPr>
                <w:rFonts w:ascii="Open Sans;sans-serif" w:hAnsi="Open Sans;sans-serif"/>
                <w:b/>
                <w:color w:val="000000"/>
                <w:sz w:val="16"/>
              </w:rPr>
              <w:t>New York Stock Exchange</w:t>
            </w:r>
          </w:p>
        </w:tc>
      </w:tr>
    </w:tbl>
    <w:tbl>
      <w:tblPr>
        <w:tblW w:w="10205" w:type="dxa"/>
        <w:jc w:val="center"/>
        <w:tblInd w:w="0" w:type="dxa"/>
        <w:tblLayout w:type="fixed"/>
        <w:tblCellMar>
          <w:top w:w="28" w:type="dxa"/>
          <w:left w:w="28" w:type="dxa"/>
          <w:bottom w:w="28" w:type="dxa"/>
          <w:right w:w="28" w:type="dxa"/>
        </w:tblCellMar>
      </w:tblPr>
      <w:tblGrid>
        <w:gridCol w:w="3267"/>
        <w:gridCol w:w="2867"/>
        <w:gridCol w:w="4071"/>
      </w:tblGrid>
      <w:tr>
        <w:trPr/>
        <w:tc>
          <w:tcPr>
            <w:tcW w:w="3267"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c>
      </w:tr>
    </w:tbl>
    <w:p>
      <w:pPr>
        <w:pStyle w:val="TextBody"/>
        <w:bidi w:val="0"/>
        <w:spacing w:lineRule="auto" w:line="288" w:before="60" w:after="60"/>
        <w:jc w:val="center"/>
        <w:rPr>
          <w:rFonts w:ascii="Open Sans;sans-serif" w:hAnsi="Open Sans;sans-serif"/>
          <w:b w:val="false"/>
          <w:color w:val="000000"/>
          <w:sz w:val="18"/>
        </w:rPr>
      </w:pPr>
      <w:r>
        <w:rPr>
          <w:rFonts w:ascii="Open Sans;sans-serif" w:hAnsi="Open Sans;sans-serif"/>
          <w:b w:val="false"/>
          <w:color w:val="000000"/>
          <w:sz w:val="18"/>
        </w:rPr>
        <w:t xml:space="preserve">Emerging growth company ☐ </w:t>
      </w:r>
    </w:p>
    <w:tbl>
      <w:tblPr>
        <w:tblW w:w="10205" w:type="dxa"/>
        <w:jc w:val="center"/>
        <w:tblInd w:w="0" w:type="dxa"/>
        <w:tblLayout w:type="fixed"/>
        <w:tblCellMar>
          <w:top w:w="28" w:type="dxa"/>
          <w:left w:w="28" w:type="dxa"/>
          <w:bottom w:w="28" w:type="dxa"/>
          <w:right w:w="28" w:type="dxa"/>
        </w:tblCellMar>
      </w:tblPr>
      <w:tblGrid>
        <w:gridCol w:w="3264"/>
        <w:gridCol w:w="2870"/>
        <w:gridCol w:w="4071"/>
      </w:tblGrid>
      <w:tr>
        <w:trPr/>
        <w:tc>
          <w:tcPr>
            <w:tcW w:w="326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Open Sans;sans-serif" w:hAnsi="Open Sans;sans-serif"/>
                <w:b w:val="false"/>
                <w:color w:val="000000"/>
                <w:sz w:val="18"/>
              </w:rPr>
            </w:pPr>
            <w:r>
              <w:rPr>
                <w:rFonts w:ascii="Open Sans;sans-serif" w:hAnsi="Open Sans;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581025"/>
                <wp:effectExtent l="0" t="0" r="0" b="0"/>
                <wp:wrapNone/>
                <wp:docPr id="1" name="Frame1"/>
                <a:graphic xmlns:a="http://schemas.openxmlformats.org/drawingml/2006/main">
                  <a:graphicData uri="http://schemas.microsoft.com/office/word/2010/wordprocessingShape">
                    <wps:wsp>
                      <wps:cNvSpPr txBox="1"/>
                      <wps:spPr>
                        <a:xfrm>
                          <a:off x="0" y="0"/>
                          <a:ext cx="6480175" cy="581025"/>
                        </a:xfrm>
                        <a:prstGeom prst="rect"/>
                        <a:solidFill>
                          <a:srgbClr val="FFFFFF"/>
                        </a:solidFill>
                      </wps:spPr>
                      <wps:txbx>
                        <w:txbxContent>
                          <w:p>
                            <w:pPr>
                              <w:pStyle w:val="TextBody"/>
                              <w:bidi w:val="0"/>
                              <w:spacing w:before="80" w:after="283"/>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80" w:after="283"/>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029"/>
        <w:gridCol w:w="2552"/>
        <w:gridCol w:w="3624"/>
      </w:tblGrid>
      <w:tr>
        <w:trPr/>
        <w:tc>
          <w:tcPr>
            <w:tcW w:w="4029"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Item 2.02.    Results of Operations and Financial Condition.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495"/>
              <w:jc w:val="left"/>
              <w:rPr>
                <w:rFonts w:ascii="Open Sans;sans-serif" w:hAnsi="Open Sans;sans-serif"/>
                <w:b w:val="false"/>
                <w:color w:val="000000"/>
                <w:sz w:val="20"/>
              </w:rPr>
            </w:pPr>
            <w:r>
              <w:rPr>
                <w:rFonts w:ascii="Open Sans;sans-serif" w:hAnsi="Open Sans;sans-serif"/>
                <w:b w:val="false"/>
                <w:color w:val="000000"/>
                <w:sz w:val="20"/>
              </w:rPr>
              <w:t>On August 2, 2023, Noble Corporation plc (the “Company”) issued a press release announcing its condensed consolidated financial results for the quarter ended June 30, 2023. A copy of such press release is included as Exhibit 99.1 and will be published in the “Investors” section on the Company’s website at www.noblecorp.com.</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495"/>
              <w:jc w:val="left"/>
              <w:rPr>
                <w:rFonts w:ascii="Open Sans;sans-serif" w:hAnsi="Open Sans;sans-serif"/>
                <w:b w:val="false"/>
                <w:color w:val="000000"/>
                <w:sz w:val="20"/>
              </w:rPr>
            </w:pPr>
            <w:r>
              <w:rPr>
                <w:rFonts w:ascii="Open Sans;sans-serif" w:hAnsi="Open Sans;sans-serif"/>
                <w:b w:val="false"/>
                <w:color w:val="000000"/>
                <w:sz w:val="20"/>
              </w:rPr>
              <w:t>Pursuant to the rules and regulations of the Securities and Exchange Commission, the press release is being furnished and shall not be deemed to be “filed” under the Securities Exchange Act of 1934.</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Item 7.01.    Regulation FD Disclosure.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95"/>
              <w:jc w:val="left"/>
              <w:rPr>
                <w:rFonts w:ascii="Open Sans;sans-serif" w:hAnsi="Open Sans;sans-serif"/>
                <w:b w:val="false"/>
                <w:color w:val="000000"/>
                <w:sz w:val="20"/>
              </w:rPr>
            </w:pPr>
            <w:r>
              <w:rPr>
                <w:rFonts w:ascii="Open Sans;sans-serif" w:hAnsi="Open Sans;sans-serif"/>
                <w:b w:val="false"/>
                <w:color w:val="000000"/>
                <w:sz w:val="20"/>
              </w:rPr>
              <w:t xml:space="preserve">On August 3, 2023, the President and Chief Executive Officer of Noble Corporation plc (NYSE: NE), Robert W. Eifler, together with other executive officers, plan to announce Noble Corporation plc's earnings for the quarter ended June 30, 2023 via teleconference, which will be open to the public and broadcast live over the internet. A copy of the slide presentation used in connection with the teleconference is attached as Exhibit 99.2 and is incorporated by reference into this item. </w:t>
            </w:r>
          </w:p>
          <w:p>
            <w:pPr>
              <w:pStyle w:val="TableContents"/>
              <w:bidi w:val="0"/>
              <w:spacing w:lineRule="auto" w:line="240" w:before="120" w:after="283"/>
              <w:ind w:left="0" w:right="0" w:firstLine="495"/>
              <w:jc w:val="left"/>
              <w:rPr>
                <w:rFonts w:ascii="Open Sans;sans-serif" w:hAnsi="Open Sans;sans-serif"/>
                <w:b w:val="false"/>
                <w:color w:val="000000"/>
                <w:sz w:val="20"/>
              </w:rPr>
            </w:pPr>
            <w:r>
              <w:rPr>
                <w:rFonts w:ascii="Open Sans;sans-serif" w:hAnsi="Open Sans;sans-serif"/>
                <w:b w:val="false"/>
                <w:color w:val="000000"/>
                <w:sz w:val="20"/>
              </w:rPr>
              <w:t>Pursuant to the rules and regulations of the Securities and Exchange Commission, the slide presentation is being furnished and shall not be deemed to be “filed” under the Securities Exchange Act of 1934.</w:t>
            </w:r>
          </w:p>
        </w:tc>
      </w:tr>
    </w:tbl>
    <w:tbl>
      <w:tblPr>
        <w:tblW w:w="10205" w:type="dxa"/>
        <w:jc w:val="center"/>
        <w:tblInd w:w="0" w:type="dxa"/>
        <w:tblLayout w:type="fixed"/>
        <w:tblCellMar>
          <w:top w:w="28" w:type="dxa"/>
          <w:left w:w="28" w:type="dxa"/>
          <w:bottom w:w="28" w:type="dxa"/>
          <w:right w:w="28" w:type="dxa"/>
        </w:tblCellMar>
      </w:tblPr>
      <w:tblGrid>
        <w:gridCol w:w="900"/>
        <w:gridCol w:w="644"/>
        <w:gridCol w:w="644"/>
        <w:gridCol w:w="2445"/>
        <w:gridCol w:w="2345"/>
        <w:gridCol w:w="3227"/>
      </w:tblGrid>
      <w:tr>
        <w:trPr/>
        <w:tc>
          <w:tcPr>
            <w:tcW w:w="90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360" w:after="283"/>
              <w:jc w:val="left"/>
              <w:rPr>
                <w:rFonts w:ascii="Open Sans;sans-serif" w:hAnsi="Open Sans;sans-serif"/>
                <w:b/>
                <w:color w:val="000000"/>
                <w:sz w:val="20"/>
              </w:rPr>
            </w:pPr>
            <w:r>
              <w:rPr>
                <w:rFonts w:ascii="Open Sans;sans-serif" w:hAnsi="Open Sans;sans-serif"/>
                <w:b/>
                <w:color w:val="000000"/>
                <w:sz w:val="20"/>
              </w:rPr>
              <w:t>Item 9.01.    Financial Statements and Exhibits.</w:t>
            </w:r>
          </w:p>
        </w:tc>
      </w:tr>
      <w:tr>
        <w:trPr/>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7"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(d)    Exhibits</w:t>
            </w:r>
          </w:p>
        </w:tc>
      </w:tr>
      <w:tr>
        <w:trPr/>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EXHIBIT</w:t>
            </w:r>
          </w:p>
        </w:tc>
        <w:tc>
          <w:tcPr>
            <w:tcW w:w="8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u w:val="single"/>
              </w:rPr>
            </w:pPr>
            <w:r>
              <w:rPr>
                <w:rFonts w:ascii="Open Sans;sans-serif" w:hAnsi="Open Sans;sans-serif"/>
                <w:b/>
                <w:color w:val="000000"/>
                <w:sz w:val="20"/>
                <w:u w:val="single"/>
              </w:rPr>
              <w:t>NUMBER</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u w:val="single"/>
              </w:rPr>
            </w:pPr>
            <w:r>
              <w:rPr>
                <w:rFonts w:ascii="Open Sans;sans-serif" w:hAnsi="Open Sans;sans-serif"/>
                <w:b/>
                <w:color w:val="000000"/>
                <w:sz w:val="20"/>
                <w:u w:val="single"/>
              </w:rPr>
              <w:t>DESCRIPTION</w:t>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Exhibit 99.1</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2023q2pressrele.htm">
              <w:r>
                <w:rPr>
                  <w:rStyle w:val="InternetLink"/>
                  <w:rFonts w:ascii="Open Sans;sans-serif" w:hAnsi="Open Sans;sans-serif"/>
                  <w:b w:val="false"/>
                  <w:color w:val="000080"/>
                  <w:sz w:val="20"/>
                  <w:u w:val="single"/>
                </w:rPr>
                <w:t xml:space="preserve">Press Release issued by Noble Corporation plc dated </w:t>
              </w:r>
            </w:hyperlink>
            <w:hyperlink w:anchor="exhibit991-2023q2pressrele.htm">
              <w:r>
                <w:rPr>
                  <w:rStyle w:val="InternetLink"/>
                  <w:rFonts w:ascii="Open Sans;sans-serif" w:hAnsi="Open Sans;sans-serif"/>
                  <w:b w:val="false"/>
                  <w:color w:val="000080"/>
                  <w:sz w:val="20"/>
                  <w:u w:val="single"/>
                </w:rPr>
                <w:t xml:space="preserve">August </w:t>
              </w:r>
            </w:hyperlink>
            <w:hyperlink w:anchor="exhibit991-2023q2pressrele.htm">
              <w:r>
                <w:rPr>
                  <w:rStyle w:val="InternetLink"/>
                  <w:rFonts w:ascii="Open Sans;sans-serif" w:hAnsi="Open Sans;sans-serif"/>
                  <w:b w:val="false"/>
                  <w:color w:val="000080"/>
                  <w:sz w:val="20"/>
                  <w:u w:val="single"/>
                </w:rPr>
                <w:t>2</w:t>
              </w:r>
            </w:hyperlink>
            <w:hyperlink w:anchor="exhibit991-2023q2pressrele.htm">
              <w:r>
                <w:rPr>
                  <w:rStyle w:val="InternetLink"/>
                  <w:rFonts w:ascii="Open Sans;sans-serif" w:hAnsi="Open Sans;sans-serif"/>
                  <w:b w:val="false"/>
                  <w:color w:val="000080"/>
                  <w:sz w:val="20"/>
                  <w:u w:val="single"/>
                </w:rPr>
                <w:t>, 2023</w:t>
              </w:r>
            </w:hyperlink>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Exhibit 99.2</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blecorporationplcslide.htm">
              <w:r>
                <w:rPr>
                  <w:rStyle w:val="InternetLink"/>
                  <w:rFonts w:ascii="Open Sans;sans-serif" w:hAnsi="Open Sans;sans-serif"/>
                  <w:b w:val="false"/>
                  <w:color w:val="0000FF"/>
                  <w:sz w:val="20"/>
                  <w:u w:val="single"/>
                </w:rPr>
                <w:t>Noble Corporation plc Slide Presentation dated August 3, 2023</w:t>
              </w:r>
            </w:hyperlink>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Exhibit 104</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Cover Page Interactive Data File –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81025"/>
                <wp:effectExtent l="0" t="0" r="0" b="0"/>
                <wp:wrapNone/>
                <wp:docPr id="2" name="Frame2"/>
                <a:graphic xmlns:a="http://schemas.openxmlformats.org/drawingml/2006/main">
                  <a:graphicData uri="http://schemas.microsoft.com/office/word/2010/wordprocessingShape">
                    <wps:wsp>
                      <wps:cNvSpPr txBox="1"/>
                      <wps:spPr>
                        <a:xfrm>
                          <a:off x="0" y="0"/>
                          <a:ext cx="6480175" cy="581025"/>
                        </a:xfrm>
                        <a:prstGeom prst="rect"/>
                        <a:solidFill>
                          <a:srgbClr val="FFFFFF"/>
                        </a:solidFill>
                      </wps:spPr>
                      <wps:txbx>
                        <w:txbxContent>
                          <w:p>
                            <w:pPr>
                              <w:pStyle w:val="TextBody"/>
                              <w:bidi w:val="0"/>
                              <w:spacing w:before="80" w:after="283"/>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80" w:after="283"/>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SIGNATURES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265"/>
        <w:gridCol w:w="2870"/>
        <w:gridCol w:w="4070"/>
      </w:tblGrid>
      <w:tr>
        <w:trPr/>
        <w:tc>
          <w:tcPr>
            <w:tcW w:w="3265"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495"/>
              <w:jc w:val="both"/>
              <w:rPr>
                <w:rFonts w:ascii="Open Sans;sans-serif" w:hAnsi="Open Sans;sans-serif"/>
                <w:b w:val="false"/>
                <w:color w:val="000000"/>
                <w:sz w:val="20"/>
              </w:rPr>
            </w:pPr>
            <w:r>
              <w:rPr>
                <w:rFonts w:ascii="Open Sans;sans-serif" w:hAnsi="Open Sans;sans-serif"/>
                <w:b w:val="false"/>
                <w:color w:val="000000"/>
                <w:sz w:val="20"/>
              </w:rPr>
              <w:t>Pursuant to the requirements of the Securities Exchange Act of 1934, the Registrant has duly caused this report to be signed on its behalf by the undersigned hereunto duly authorized.</w:t>
            </w:r>
          </w:p>
        </w:tc>
      </w:tr>
    </w:tbl>
    <w:p>
      <w:pPr>
        <w:pStyle w:val="TextBody"/>
        <w:bidi w:val="0"/>
        <w:spacing w:lineRule="auto" w:line="288" w:before="0" w:after="0"/>
        <w:jc w:val="left"/>
        <w:rPr>
          <w:color w:val="000000"/>
        </w:rPr>
      </w:pPr>
      <w:r>
        <w:rPr>
          <w:color w:val="000000"/>
        </w:rPr>
        <w:t> </w:t>
      </w:r>
    </w:p>
    <w:tbl>
      <w:tblPr>
        <w:tblW w:w="8656" w:type="dxa"/>
        <w:jc w:val="center"/>
        <w:tblInd w:w="0" w:type="dxa"/>
        <w:tblLayout w:type="fixed"/>
        <w:tblCellMar>
          <w:top w:w="28" w:type="dxa"/>
          <w:left w:w="28" w:type="dxa"/>
          <w:bottom w:w="28" w:type="dxa"/>
          <w:right w:w="28" w:type="dxa"/>
        </w:tblCellMar>
      </w:tblPr>
      <w:tblGrid>
        <w:gridCol w:w="233"/>
        <w:gridCol w:w="205"/>
        <w:gridCol w:w="207"/>
        <w:gridCol w:w="519"/>
        <w:gridCol w:w="519"/>
        <w:gridCol w:w="521"/>
        <w:gridCol w:w="109"/>
        <w:gridCol w:w="109"/>
        <w:gridCol w:w="109"/>
        <w:gridCol w:w="109"/>
        <w:gridCol w:w="109"/>
        <w:gridCol w:w="109"/>
        <w:gridCol w:w="109"/>
        <w:gridCol w:w="109"/>
        <w:gridCol w:w="109"/>
        <w:gridCol w:w="282"/>
        <w:gridCol w:w="282"/>
        <w:gridCol w:w="282"/>
        <w:gridCol w:w="282"/>
        <w:gridCol w:w="282"/>
        <w:gridCol w:w="282"/>
        <w:gridCol w:w="1106"/>
        <w:gridCol w:w="1106"/>
        <w:gridCol w:w="1567"/>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NOBLE CORPORATION plc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August 2, 2023</w:t>
            </w:r>
          </w:p>
        </w:tc>
        <w:tc>
          <w:tcPr>
            <w:tcW w:w="3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By:</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 Robert W. Eifler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Open Sans;sans-serif" w:hAnsi="Open Sans;sans-serif"/>
                <w:b w:val="false"/>
                <w:color w:val="000000"/>
                <w:sz w:val="20"/>
              </w:rPr>
              <w:t>Robert W. Eifler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President and Chief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Open Sans;sans-serif" w:hAnsi="Open Sans;sans-serif"/>
          <w:b/>
          <w:color w:val="000000"/>
          <w:sz w:val="20"/>
        </w:rPr>
      </w:pPr>
      <w:r>
        <w:rPr>
          <w:rFonts w:ascii="Open Sans;sans-serif" w:hAnsi="Open Sans;sans-serif"/>
          <w:b/>
          <w:color w:val="000000"/>
          <w:sz w:val="20"/>
        </w:rPr>
        <w:t>EXHIBIT 99.1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81025"/>
                <wp:effectExtent l="0" t="0" r="0" b="0"/>
                <wp:wrapNone/>
                <wp:docPr id="3" name="Frame3"/>
                <a:graphic xmlns:a="http://schemas.openxmlformats.org/drawingml/2006/main">
                  <a:graphicData uri="http://schemas.microsoft.com/office/word/2010/wordprocessingShape">
                    <wps:wsp>
                      <wps:cNvSpPr txBox="1"/>
                      <wps:spPr>
                        <a:xfrm>
                          <a:off x="0" y="0"/>
                          <a:ext cx="6480175" cy="581025"/>
                        </a:xfrm>
                        <a:prstGeom prst="rect"/>
                        <a:solidFill>
                          <a:srgbClr val="FFFFFF"/>
                        </a:solidFill>
                      </wps:spPr>
                      <wps:txbx>
                        <w:txbxContent>
                          <w:p>
                            <w:pPr>
                              <w:pStyle w:val="TextBody"/>
                              <w:bidi w:val="0"/>
                              <w:spacing w:before="80" w:after="283"/>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75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before="80" w:after="283"/>
                        <w:jc w:val="center"/>
                        <w:rPr/>
                      </w:pPr>
                      <w:r>
                        <w:rPr/>
                      </w:r>
                    </w:p>
                    <w:p>
                      <w:pPr>
                        <w:pStyle w:val="TextBody"/>
                        <w:bidi w:val="0"/>
                        <w:spacing w:before="0" w:after="0"/>
                        <w:jc w:val="center"/>
                        <w:rPr/>
                      </w:pPr>
                      <w:r>
                        <w:rPr/>
                      </w:r>
                    </w:p>
                  </w:txbxContent>
                </v:textbox>
                <w10:wrap type="none"/>
              </v:rect>
            </w:pict>
          </mc:Fallback>
        </mc:AlternateContent>
      </w:r>
    </w:p>
    <w:tbl>
      <w:tblPr>
        <w:tblW w:w="7403" w:type="dxa"/>
        <w:jc w:val="center"/>
        <w:tblInd w:w="0" w:type="dxa"/>
        <w:tblLayout w:type="fixed"/>
        <w:tblCellMar>
          <w:top w:w="28" w:type="dxa"/>
          <w:left w:w="28" w:type="dxa"/>
          <w:bottom w:w="28" w:type="dxa"/>
          <w:right w:w="28" w:type="dxa"/>
        </w:tblCellMar>
      </w:tblPr>
      <w:tblGrid>
        <w:gridCol w:w="1598"/>
        <w:gridCol w:w="1404"/>
        <w:gridCol w:w="1408"/>
        <w:gridCol w:w="109"/>
        <w:gridCol w:w="109"/>
        <w:gridCol w:w="109"/>
        <w:gridCol w:w="781"/>
        <w:gridCol w:w="781"/>
        <w:gridCol w:w="1104"/>
      </w:tblGrid>
      <w:tr>
        <w:trPr/>
        <w:tc>
          <w:tcPr>
            <w:tcW w:w="159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2F6C"/>
                <w:sz w:val="48"/>
              </w:rPr>
            </w:pPr>
            <w:r>
              <w:rPr>
                <w:rFonts w:ascii="Open Sans;sans-serif" w:hAnsi="Open Sans;sans-serif"/>
                <w:b/>
                <w:color w:val="002F6C"/>
                <w:sz w:val="48"/>
              </w:rPr>
              <w:t>PRESS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before="120" w:after="283"/>
              <w:jc w:val="right"/>
              <w:rPr/>
            </w:pPr>
            <w:r>
              <w:rPr/>
              <w:drawing>
                <wp:inline distT="0" distB="0" distL="0" distR="0">
                  <wp:extent cx="1609725" cy="7715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9725" cy="771525"/>
                          </a:xfrm>
                          <a:prstGeom prst="rect">
                            <a:avLst/>
                          </a:prstGeom>
                        </pic:spPr>
                      </pic:pic>
                    </a:graphicData>
                  </a:graphic>
                </wp:inline>
              </w:drawing>
            </w:r>
          </w:p>
        </w:tc>
      </w:tr>
    </w:tbl>
    <w:p>
      <w:pPr>
        <w:pStyle w:val="TextBody"/>
        <w:bidi w:val="0"/>
        <w:spacing w:lineRule="auto" w:line="288" w:before="0" w:after="240"/>
        <w:jc w:val="both"/>
        <w:rPr>
          <w:rFonts w:ascii="Open Sans;sans-serif" w:hAnsi="Open Sans;sans-serif"/>
          <w:b w:val="false"/>
          <w:color w:val="002F6C"/>
          <w:sz w:val="28"/>
        </w:rPr>
      </w:pPr>
      <w:r>
        <w:rPr>
          <w:rFonts w:ascii="Open Sans;sans-serif" w:hAnsi="Open Sans;sans-serif"/>
          <w:b w:val="false"/>
          <w:color w:val="002F6C"/>
          <w:sz w:val="28"/>
        </w:rPr>
        <w:t>NOBLE CORPORATION PLC ANNOUNCES SECOND QUARTER 2023 RESULTS</w:t>
      </w:r>
    </w:p>
    <w:p>
      <w:pPr>
        <w:pStyle w:val="TextBody"/>
        <w:bidi w:val="0"/>
        <w:spacing w:lineRule="auto" w:line="288" w:before="0" w:after="0"/>
        <w:ind w:left="0" w:right="0" w:hanging="720"/>
        <w:jc w:val="left"/>
        <w:rPr/>
      </w:pPr>
      <w:r>
        <w:rPr>
          <w:color w:val="5D6771"/>
          <w:shd w:fill="FFFFFF" w:val="clear"/>
        </w:rPr>
        <w:t>•</w:t>
      </w:r>
      <w:r>
        <w:rPr>
          <w:rFonts w:ascii="Open Sans;sans-serif" w:hAnsi="Open Sans;sans-serif"/>
          <w:b w:val="false"/>
          <w:color w:val="5D6771"/>
          <w:sz w:val="20"/>
        </w:rPr>
        <w:t>Amplifying capital returns to shareholders with $60 million of share repurchases in Q2 and quarterly cash dividend initiated at $0.30 per share.</w:t>
      </w:r>
    </w:p>
    <w:p>
      <w:pPr>
        <w:pStyle w:val="TextBody"/>
        <w:bidi w:val="0"/>
        <w:spacing w:lineRule="auto" w:line="288" w:before="0" w:after="0"/>
        <w:ind w:left="0" w:right="0" w:hanging="720"/>
        <w:jc w:val="both"/>
        <w:rPr/>
      </w:pPr>
      <w:r>
        <w:rPr>
          <w:color w:val="5D6771"/>
        </w:rPr>
        <w:t>•</w:t>
      </w:r>
      <w:r>
        <w:rPr>
          <w:rFonts w:ascii="Open Sans;sans-serif" w:hAnsi="Open Sans;sans-serif"/>
          <w:b w:val="false"/>
          <w:color w:val="5D6771"/>
          <w:sz w:val="20"/>
        </w:rPr>
        <w:t xml:space="preserve">Total backlog grows by 9% to $5.0 billion with new contracts totaling $0.8 billion secured over the past three </w:t>
      </w:r>
      <w:r>
        <w:rPr>
          <w:rFonts w:ascii="Open Sans;sans-serif" w:hAnsi="Open Sans;sans-serif"/>
          <w:b w:val="false"/>
          <w:color w:val="5D6771"/>
          <w:sz w:val="20"/>
          <w:shd w:fill="FFFFFF" w:val="clear"/>
        </w:rPr>
        <w:t>months.</w:t>
      </w:r>
    </w:p>
    <w:p>
      <w:pPr>
        <w:pStyle w:val="TextBody"/>
        <w:bidi w:val="0"/>
        <w:spacing w:lineRule="auto" w:line="288" w:before="0" w:after="0"/>
        <w:ind w:left="0" w:right="0" w:hanging="720"/>
        <w:jc w:val="both"/>
        <w:rPr/>
      </w:pPr>
      <w:r>
        <w:rPr>
          <w:color w:val="5D6771"/>
        </w:rPr>
        <w:t>•</w:t>
      </w:r>
      <w:r>
        <w:rPr>
          <w:rFonts w:ascii="Open Sans;sans-serif" w:hAnsi="Open Sans;sans-serif"/>
          <w:b w:val="false"/>
          <w:color w:val="5D6771"/>
          <w:sz w:val="20"/>
          <w:shd w:fill="FFFFFF" w:val="clear"/>
        </w:rPr>
        <w:t xml:space="preserve">Q2 Net Income of </w:t>
      </w:r>
      <w:r>
        <w:rPr>
          <w:rFonts w:ascii="Open Sans;sans-serif" w:hAnsi="Open Sans;sans-serif"/>
          <w:b w:val="false"/>
          <w:color w:val="5D6771"/>
          <w:sz w:val="20"/>
        </w:rPr>
        <w:t>$66 million, Diluted Earnings Per Share of $0.45, Adjusted EBITDA of $188 million, net cash provided by operating activities of $211 million, and Free Cash Flow of $104 million</w:t>
      </w:r>
      <w:r>
        <w:rPr>
          <w:rFonts w:ascii="Open Sans;sans-serif" w:hAnsi="Open Sans;sans-serif"/>
          <w:b w:val="false"/>
          <w:i/>
          <w:color w:val="5D6771"/>
          <w:sz w:val="20"/>
          <w:shd w:fill="FFFFFF" w:val="clear"/>
        </w:rPr>
        <w:t>.</w:t>
      </w:r>
    </w:p>
    <w:p>
      <w:pPr>
        <w:pStyle w:val="TextBody"/>
        <w:bidi w:val="0"/>
        <w:spacing w:before="0" w:after="240"/>
        <w:ind w:left="0" w:right="0" w:hanging="360"/>
        <w:jc w:val="both"/>
        <w:rPr/>
      </w:pPr>
      <w:r>
        <w:rPr/>
      </w:r>
    </w:p>
    <w:p>
      <w:pPr>
        <w:pStyle w:val="TextBody"/>
        <w:bidi w:val="0"/>
        <w:spacing w:lineRule="auto" w:line="288" w:before="0" w:after="240"/>
        <w:jc w:val="both"/>
        <w:rPr>
          <w:rFonts w:ascii="Open Sans;sans-serif" w:hAnsi="Open Sans;sans-serif"/>
          <w:b w:val="false"/>
          <w:color w:val="000000"/>
          <w:sz w:val="20"/>
        </w:rPr>
      </w:pPr>
      <w:r>
        <w:rPr>
          <w:rFonts w:ascii="Open Sans;sans-serif" w:hAnsi="Open Sans;sans-serif"/>
          <w:b w:val="false"/>
          <w:color w:val="000000"/>
          <w:sz w:val="20"/>
        </w:rPr>
        <w:t>SUGAR LAND, TEXAS, August 2, 2023 - Noble Corporation plc (NYSE: NE, CSE: NOBLE, “Noble”, or the “Company”) today reported second quarter 2023 results.</w:t>
      </w:r>
    </w:p>
    <w:tbl>
      <w:tblPr>
        <w:tblW w:w="10205" w:type="dxa"/>
        <w:jc w:val="center"/>
        <w:tblInd w:w="0" w:type="dxa"/>
        <w:tblLayout w:type="fixed"/>
        <w:tblCellMar>
          <w:top w:w="28" w:type="dxa"/>
          <w:left w:w="28" w:type="dxa"/>
          <w:bottom w:w="28" w:type="dxa"/>
          <w:right w:w="28" w:type="dxa"/>
        </w:tblCellMar>
      </w:tblPr>
      <w:tblGrid>
        <w:gridCol w:w="1587"/>
        <w:gridCol w:w="1399"/>
        <w:gridCol w:w="1402"/>
        <w:gridCol w:w="120"/>
        <w:gridCol w:w="120"/>
        <w:gridCol w:w="120"/>
        <w:gridCol w:w="394"/>
        <w:gridCol w:w="920"/>
        <w:gridCol w:w="190"/>
        <w:gridCol w:w="120"/>
        <w:gridCol w:w="120"/>
        <w:gridCol w:w="120"/>
        <w:gridCol w:w="394"/>
        <w:gridCol w:w="920"/>
        <w:gridCol w:w="190"/>
        <w:gridCol w:w="120"/>
        <w:gridCol w:w="120"/>
        <w:gridCol w:w="120"/>
        <w:gridCol w:w="428"/>
        <w:gridCol w:w="995"/>
        <w:gridCol w:w="306"/>
      </w:tblGrid>
      <w:tr>
        <w:trPr/>
        <w:tc>
          <w:tcPr>
            <w:tcW w:w="1587"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 xml:space="preserve">Three Months Ended </w:t>
            </w:r>
          </w:p>
        </w:tc>
      </w:tr>
      <w:tr>
        <w:trPr/>
        <w:tc>
          <w:tcPr>
            <w:tcW w:w="4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(in millions, except per share amounts)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June 30, 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June 30, 2022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March 31, 2023</w:t>
            </w:r>
          </w:p>
        </w:tc>
      </w:tr>
      <w:tr>
        <w:trPr/>
        <w:tc>
          <w:tcPr>
            <w:tcW w:w="4388" w:type="dxa"/>
            <w:gridSpan w:val="3"/>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Revenue</w:t>
            </w:r>
          </w:p>
        </w:tc>
        <w:tc>
          <w:tcPr>
            <w:tcW w:w="360"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20"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639 </w:t>
            </w:r>
          </w:p>
        </w:tc>
        <w:tc>
          <w:tcPr>
            <w:tcW w:w="19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20"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275 </w:t>
            </w:r>
          </w:p>
        </w:tc>
        <w:tc>
          <w:tcPr>
            <w:tcW w:w="19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95"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610 </w:t>
            </w:r>
          </w:p>
        </w:tc>
        <w:tc>
          <w:tcPr>
            <w:tcW w:w="306"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Contract Drilling Services Revenue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606 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360"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66 </w:t>
            </w:r>
          </w:p>
        </w:tc>
        <w:tc>
          <w:tcPr>
            <w:tcW w:w="190"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37 </w:t>
            </w:r>
          </w:p>
        </w:tc>
        <w:tc>
          <w:tcPr>
            <w:tcW w:w="190"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108 </w:t>
            </w:r>
          </w:p>
        </w:tc>
        <w:tc>
          <w:tcPr>
            <w:tcW w:w="30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Net Income (Loss)*</w:t>
            </w:r>
          </w:p>
        </w:tc>
        <w:tc>
          <w:tcPr>
            <w:tcW w:w="360"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56 </w:t>
            </w:r>
          </w:p>
        </w:tc>
        <w:tc>
          <w:tcPr>
            <w:tcW w:w="190"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33 </w:t>
            </w:r>
          </w:p>
        </w:tc>
        <w:tc>
          <w:tcPr>
            <w:tcW w:w="190"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27 </w:t>
            </w:r>
          </w:p>
        </w:tc>
        <w:tc>
          <w:tcPr>
            <w:tcW w:w="30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Basic Earnings (Loss) Per Share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0.53 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0.80 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Diluted Earnings (Loss) Per Share</w:t>
            </w:r>
          </w:p>
        </w:tc>
        <w:tc>
          <w:tcPr>
            <w:tcW w:w="360"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0.45 </w:t>
            </w:r>
          </w:p>
        </w:tc>
        <w:tc>
          <w:tcPr>
            <w:tcW w:w="190"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0.45 </w:t>
            </w:r>
          </w:p>
        </w:tc>
        <w:tc>
          <w:tcPr>
            <w:tcW w:w="190"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0.74 </w:t>
            </w:r>
          </w:p>
        </w:tc>
        <w:tc>
          <w:tcPr>
            <w:tcW w:w="30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Diluted Earnings (Loss) Per Share*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0.38 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0.19 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i/>
                <w:color w:val="000000"/>
                <w:sz w:val="20"/>
              </w:rPr>
            </w:pPr>
            <w:r>
              <w:rPr>
                <w:rFonts w:ascii="Open Sans;sans-serif" w:hAnsi="Open Sans;sans-serif"/>
                <w:b w:val="false"/>
                <w:i/>
                <w:color w:val="000000"/>
                <w:sz w:val="20"/>
              </w:rPr>
              <w:t>* A Non-GAAP supporting schedule is included with the statements and schedules attached to this press release.</w:t>
            </w:r>
          </w:p>
        </w:tc>
      </w:tr>
    </w:tbl>
    <w:p>
      <w:pPr>
        <w:pStyle w:val="TextBody"/>
        <w:bidi w:val="0"/>
        <w:spacing w:lineRule="auto" w:line="288" w:before="0" w:after="240"/>
        <w:jc w:val="both"/>
        <w:rPr/>
      </w:pPr>
      <w:r>
        <w:rPr>
          <w:rFonts w:ascii="Open Sans;sans-serif" w:hAnsi="Open Sans;sans-serif"/>
          <w:b w:val="false"/>
          <w:color w:val="000000"/>
          <w:sz w:val="20"/>
        </w:rPr>
        <w:t>Robert W. Eifler, President and Chief Executive Officer of Noble Corporation plc, stated “</w:t>
      </w:r>
      <w:r>
        <w:rPr>
          <w:rFonts w:ascii="Open Sans;sans-serif" w:hAnsi="Open Sans;sans-serif"/>
          <w:b w:val="false"/>
          <w:i/>
          <w:color w:val="000000"/>
          <w:sz w:val="20"/>
        </w:rPr>
        <w:t>Our second quarter results reflected solid operational and financial performance. Our recent initiation of a quarterly dividend starting at $0.30 per share, combined with $60 million of share repurchases in the second quarter, highlights our industry leading platform for cash flow generation and our commitment to returning capital to shareholders. We are realizing the combined benefits of the business combination with Maersk Drilling with our enhanced capabilities, we believe, allowing us to better serve our customers. Continuing improvement in the UDW market has driven our backlog to $5 billion, with several recent floater awards including the Noble Faye Kozack’s 2.5-year contract in Brazil, and we are increasingly encouraged by the expanding geographic breadth of UDW demand worldwide.</w:t>
      </w:r>
      <w:r>
        <w:rPr>
          <w:color w:val="000000"/>
        </w:rPr>
        <w:t>”</w:t>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Second Quarter Results</w:t>
      </w:r>
    </w:p>
    <w:p>
      <w:pPr>
        <w:pStyle w:val="TextBody"/>
        <w:bidi w:val="0"/>
        <w:spacing w:lineRule="auto" w:line="288" w:before="0" w:after="120"/>
        <w:jc w:val="both"/>
        <w:rPr>
          <w:rFonts w:ascii="Open Sans;sans-serif" w:hAnsi="Open Sans;sans-serif"/>
          <w:b w:val="false"/>
          <w:color w:val="000000"/>
          <w:sz w:val="20"/>
        </w:rPr>
      </w:pPr>
      <w:r>
        <w:rPr>
          <w:rFonts w:ascii="Open Sans;sans-serif" w:hAnsi="Open Sans;sans-serif"/>
          <w:b w:val="false"/>
          <w:color w:val="000000"/>
          <w:sz w:val="20"/>
        </w:rPr>
        <w:t xml:space="preserve">Contract drilling services revenue for the second quarter of 2023 totaled $606 million compared to $575 million in the first quarter, with the sequential increase driven by improving average dayrates. Marketed fleet utilization was 76% in the three months ended June 30, 2023 compared to 80% in the previous quarter. Contract drilling services costs for the second quarter were $363 million, flat versus the first quarter. Adjusted EBITDA increased to $188 million in the second quarter, up from $138 million in the first quarter. Net cash provided by operating </w:t>
      </w:r>
    </w:p>
    <w:p>
      <w:pPr>
        <w:pStyle w:val="TextBody"/>
        <w:bidi w:val="0"/>
        <w:spacing w:before="0" w:after="24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1</w:t>
                      </w:r>
                    </w:p>
                  </w:txbxContent>
                </v:textbox>
                <w10:wrap type="none"/>
              </v:rect>
            </w:pict>
          </mc:Fallback>
        </mc:AlternateContent>
      </w:r>
    </w:p>
    <w:p>
      <w:pPr>
        <w:pStyle w:val="TextBody"/>
        <w:bidi w:val="0"/>
        <w:spacing w:lineRule="auto" w:line="288" w:before="0" w:after="120"/>
        <w:jc w:val="both"/>
        <w:rPr>
          <w:rFonts w:ascii="Open Sans;sans-serif" w:hAnsi="Open Sans;sans-serif"/>
          <w:b w:val="false"/>
          <w:color w:val="000000"/>
          <w:sz w:val="20"/>
        </w:rPr>
      </w:pPr>
      <w:r>
        <w:rPr>
          <w:rFonts w:ascii="Open Sans;sans-serif" w:hAnsi="Open Sans;sans-serif"/>
          <w:b w:val="false"/>
          <w:color w:val="000000"/>
          <w:sz w:val="20"/>
        </w:rPr>
        <w:t>activities in the second quarter was $211 million, capital expenditures were $107 million, and free cash flow (non-GAAP) was $104 million.</w:t>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Balance Sheet and Capital Allocation</w:t>
      </w:r>
    </w:p>
    <w:p>
      <w:pPr>
        <w:pStyle w:val="TextBody"/>
        <w:bidi w:val="0"/>
        <w:spacing w:lineRule="auto" w:line="288" w:before="0" w:after="120"/>
        <w:jc w:val="both"/>
        <w:rPr>
          <w:rFonts w:ascii="Open Sans;sans-serif" w:hAnsi="Open Sans;sans-serif"/>
          <w:b w:val="false"/>
          <w:color w:val="000000"/>
          <w:sz w:val="20"/>
        </w:rPr>
      </w:pPr>
      <w:r>
        <w:rPr>
          <w:rFonts w:ascii="Open Sans;sans-serif" w:hAnsi="Open Sans;sans-serif"/>
          <w:b w:val="false"/>
          <w:color w:val="000000"/>
          <w:sz w:val="20"/>
        </w:rPr>
        <w:t xml:space="preserve">The Company's balance sheet as of June 30, 2023 reflected total debt principal value of $600 million and cash (and cash equivalents) of $255 million. Share repurchases totaled $60 million during the second quarter, bringing 2023 year-to-date share repurchases to $70 million, following approximately $86 million of cash used for share repurchases during the fourth quarter of 2022 (including the mandatory purchase associated with the Maersk Drilling squeeze-out). </w:t>
      </w:r>
    </w:p>
    <w:p>
      <w:pPr>
        <w:pStyle w:val="TextBody"/>
        <w:bidi w:val="0"/>
        <w:spacing w:lineRule="auto" w:line="288" w:before="0" w:after="120"/>
        <w:jc w:val="both"/>
        <w:rPr>
          <w:rFonts w:ascii="Open Sans;sans-serif" w:hAnsi="Open Sans;sans-serif"/>
          <w:b w:val="false"/>
          <w:color w:val="000000"/>
          <w:sz w:val="20"/>
        </w:rPr>
      </w:pPr>
      <w:r>
        <w:rPr>
          <w:rFonts w:ascii="Open Sans;sans-serif" w:hAnsi="Open Sans;sans-serif"/>
          <w:b w:val="false"/>
          <w:color w:val="000000"/>
          <w:sz w:val="20"/>
        </w:rPr>
        <w:t>Subsequent to the end of the second quarter, Noble announced the initiation of a planned quarterly interim dividend program, beginning with a $0.30 per share dividend to be paid on September 14, 2023 to shareholders of record at close of business on August 17, 2023.</w:t>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Operating Highlights and Backlog</w:t>
      </w:r>
    </w:p>
    <w:p>
      <w:pPr>
        <w:pStyle w:val="TextBody"/>
        <w:bidi w:val="0"/>
        <w:spacing w:lineRule="auto" w:line="288" w:before="0" w:after="120"/>
        <w:jc w:val="both"/>
        <w:rPr>
          <w:rFonts w:ascii="Open Sans;sans-serif" w:hAnsi="Open Sans;sans-serif"/>
          <w:b w:val="false"/>
          <w:color w:val="000000"/>
          <w:sz w:val="20"/>
        </w:rPr>
      </w:pPr>
      <w:r>
        <w:rPr>
          <w:rFonts w:ascii="Open Sans;sans-serif" w:hAnsi="Open Sans;sans-serif"/>
          <w:b w:val="false"/>
          <w:color w:val="000000"/>
          <w:sz w:val="20"/>
        </w:rPr>
        <w:t>Noble's marketed fleet of sixteen floaters was 90% contracted through the second quarter, compared with 91% in the prior quarter. All sixteen marketed floaters continue to be consistently contracted with strong visibility for future follow-on opportunities, while utilization remains tempered slightly by gaps between contracts and planned SPS related downtime. Leading edge dayrates for working tier 1 drillships are in the mid to high-$400,000s; 6th generation floaters also continue to command a normal price discount to tier 1 drillships consistent with technical capability differentials.</w:t>
      </w:r>
    </w:p>
    <w:p>
      <w:pPr>
        <w:pStyle w:val="TextBody"/>
        <w:bidi w:val="0"/>
        <w:spacing w:lineRule="auto" w:line="288" w:before="0" w:after="120"/>
        <w:jc w:val="both"/>
        <w:rPr>
          <w:rFonts w:ascii="Open Sans;sans-serif" w:hAnsi="Open Sans;sans-serif"/>
          <w:b w:val="false"/>
          <w:color w:val="000000"/>
          <w:sz w:val="20"/>
        </w:rPr>
      </w:pPr>
      <w:r>
        <w:rPr>
          <w:rFonts w:ascii="Open Sans;sans-serif" w:hAnsi="Open Sans;sans-serif"/>
          <w:b w:val="false"/>
          <w:color w:val="000000"/>
          <w:sz w:val="20"/>
        </w:rPr>
        <w:t>Subsequent to last quarter’s earnings press release, new contracts for Noble’s floater fleet with total contract value of approximately $750 million (including mobilization payments) include the following:</w:t>
      </w:r>
    </w:p>
    <w:p>
      <w:pPr>
        <w:pStyle w:val="TextBody"/>
        <w:bidi w:val="0"/>
        <w:spacing w:lineRule="auto" w:line="288" w:before="0" w:after="120"/>
        <w:ind w:left="0" w:right="0" w:hanging="360"/>
        <w:jc w:val="both"/>
        <w:rPr/>
      </w:pPr>
      <w:r>
        <w:rPr>
          <w:color w:val="000000"/>
        </w:rPr>
        <w:t>•</w:t>
      </w:r>
      <w:r>
        <w:rPr>
          <w:rFonts w:ascii="Open Sans;sans-serif" w:hAnsi="Open Sans;sans-serif"/>
          <w:b w:val="false"/>
          <w:i/>
          <w:color w:val="000000"/>
          <w:sz w:val="20"/>
        </w:rPr>
        <w:t xml:space="preserve">Noble Faye Kozack </w:t>
      </w:r>
      <w:r>
        <w:rPr>
          <w:rFonts w:ascii="Open Sans;sans-serif" w:hAnsi="Open Sans;sans-serif"/>
          <w:b w:val="false"/>
          <w:color w:val="000000"/>
          <w:sz w:val="20"/>
        </w:rPr>
        <w:t>was awarded a 2.5 year contract with Petrobras, expected to commence in Q1 2024 and valued at approximately $500 million including mobilization and additional services.</w:t>
      </w:r>
    </w:p>
    <w:p>
      <w:pPr>
        <w:pStyle w:val="TextBody"/>
        <w:bidi w:val="0"/>
        <w:spacing w:lineRule="auto" w:line="288" w:before="0" w:after="120"/>
        <w:ind w:left="0" w:right="0" w:hanging="360"/>
        <w:jc w:val="both"/>
        <w:rPr/>
      </w:pPr>
      <w:r>
        <w:rPr>
          <w:color w:val="000000"/>
        </w:rPr>
        <w:t>•</w:t>
      </w:r>
      <w:r>
        <w:rPr>
          <w:rFonts w:ascii="Open Sans;sans-serif" w:hAnsi="Open Sans;sans-serif"/>
          <w:b w:val="false"/>
          <w:i/>
          <w:color w:val="000000"/>
          <w:sz w:val="20"/>
        </w:rPr>
        <w:t>Noble Voyager</w:t>
      </w:r>
      <w:r>
        <w:rPr>
          <w:color w:val="000000"/>
        </w:rPr>
        <w:t xml:space="preserve"> </w:t>
      </w:r>
      <w:r>
        <w:rPr>
          <w:rFonts w:ascii="Open Sans;sans-serif" w:hAnsi="Open Sans;sans-serif"/>
          <w:b w:val="false"/>
          <w:color w:val="000000"/>
          <w:sz w:val="20"/>
        </w:rPr>
        <w:t>was awarded a one-well contract from Shell for an exploration well in Mauritania at an undisclosed value. This contract follows in direct continuation of the current Shell contract in Colombia and is expected to extend the rig through year-end 2023.</w:t>
      </w:r>
    </w:p>
    <w:p>
      <w:pPr>
        <w:pStyle w:val="TextBody"/>
        <w:bidi w:val="0"/>
        <w:spacing w:lineRule="auto" w:line="288" w:before="0" w:after="240"/>
        <w:ind w:left="0" w:right="0" w:hanging="360"/>
        <w:jc w:val="both"/>
        <w:rPr/>
      </w:pPr>
      <w:r>
        <w:rPr>
          <w:color w:val="000000"/>
        </w:rPr>
        <w:t>•</w:t>
      </w:r>
      <w:r>
        <w:rPr>
          <w:rFonts w:ascii="Open Sans;sans-serif" w:hAnsi="Open Sans;sans-serif"/>
          <w:b w:val="false"/>
          <w:i/>
          <w:color w:val="000000"/>
          <w:sz w:val="20"/>
        </w:rPr>
        <w:t>Noble Discoverer</w:t>
      </w:r>
      <w:r>
        <w:rPr>
          <w:color w:val="000000"/>
        </w:rPr>
        <w:t xml:space="preserve"> </w:t>
      </w:r>
      <w:r>
        <w:rPr>
          <w:rFonts w:ascii="Open Sans;sans-serif" w:hAnsi="Open Sans;sans-serif"/>
          <w:b w:val="false"/>
          <w:color w:val="000000"/>
          <w:sz w:val="20"/>
        </w:rPr>
        <w:t xml:space="preserve">was awarded a one-well contract with Petronas in Suriname, expected to commence in August 2023, with an estimated duration of 90 days. The firm contract value is approximately $43 million, including additional services provided, mobilization and demobilization fees. </w:t>
      </w:r>
    </w:p>
    <w:p>
      <w:pPr>
        <w:pStyle w:val="TextBody"/>
        <w:bidi w:val="0"/>
        <w:spacing w:lineRule="auto" w:line="288" w:before="0" w:after="240"/>
        <w:ind w:left="0" w:right="0" w:hanging="360"/>
        <w:jc w:val="both"/>
        <w:rPr/>
      </w:pPr>
      <w:r>
        <w:rPr>
          <w:color w:val="000000"/>
        </w:rPr>
        <w:t>•</w:t>
      </w:r>
      <w:r>
        <w:rPr>
          <w:rFonts w:ascii="Open Sans;sans-serif" w:hAnsi="Open Sans;sans-serif"/>
          <w:b w:val="false"/>
          <w:i/>
          <w:color w:val="000000"/>
          <w:sz w:val="20"/>
        </w:rPr>
        <w:t>Noble Viking</w:t>
      </w:r>
      <w:r>
        <w:rPr>
          <w:color w:val="000000"/>
        </w:rPr>
        <w:t xml:space="preserve"> </w:t>
      </w:r>
      <w:r>
        <w:rPr>
          <w:rFonts w:ascii="Open Sans;sans-serif" w:hAnsi="Open Sans;sans-serif"/>
          <w:b w:val="false"/>
          <w:color w:val="000000"/>
          <w:sz w:val="20"/>
        </w:rPr>
        <w:t>had three option wells exercised by Shell, with total contract value of approximately $49 million and estimated total duration of 111 days. The first of these three option wells is scheduled to commence in December following the rig’s SPS, and the rig’s firm backlog is now extended into Q2 2025.</w:t>
      </w:r>
    </w:p>
    <w:p>
      <w:pPr>
        <w:pStyle w:val="TextBody"/>
        <w:bidi w:val="0"/>
        <w:spacing w:lineRule="auto" w:line="288" w:before="0" w:after="240"/>
        <w:ind w:left="0" w:right="0" w:hanging="360"/>
        <w:jc w:val="both"/>
        <w:rPr/>
      </w:pPr>
      <w:r>
        <w:rPr>
          <w:color w:val="000000"/>
        </w:rPr>
        <w:t>•</w:t>
      </w:r>
      <w:r>
        <w:rPr>
          <w:rFonts w:ascii="Open Sans;sans-serif" w:hAnsi="Open Sans;sans-serif"/>
          <w:b w:val="false"/>
          <w:i/>
          <w:color w:val="000000"/>
          <w:sz w:val="20"/>
        </w:rPr>
        <w:t>Noble Deliverer</w:t>
      </w:r>
      <w:r>
        <w:rPr>
          <w:color w:val="000000"/>
        </w:rPr>
        <w:t xml:space="preserve"> </w:t>
      </w:r>
      <w:r>
        <w:rPr>
          <w:rFonts w:ascii="Open Sans;sans-serif" w:hAnsi="Open Sans;sans-serif"/>
          <w:b w:val="false"/>
          <w:color w:val="000000"/>
          <w:sz w:val="20"/>
        </w:rPr>
        <w:t>received a nine-month extension from Inpex in Australia, expected to continue from July 2024 to April 2025 at a dayrate of $451,500.</w:t>
      </w:r>
    </w:p>
    <w:p>
      <w:pPr>
        <w:pStyle w:val="TextBody"/>
        <w:bidi w:val="0"/>
        <w:spacing w:lineRule="auto" w:line="288" w:before="0" w:after="120"/>
        <w:jc w:val="both"/>
        <w:rPr/>
      </w:pPr>
      <w:r>
        <w:rPr>
          <w:rFonts w:ascii="Open Sans;sans-serif" w:hAnsi="Open Sans;sans-serif"/>
          <w:b w:val="false"/>
          <w:color w:val="000000"/>
          <w:sz w:val="20"/>
        </w:rPr>
        <w:t xml:space="preserve">Utilization of Noble's thirteen marketed jackups was 59% in the second quarter, compared with 67% utilization during the first quarter, with sequential downticks in utilization experienced by the </w:t>
      </w:r>
      <w:r>
        <w:rPr>
          <w:rFonts w:ascii="Open Sans;sans-serif" w:hAnsi="Open Sans;sans-serif"/>
          <w:b w:val="false"/>
          <w:i/>
          <w:color w:val="000000"/>
          <w:sz w:val="20"/>
        </w:rPr>
        <w:t>Noble Tom Prosser, Noble Innovator</w:t>
      </w:r>
      <w:r>
        <w:rPr>
          <w:color w:val="000000"/>
        </w:rPr>
        <w:t xml:space="preserve"> </w:t>
      </w:r>
      <w:r>
        <w:rPr>
          <w:rFonts w:ascii="Open Sans;sans-serif" w:hAnsi="Open Sans;sans-serif"/>
          <w:b w:val="false"/>
          <w:color w:val="000000"/>
          <w:sz w:val="20"/>
        </w:rPr>
        <w:t xml:space="preserve">and </w:t>
      </w:r>
      <w:r>
        <w:rPr>
          <w:rFonts w:ascii="Open Sans;sans-serif" w:hAnsi="Open Sans;sans-serif"/>
          <w:b w:val="false"/>
          <w:i/>
          <w:color w:val="000000"/>
          <w:sz w:val="20"/>
        </w:rPr>
        <w:t>Noble Interceptor</w:t>
      </w:r>
      <w:r>
        <w:rPr>
          <w:rFonts w:ascii="Open Sans;sans-serif" w:hAnsi="Open Sans;sans-serif"/>
          <w:b w:val="false"/>
          <w:color w:val="000000"/>
          <w:sz w:val="20"/>
        </w:rPr>
        <w:t>.</w:t>
      </w:r>
    </w:p>
    <w:p>
      <w:pPr>
        <w:pStyle w:val="TextBody"/>
        <w:bidi w:val="0"/>
        <w:spacing w:lineRule="auto" w:line="288" w:before="0" w:after="120"/>
        <w:jc w:val="both"/>
        <w:rPr/>
      </w:pPr>
      <w:r>
        <w:rPr>
          <w:rFonts w:ascii="Open Sans;sans-serif" w:hAnsi="Open Sans;sans-serif"/>
          <w:b w:val="false"/>
          <w:color w:val="000000"/>
          <w:sz w:val="20"/>
        </w:rPr>
        <w:t xml:space="preserve">Commercial activity for the jackup fleet was subdued in the first half of 2023 but has recently begun to pick up, and we anticipate that jackup fleet utilization will begin improving based on existing and potential contracts. The warm stacked </w:t>
      </w:r>
      <w:r>
        <w:rPr>
          <w:rFonts w:ascii="Open Sans;sans-serif" w:hAnsi="Open Sans;sans-serif"/>
          <w:b w:val="false"/>
          <w:i/>
          <w:color w:val="000000"/>
          <w:sz w:val="20"/>
        </w:rPr>
        <w:t xml:space="preserve">Noble Intrepid </w:t>
      </w:r>
      <w:r>
        <w:rPr>
          <w:rFonts w:ascii="Open Sans;sans-serif" w:hAnsi="Open Sans;sans-serif"/>
          <w:b w:val="false"/>
          <w:color w:val="000000"/>
          <w:sz w:val="20"/>
        </w:rPr>
        <w:t xml:space="preserve">has recently been awarded a contract with Harbour Energy for 10 months of accommodation scope in the U.K. North Sea with a total contract value of $28.5 million. Additionally, the </w:t>
      </w:r>
      <w:r>
        <w:rPr>
          <w:rFonts w:ascii="Open Sans;sans-serif" w:hAnsi="Open Sans;sans-serif"/>
          <w:b w:val="false"/>
          <w:i/>
          <w:color w:val="000000"/>
          <w:sz w:val="20"/>
        </w:rPr>
        <w:t>Noble Tom Prosser</w:t>
      </w:r>
      <w:r>
        <w:rPr>
          <w:color w:val="000000"/>
        </w:rPr>
        <w:t xml:space="preserve"> </w:t>
      </w:r>
      <w:r>
        <w:rPr>
          <w:rFonts w:ascii="Open Sans;sans-serif" w:hAnsi="Open Sans;sans-serif"/>
          <w:b w:val="false"/>
          <w:color w:val="000000"/>
          <w:sz w:val="20"/>
        </w:rPr>
        <w:t xml:space="preserve">has recently commenced its long term program in Malaysia in July, and we believe the </w:t>
      </w:r>
      <w:r>
        <w:rPr>
          <w:rFonts w:ascii="Open Sans;sans-serif" w:hAnsi="Open Sans;sans-serif"/>
          <w:b w:val="false"/>
          <w:i/>
          <w:color w:val="000000"/>
          <w:sz w:val="20"/>
        </w:rPr>
        <w:t>Noble Regina Allen</w:t>
      </w:r>
      <w:r>
        <w:rPr>
          <w:color w:val="000000"/>
        </w:rPr>
        <w:t xml:space="preserve"> </w:t>
      </w:r>
      <w:r>
        <w:rPr>
          <w:rFonts w:ascii="Open Sans;sans-serif" w:hAnsi="Open Sans;sans-serif"/>
          <w:b w:val="false"/>
          <w:color w:val="000000"/>
          <w:sz w:val="20"/>
        </w:rPr>
        <w:t>is well positioned to resume operations by mid 2024 upon completion of repairs. Based on these dynamics and additional contract prospects over the near term, a steady recovery in jackup revenue and EBITDA contribution is expected to unfold over the coming quarters, with a more assertive recovery still predicated on demand dynamics in Norway and then North Sea from late 2024 onward.</w:t>
      </w:r>
    </w:p>
    <w:p>
      <w:pPr>
        <w:pStyle w:val="TextBody"/>
        <w:bidi w:val="0"/>
        <w:spacing w:lineRule="auto" w:line="288" w:before="0" w:after="120"/>
        <w:jc w:val="both"/>
        <w:rPr>
          <w:rFonts w:ascii="Open Sans;sans-serif" w:hAnsi="Open Sans;sans-serif"/>
          <w:b w:val="false"/>
          <w:color w:val="000000"/>
          <w:sz w:val="20"/>
        </w:rPr>
      </w:pPr>
      <w:r>
        <w:rPr>
          <w:rFonts w:ascii="Open Sans;sans-serif" w:hAnsi="Open Sans;sans-serif"/>
          <w:b w:val="false"/>
          <w:color w:val="000000"/>
          <w:sz w:val="20"/>
        </w:rPr>
        <w:t>Noble's backlog as of August 2, 2023 stands at $5.0 billion.</w:t>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Outlook</w:t>
      </w:r>
    </w:p>
    <w:p>
      <w:pPr>
        <w:pStyle w:val="TextBody"/>
        <w:bidi w:val="0"/>
        <w:spacing w:lineRule="auto" w:line="288" w:before="0" w:after="120"/>
        <w:jc w:val="both"/>
        <w:rPr>
          <w:rFonts w:ascii="Open Sans;sans-serif" w:hAnsi="Open Sans;sans-serif"/>
          <w:b w:val="false"/>
          <w:color w:val="000000"/>
          <w:sz w:val="20"/>
        </w:rPr>
      </w:pPr>
      <w:r>
        <w:rPr>
          <w:rFonts w:ascii="Open Sans;sans-serif" w:hAnsi="Open Sans;sans-serif"/>
          <w:b w:val="false"/>
          <w:color w:val="000000"/>
          <w:sz w:val="20"/>
        </w:rPr>
        <w:t>For the full year 2023, Noble maintains the previously communicated guidance for total revenue in the range of $2.35 to $2.55 billion, Adjusted EBITDA of $725 to $825 million, and capital expenditures (net of reimbursable capex) between $325 and $365 million.</w:t>
      </w:r>
    </w:p>
    <w:p>
      <w:pPr>
        <w:pStyle w:val="TextBody"/>
        <w:bidi w:val="0"/>
        <w:spacing w:before="0" w:after="24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2</w:t>
                      </w:r>
                    </w:p>
                  </w:txbxContent>
                </v:textbox>
                <w10:wrap type="none"/>
              </v:rect>
            </w:pict>
          </mc:Fallback>
        </mc:AlternateContent>
      </w:r>
    </w:p>
    <w:p>
      <w:pPr>
        <w:pStyle w:val="TextBody"/>
        <w:bidi w:val="0"/>
        <w:spacing w:lineRule="auto" w:line="288" w:before="0" w:after="240"/>
        <w:jc w:val="both"/>
        <w:rPr/>
      </w:pPr>
      <w:r>
        <w:rPr>
          <w:rFonts w:ascii="Open Sans;sans-serif" w:hAnsi="Open Sans;sans-serif"/>
          <w:b w:val="false"/>
          <w:color w:val="000000"/>
          <w:sz w:val="20"/>
        </w:rPr>
        <w:t>Commenting on Noble’s outlook, Mr. Eifler stated, “</w:t>
      </w:r>
      <w:r>
        <w:rPr>
          <w:rFonts w:ascii="Open Sans;sans-serif" w:hAnsi="Open Sans;sans-serif"/>
          <w:b w:val="false"/>
          <w:i/>
          <w:color w:val="000000"/>
          <w:sz w:val="20"/>
        </w:rPr>
        <w:t>Offshore fundamentals remain exceptionally strong, supporting a steady upward progression in contract status across our fleet. We expect UDW market tightness to persist and drive further upward pressure on dayrates going forward. With Adjusted EBITDA and Free Cash Flow expected to increase in the second half of the year versus the first half, we remain focused on maximizing shareholder value through best-in-class execution and returning the significant majority of free cash flow to shareholders.”</w:t>
      </w:r>
    </w:p>
    <w:p>
      <w:pPr>
        <w:pStyle w:val="TextBody"/>
        <w:bidi w:val="0"/>
        <w:spacing w:lineRule="auto" w:line="288" w:before="0" w:after="240"/>
        <w:jc w:val="both"/>
        <w:rPr>
          <w:rFonts w:ascii="Open Sans;sans-serif" w:hAnsi="Open Sans;sans-serif"/>
          <w:b w:val="false"/>
          <w:color w:val="000000"/>
          <w:sz w:val="20"/>
        </w:rPr>
      </w:pPr>
      <w:r>
        <w:rPr>
          <w:rFonts w:ascii="Open Sans;sans-serif" w:hAnsi="Open Sans;sans-serif"/>
          <w:b w:val="false"/>
          <w:color w:val="000000"/>
          <w:sz w:val="20"/>
        </w:rPr>
        <w:t>Due to the forward-looking nature of Adjusted EBITDA, management cannot reliably predict certain of the necessary components of the most directly comparable forward-looking GAAP measure. Accordingly, the Company is unable to present a quantitative reconciliation of such forward-looking non-GAAP financial measure to the most directly comparable forward-looking GAAP financial measure without unreasonable effort. The unavailable information could have a significant effect on Noble’s full year 2023 GAAP financial results.</w:t>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Conference Call</w:t>
      </w:r>
    </w:p>
    <w:p>
      <w:pPr>
        <w:pStyle w:val="TextBody"/>
        <w:bidi w:val="0"/>
        <w:spacing w:lineRule="auto" w:line="288" w:before="0" w:after="120"/>
        <w:jc w:val="both"/>
        <w:rPr>
          <w:rFonts w:ascii="Open Sans;sans-serif" w:hAnsi="Open Sans;sans-serif"/>
          <w:b w:val="false"/>
          <w:color w:val="000000"/>
          <w:sz w:val="20"/>
        </w:rPr>
      </w:pPr>
      <w:r>
        <w:rPr>
          <w:rFonts w:ascii="Open Sans;sans-serif" w:hAnsi="Open Sans;sans-serif"/>
          <w:b w:val="false"/>
          <w:color w:val="000000"/>
          <w:sz w:val="20"/>
        </w:rPr>
        <w:t>Noble will host a conference call related to its second quarter 2023 results on Thursday, August 3rd, 2023, at 8:00 a.m. U.S. Central Time. Interested parties may dial +1 929-203-0901 and refer to conference ID 31391 approximately 15 minutes prior to the scheduled start time. Additionally, a live webcast link will be available on the Investor Relations section of the Company’s website. A webcast replay will be accessible for a limited time following the scheduled call.</w:t>
      </w:r>
    </w:p>
    <w:p>
      <w:pPr>
        <w:pStyle w:val="TextBody"/>
        <w:bidi w:val="0"/>
        <w:spacing w:lineRule="auto" w:line="288" w:before="0" w:after="120"/>
        <w:jc w:val="both"/>
        <w:rPr/>
      </w:pPr>
      <w:r>
        <w:rPr>
          <w:rFonts w:ascii="Open Sans;sans-serif" w:hAnsi="Open Sans;sans-serif"/>
          <w:b w:val="false"/>
          <w:color w:val="000000"/>
          <w:sz w:val="20"/>
        </w:rPr>
        <w:t xml:space="preserve">For additional information, visit </w:t>
      </w:r>
      <w:r>
        <w:rPr>
          <w:rFonts w:ascii="Open Sans;sans-serif" w:hAnsi="Open Sans;sans-serif"/>
          <w:b w:val="false"/>
          <w:color w:val="002F6C"/>
          <w:sz w:val="20"/>
          <w:u w:val="single"/>
        </w:rPr>
        <w:t>www.noblecorp.com</w:t>
      </w:r>
      <w:r>
        <w:rPr>
          <w:color w:val="000000"/>
        </w:rPr>
        <w:t xml:space="preserve"> </w:t>
      </w:r>
      <w:r>
        <w:rPr>
          <w:rFonts w:ascii="Open Sans;sans-serif" w:hAnsi="Open Sans;sans-serif"/>
          <w:b w:val="false"/>
          <w:color w:val="000000"/>
          <w:sz w:val="20"/>
        </w:rPr>
        <w:t>or email</w:t>
      </w:r>
      <w:r>
        <w:rPr>
          <w:color w:val="002F6C"/>
        </w:rPr>
        <w:t xml:space="preserve"> </w:t>
      </w:r>
      <w:r>
        <w:rPr>
          <w:rFonts w:ascii="Open Sans;sans-serif" w:hAnsi="Open Sans;sans-serif"/>
          <w:b w:val="false"/>
          <w:color w:val="002F6C"/>
          <w:sz w:val="20"/>
          <w:u w:val="single"/>
        </w:rPr>
        <w:t>investors@noblecorp.com</w:t>
      </w:r>
    </w:p>
    <w:p>
      <w:pPr>
        <w:pStyle w:val="TextBody"/>
        <w:bidi w:val="0"/>
        <w:spacing w:before="0" w:after="120"/>
        <w:jc w:val="left"/>
        <w:rPr/>
      </w:pPr>
      <w:r>
        <w:rPr/>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Contact Noble Corporation plc</w:t>
      </w:r>
    </w:p>
    <w:p>
      <w:pPr>
        <w:pStyle w:val="TextBody"/>
        <w:bidi w:val="0"/>
        <w:spacing w:lineRule="auto" w:line="288" w:before="0" w:after="120"/>
        <w:jc w:val="both"/>
        <w:rPr>
          <w:rFonts w:ascii="Open Sans;sans-serif" w:hAnsi="Open Sans;sans-serif"/>
          <w:b w:val="false"/>
          <w:color w:val="000000"/>
          <w:sz w:val="20"/>
        </w:rPr>
      </w:pPr>
      <w:r>
        <w:rPr>
          <w:rFonts w:ascii="Open Sans;sans-serif" w:hAnsi="Open Sans;sans-serif"/>
          <w:b w:val="false"/>
          <w:color w:val="000000"/>
          <w:sz w:val="20"/>
        </w:rPr>
        <w:t>Ian Macpherson</w:t>
      </w:r>
    </w:p>
    <w:p>
      <w:pPr>
        <w:pStyle w:val="TextBody"/>
        <w:bidi w:val="0"/>
        <w:spacing w:lineRule="auto" w:line="288" w:before="0" w:after="120"/>
        <w:jc w:val="both"/>
        <w:rPr>
          <w:rFonts w:ascii="Open Sans;sans-serif" w:hAnsi="Open Sans;sans-serif"/>
          <w:b w:val="false"/>
          <w:color w:val="000000"/>
          <w:sz w:val="20"/>
        </w:rPr>
      </w:pPr>
      <w:r>
        <w:rPr>
          <w:rFonts w:ascii="Open Sans;sans-serif" w:hAnsi="Open Sans;sans-serif"/>
          <w:b w:val="false"/>
          <w:color w:val="000000"/>
          <w:sz w:val="20"/>
        </w:rPr>
        <w:t>Vice President - Investor Relations</w:t>
      </w:r>
    </w:p>
    <w:p>
      <w:pPr>
        <w:pStyle w:val="TextBody"/>
        <w:bidi w:val="0"/>
        <w:spacing w:lineRule="auto" w:line="288" w:before="0" w:after="120"/>
        <w:jc w:val="left"/>
        <w:rPr>
          <w:rFonts w:ascii="Open Sans;sans-serif" w:hAnsi="Open Sans;sans-serif"/>
          <w:b w:val="false"/>
          <w:color w:val="000000"/>
          <w:sz w:val="20"/>
        </w:rPr>
      </w:pPr>
      <w:r>
        <w:rPr>
          <w:rFonts w:ascii="Open Sans;sans-serif" w:hAnsi="Open Sans;sans-serif"/>
          <w:b w:val="false"/>
          <w:color w:val="000000"/>
          <w:sz w:val="20"/>
        </w:rPr>
        <w:t xml:space="preserve">+1 713-239-6507 </w:t>
      </w:r>
    </w:p>
    <w:p>
      <w:pPr>
        <w:pStyle w:val="TextBody"/>
        <w:bidi w:val="0"/>
        <w:spacing w:lineRule="auto" w:line="288" w:before="0" w:after="120"/>
        <w:jc w:val="both"/>
        <w:rPr>
          <w:rFonts w:ascii="Open Sans;sans-serif" w:hAnsi="Open Sans;sans-serif"/>
          <w:b w:val="false"/>
          <w:color w:val="002F6C"/>
          <w:sz w:val="20"/>
          <w:u w:val="single"/>
        </w:rPr>
      </w:pPr>
      <w:r>
        <w:rPr>
          <w:rFonts w:ascii="Open Sans;sans-serif" w:hAnsi="Open Sans;sans-serif"/>
          <w:b w:val="false"/>
          <w:color w:val="002F6C"/>
          <w:sz w:val="20"/>
          <w:u w:val="single"/>
        </w:rPr>
        <w:t>imacpherson@noblecorp.com</w:t>
      </w:r>
    </w:p>
    <w:p>
      <w:pPr>
        <w:pStyle w:val="TextBody"/>
        <w:bidi w:val="0"/>
        <w:spacing w:before="0" w:after="0"/>
        <w:jc w:val="left"/>
        <w:rPr/>
      </w:pPr>
      <w:r>
        <w:rPr/>
      </w:r>
    </w:p>
    <w:p>
      <w:pPr>
        <w:pStyle w:val="TextBody"/>
        <w:bidi w:val="0"/>
        <w:spacing w:before="0" w:after="240"/>
        <w:jc w:val="both"/>
        <w:rPr/>
      </w:pPr>
      <w:r>
        <w:rPr/>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About Noble Corporation plc</w:t>
      </w:r>
    </w:p>
    <w:p>
      <w:pPr>
        <w:pStyle w:val="TextBody"/>
        <w:bidi w:val="0"/>
        <w:spacing w:lineRule="auto" w:line="288" w:before="0" w:after="120"/>
        <w:jc w:val="both"/>
        <w:rPr/>
      </w:pPr>
      <w:r>
        <w:rPr>
          <w:rFonts w:ascii="Open Sans;sans-serif" w:hAnsi="Open Sans;sans-serif"/>
          <w:b w:val="false"/>
          <w:color w:val="000000"/>
          <w:sz w:val="20"/>
        </w:rPr>
        <w:t xml:space="preserve">Noble is a leading offshore drilling contractor for the oil and gas industry. The Company owns and operates one of the most modern, versatile, and technically advanced fleets in the offshore drilling industry. Noble and its predecessors have been engaged in the contract drilling of oil and gas wells since 1921. Noble performs, through its subsidiaries, contract drilling services with a fleet of offshore drilling units focused largely on ultra-deepwater and high specification jackup drilling opportunities in both established and emerging regions worldwide. Additional information on Noble is available at </w:t>
      </w:r>
      <w:r>
        <w:rPr>
          <w:rFonts w:ascii="Open Sans;sans-serif" w:hAnsi="Open Sans;sans-serif"/>
          <w:b w:val="false"/>
          <w:color w:val="002F6C"/>
          <w:sz w:val="20"/>
          <w:u w:val="single"/>
        </w:rPr>
        <w:t>www.noblecorp.com</w:t>
      </w:r>
      <w:r>
        <w:rPr>
          <w:rFonts w:ascii="Open Sans;sans-serif" w:hAnsi="Open Sans;sans-serif"/>
          <w:b w:val="false"/>
          <w:color w:val="000000"/>
          <w:sz w:val="20"/>
        </w:rPr>
        <w:t>.</w:t>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Forward-looking Statements</w:t>
      </w:r>
    </w:p>
    <w:p>
      <w:pPr>
        <w:pStyle w:val="TextBody"/>
        <w:bidi w:val="0"/>
        <w:spacing w:lineRule="auto" w:line="288"/>
        <w:jc w:val="both"/>
        <w:rPr>
          <w:rFonts w:ascii="Open Sans;sans-serif" w:hAnsi="Open Sans;sans-serif"/>
          <w:b w:val="false"/>
          <w:color w:val="000000"/>
          <w:sz w:val="20"/>
        </w:rPr>
      </w:pPr>
      <w:r>
        <w:rPr>
          <w:rFonts w:ascii="Open Sans;sans-serif" w:hAnsi="Open Sans;sans-serif"/>
          <w:b w:val="false"/>
          <w:color w:val="000000"/>
          <w:sz w:val="20"/>
        </w:rPr>
        <w:t xml:space="preserve">This communication includes “forward-looking statements” within the meaning of Section 27A of the Securities Act and Section 21E of the Exchange Act, as amended. All statements other than statements of historical facts included in this communication are forward looking statements, including those regarding future guidance, including revenue, adjusted EBITDA, the offshore drilling market and demand fundamentals, realization and timing of integration synergies, related costs to achieve, free cash flow expectations, capital expenditure, capital allocation expectations including planned dividend and share repurchases, contract backlog, rig demand, expected future contracts, anticipated contract start dates, dayrates and duration, fleet condition and utilization, 2023 and 2024 financial guidance, business, financial performance and position and our plans, objectives, expectations and intentions related to the Noble-Maersk merger. Forward-looking statements involve risks, uncertainties and assumptions, and actual results may differ materially from any future results expressed or implied by such forward-looking statements. When used in this report, or in the documents incorporated by reference, the words “anticipate,” “believe,” “continue,” “could,” “estimate,” “expect,” “intend,” “may,” “might,” “on track,” “plan,” “possible,” “potential,” “predict,” “project,” “should,” “would,” “shall,” “target,” “will” and similar expressions are intended to be among the statements that identify forward-looking statements. Although we believe that the expectations reflected in such forward-looking statements are reasonable, we cannot assure you that such expectations will prove to be correct. These forward-looking statements speak only as of the date of this communication and we undertake no obligation to revise or update any forward-looking statement for any reason, except as required by law. Risks and uncertainties include, but are not limited to, those detailed in Noble’s most recent Annual Report on Form 10-K, Quarterly Reports Form 10-Q and other filings with the U.S. </w:t>
      </w:r>
    </w:p>
    <w:p>
      <w:pPr>
        <w:pStyle w:val="TextBody"/>
        <w:bidi w:val="0"/>
        <w:spacing w:before="0" w:after="24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3</w:t>
                      </w:r>
                    </w:p>
                  </w:txbxContent>
                </v:textbox>
                <w10:wrap type="none"/>
              </v:rect>
            </w:pict>
          </mc:Fallback>
        </mc:AlternateContent>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Securities and Exchange Commission. We cannot control such risk factors and other uncertainties, and in many cases, we cannot predict the risks and uncertainties that could cause our actual results to differ materially from those indicated by the forward-looking statements. You should consider these risks and uncertainties when you are evaluating us. With respect to our capital allocation policy, distributions to shareholders in the form of either dividends or share buybacks are subject to the Board of Directors’ assessment of factors such as business development, growth strategy, current leverage and financing needs. There can be no assurance that a dividend will be declared or continued.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4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NOBLE CORPORATION plc AND SUBSIDIARIES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OPERATIONS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(In thousands, except per share amounts)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379"/>
        <w:gridCol w:w="1081"/>
        <w:gridCol w:w="1087"/>
        <w:gridCol w:w="109"/>
        <w:gridCol w:w="109"/>
        <w:gridCol w:w="109"/>
        <w:gridCol w:w="226"/>
        <w:gridCol w:w="946"/>
        <w:gridCol w:w="109"/>
        <w:gridCol w:w="109"/>
        <w:gridCol w:w="109"/>
        <w:gridCol w:w="109"/>
        <w:gridCol w:w="226"/>
        <w:gridCol w:w="946"/>
        <w:gridCol w:w="109"/>
        <w:gridCol w:w="109"/>
        <w:gridCol w:w="109"/>
        <w:gridCol w:w="109"/>
        <w:gridCol w:w="226"/>
        <w:gridCol w:w="1126"/>
        <w:gridCol w:w="109"/>
        <w:gridCol w:w="109"/>
        <w:gridCol w:w="109"/>
        <w:gridCol w:w="109"/>
        <w:gridCol w:w="226"/>
        <w:gridCol w:w="946"/>
        <w:gridCol w:w="155"/>
      </w:tblGrid>
      <w:tr>
        <w:trPr/>
        <w:tc>
          <w:tcPr>
            <w:tcW w:w="137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 June 30,</w:t>
            </w:r>
          </w:p>
        </w:tc>
      </w:tr>
      <w:tr>
        <w:trPr/>
        <w:tc>
          <w:tcPr>
            <w:tcW w:w="3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r>
      <w:tr>
        <w:trPr/>
        <w:tc>
          <w:tcPr>
            <w:tcW w:w="3547"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Operating revenues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Contract drilling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606,180 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1,181,470 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457,498 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Reimbursables and other</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32,355 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12,690 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67,119 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27,885 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638,535 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275,153 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1,248,589 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485,383 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Operating costs and expenses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Contract drilling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362,533 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178,145 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344,228 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Reimbursables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24,796 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10,333 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50,802 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23,811 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52,241 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General and administrative</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32,352 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16,687 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62,389 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34,211 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Merger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18,578 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(Gain) loss on sale of operating assets, net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1,103 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(3,459)</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Hurricane losses and (recoveries),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529,391 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227,554 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1,032,340 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472,415 </w:t>
            </w:r>
          </w:p>
        </w:tc>
        <w:tc>
          <w:tcPr>
            <w:tcW w:w="155"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109,144 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216,249 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12,968 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Other income (expense)</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(15,395)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Gain (loss) on extinguishment of debt, net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(26,397)</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(26,397)</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Interest income and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Income (loss) before income taxes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65,145 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40,965 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157,404 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(896)</w:t>
            </w:r>
          </w:p>
        </w:tc>
        <w:tc>
          <w:tcPr>
            <w:tcW w:w="155"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Income tax benefit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Net income (loss)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65,816 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37,057 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173,879 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401 </w:t>
            </w:r>
          </w:p>
        </w:tc>
        <w:tc>
          <w:tcPr>
            <w:tcW w:w="155"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Basic:</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Diluted:</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4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NOBLE CORPORATION plc AND SUBSIDIARIES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BALANCE SHEETS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(In thousands)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 xml:space="preserve">(Unaudited) </w:t>
      </w:r>
    </w:p>
    <w:tbl>
      <w:tblPr>
        <w:tblW w:w="8354" w:type="dxa"/>
        <w:jc w:val="left"/>
        <w:tblInd w:w="0" w:type="dxa"/>
        <w:tblLayout w:type="fixed"/>
        <w:tblCellMar>
          <w:top w:w="28" w:type="dxa"/>
          <w:left w:w="28" w:type="dxa"/>
          <w:bottom w:w="28" w:type="dxa"/>
          <w:right w:w="28" w:type="dxa"/>
        </w:tblCellMar>
      </w:tblPr>
      <w:tblGrid>
        <w:gridCol w:w="1545"/>
        <w:gridCol w:w="1361"/>
        <w:gridCol w:w="1368"/>
        <w:gridCol w:w="109"/>
        <w:gridCol w:w="109"/>
        <w:gridCol w:w="109"/>
        <w:gridCol w:w="226"/>
        <w:gridCol w:w="1126"/>
        <w:gridCol w:w="109"/>
        <w:gridCol w:w="109"/>
        <w:gridCol w:w="109"/>
        <w:gridCol w:w="109"/>
        <w:gridCol w:w="295"/>
        <w:gridCol w:w="1469"/>
        <w:gridCol w:w="201"/>
      </w:tblGrid>
      <w:tr>
        <w:trPr/>
        <w:tc>
          <w:tcPr>
            <w:tcW w:w="1545"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2022</w:t>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ASSETS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Cash and cash equivalents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255,356 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69" w:type="dxa"/>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476,206 </w:t>
            </w:r>
          </w:p>
        </w:tc>
        <w:tc>
          <w:tcPr>
            <w:tcW w:w="20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468,802 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Prepaid expenses and other current assets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160,462 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106,782 </w:t>
            </w:r>
          </w:p>
        </w:tc>
        <w:tc>
          <w:tcPr>
            <w:tcW w:w="20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932,618 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1,051,790 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Intangible assets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17,018 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34,372 </w:t>
            </w:r>
          </w:p>
        </w:tc>
        <w:tc>
          <w:tcPr>
            <w:tcW w:w="20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Property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4,329,002 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4,163,205 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Accumulated depreciation</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(322,444)</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(181,904)</w:t>
            </w:r>
          </w:p>
        </w:tc>
        <w:tc>
          <w:tcPr>
            <w:tcW w:w="20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4,006,558 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3,981,301 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Goodwill</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14,626 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26,016 </w:t>
            </w:r>
          </w:p>
        </w:tc>
        <w:tc>
          <w:tcPr>
            <w:tcW w:w="20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226,582 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141,385 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Total assets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5,197,402 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69"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5,234,864 </w:t>
            </w:r>
          </w:p>
        </w:tc>
        <w:tc>
          <w:tcPr>
            <w:tcW w:w="20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Current liabilities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159,715 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Accounts payable</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310,723 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290,690 </w:t>
            </w:r>
          </w:p>
        </w:tc>
        <w:tc>
          <w:tcPr>
            <w:tcW w:w="20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Accrued payroll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76,185 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current liabilities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126,379 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140,508 </w:t>
            </w:r>
          </w:p>
        </w:tc>
        <w:tc>
          <w:tcPr>
            <w:tcW w:w="20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514,151 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667,098 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Long-term debt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585,389 </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513,055 </w:t>
            </w:r>
          </w:p>
        </w:tc>
        <w:tc>
          <w:tcPr>
            <w:tcW w:w="20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298,650 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265,743 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Noncurrent contract liabilities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79,792 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181,883 </w:t>
            </w:r>
          </w:p>
        </w:tc>
        <w:tc>
          <w:tcPr>
            <w:tcW w:w="20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1,477,982 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1,627,779 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 xml:space="preserve">Commitments and contingencies </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3,719,420 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3,607,085 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Total liabilities and equity</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5,197,402 </w:t>
            </w:r>
          </w:p>
        </w:tc>
        <w:tc>
          <w:tcPr>
            <w:tcW w:w="109"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69"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5,234,864 </w:t>
            </w:r>
          </w:p>
        </w:tc>
        <w:tc>
          <w:tcPr>
            <w:tcW w:w="201"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4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NOBLE CORPORATION plc AND SUBSIDIARIES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CASH FLOWS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(In thousands)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86"/>
        <w:gridCol w:w="2289"/>
        <w:gridCol w:w="2295"/>
        <w:gridCol w:w="226"/>
        <w:gridCol w:w="946"/>
        <w:gridCol w:w="109"/>
        <w:gridCol w:w="109"/>
        <w:gridCol w:w="109"/>
        <w:gridCol w:w="109"/>
        <w:gridCol w:w="226"/>
        <w:gridCol w:w="946"/>
        <w:gridCol w:w="155"/>
      </w:tblGrid>
      <w:tr>
        <w:trPr/>
        <w:tc>
          <w:tcPr>
            <w:tcW w:w="2686"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 June 30,</w:t>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Cash flows from operating activities</w:t>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226" w:type="dxa"/>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173,879 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401 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Adjustments to reconcile net income (loss) to net cash flow from operating activities: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141,266 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52,241 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Amortization of intangible assets and contract liabilities,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28,354 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(Gain) loss on extinguishment of debt, net</w:t>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26,397 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(Gain) loss on sale of operating assets,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(6,767)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Changes in components of working capital</w:t>
            </w:r>
          </w:p>
        </w:tc>
        <w:tc>
          <w:tcPr>
            <w:tcW w:w="1281"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Change in taxes receivable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changes in other operating assets and liabilities</w:t>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(88,441)</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(37,585)</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cash provided by (used in) operating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148,080 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36,299 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Cash flows from investing activities</w:t>
            </w:r>
          </w:p>
        </w:tc>
        <w:tc>
          <w:tcPr>
            <w:tcW w:w="1281"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Capital expenditures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(169,530)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(79,525)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Proceeds from disposal of assets, net</w:t>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15,756 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cash provided by (used in) investing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(169,530)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(63,769)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Cash flows from financing activities</w:t>
            </w:r>
          </w:p>
        </w:tc>
        <w:tc>
          <w:tcPr>
            <w:tcW w:w="1281"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Issuance of senior notes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Repayments of debt</w:t>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(673,411)</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Debt extinguishment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Debt issuance costs</w:t>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(24,914)</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Share repurchases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financing activities</w:t>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(8,253)</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(4,486)</w:t>
            </w:r>
          </w:p>
        </w:tc>
        <w:tc>
          <w:tcPr>
            <w:tcW w:w="15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cash provided by (used in) financing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(202,275)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(4,486)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increase (decrease) in cash, cash equivalents and restricted cash</w:t>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(223,725)</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(31,956)</w:t>
            </w:r>
          </w:p>
        </w:tc>
        <w:tc>
          <w:tcPr>
            <w:tcW w:w="155"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Cash, cash equivalents and restricted cash, beginning of period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196,722 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Cash, cash equivalents and restricted cash, end of period</w:t>
            </w:r>
          </w:p>
        </w:tc>
        <w:tc>
          <w:tcPr>
            <w:tcW w:w="226"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261,982 </w:t>
            </w:r>
          </w:p>
        </w:tc>
        <w:tc>
          <w:tcPr>
            <w:tcW w:w="109"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164,766 </w:t>
            </w:r>
          </w:p>
        </w:tc>
        <w:tc>
          <w:tcPr>
            <w:tcW w:w="155"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4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NOBLE CORPORATION plc AND SUBSIDIARIES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 xml:space="preserve">OPERATIONAL INFORMATION </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(Unaudited)</w:t>
      </w:r>
    </w:p>
    <w:tbl>
      <w:tblPr>
        <w:tblW w:w="7720" w:type="dxa"/>
        <w:jc w:val="center"/>
        <w:tblInd w:w="0" w:type="dxa"/>
        <w:tblLayout w:type="fixed"/>
        <w:tblCellMar>
          <w:top w:w="28" w:type="dxa"/>
          <w:left w:w="28" w:type="dxa"/>
          <w:bottom w:w="28" w:type="dxa"/>
          <w:right w:w="28" w:type="dxa"/>
        </w:tblCellMar>
      </w:tblPr>
      <w:tblGrid>
        <w:gridCol w:w="326"/>
        <w:gridCol w:w="287"/>
        <w:gridCol w:w="288"/>
        <w:gridCol w:w="316"/>
        <w:gridCol w:w="1324"/>
        <w:gridCol w:w="400"/>
        <w:gridCol w:w="109"/>
        <w:gridCol w:w="109"/>
        <w:gridCol w:w="109"/>
        <w:gridCol w:w="316"/>
        <w:gridCol w:w="1324"/>
        <w:gridCol w:w="400"/>
        <w:gridCol w:w="109"/>
        <w:gridCol w:w="109"/>
        <w:gridCol w:w="109"/>
        <w:gridCol w:w="313"/>
        <w:gridCol w:w="1313"/>
        <w:gridCol w:w="459"/>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 xml:space="preserve">Average Rig Utilization </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 2022</w:t>
            </w:r>
          </w:p>
        </w:tc>
      </w:tr>
      <w:tr>
        <w:trPr/>
        <w:tc>
          <w:tcPr>
            <w:tcW w:w="901"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Floaters</w:t>
            </w:r>
          </w:p>
        </w:tc>
        <w:tc>
          <w:tcPr>
            <w:tcW w:w="1640"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81 </w:t>
            </w:r>
          </w:p>
        </w:tc>
        <w:tc>
          <w:tcPr>
            <w:tcW w:w="459"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Jackups</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901"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Total</w:t>
            </w:r>
          </w:p>
        </w:tc>
        <w:tc>
          <w:tcPr>
            <w:tcW w:w="1640"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76 </w:t>
            </w:r>
          </w:p>
        </w:tc>
        <w:tc>
          <w:tcPr>
            <w:tcW w:w="459"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Operating Days</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 2022</w:t>
            </w:r>
          </w:p>
        </w:tc>
      </w:tr>
      <w:tr>
        <w:trPr/>
        <w:tc>
          <w:tcPr>
            <w:tcW w:w="901"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Floaters</w:t>
            </w:r>
          </w:p>
        </w:tc>
        <w:tc>
          <w:tcPr>
            <w:tcW w:w="1640"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1,305 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1,314 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813 </w:t>
            </w:r>
          </w:p>
        </w:tc>
        <w:tc>
          <w:tcPr>
            <w:tcW w:w="45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Jackups</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786 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877 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495 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Total</w:t>
            </w:r>
          </w:p>
        </w:tc>
        <w:tc>
          <w:tcPr>
            <w:tcW w:w="1640"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2,091 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2,191 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1,308 </w:t>
            </w:r>
          </w:p>
        </w:tc>
        <w:tc>
          <w:tcPr>
            <w:tcW w:w="45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Average Dayrates</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 2022</w:t>
            </w:r>
          </w:p>
        </w:tc>
      </w:tr>
      <w:tr>
        <w:trPr/>
        <w:tc>
          <w:tcPr>
            <w:tcW w:w="901"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Floaters</w:t>
            </w:r>
          </w:p>
        </w:tc>
        <w:tc>
          <w:tcPr>
            <w:tcW w:w="31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24"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363,167 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24"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331,705 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13"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266,887 </w:t>
            </w:r>
          </w:p>
        </w:tc>
        <w:tc>
          <w:tcPr>
            <w:tcW w:w="45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Jackups</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128,885 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97,940 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120,824 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Total</w:t>
            </w:r>
          </w:p>
        </w:tc>
        <w:tc>
          <w:tcPr>
            <w:tcW w:w="31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24"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275,066 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24"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238,130 </w:t>
            </w:r>
          </w:p>
        </w:tc>
        <w:tc>
          <w:tcPr>
            <w:tcW w:w="40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13"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211,626 </w:t>
            </w:r>
          </w:p>
        </w:tc>
        <w:tc>
          <w:tcPr>
            <w:tcW w:w="45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120" w:after="240"/>
        <w:ind w:left="0" w:right="0" w:hanging="360"/>
        <w:jc w:val="both"/>
        <w:rPr/>
      </w:pPr>
      <w:r>
        <w:rPr/>
      </w:r>
    </w:p>
    <w:p>
      <w:pPr>
        <w:pStyle w:val="TextBody"/>
        <w:bidi w:val="0"/>
        <w:spacing w:before="120" w:after="240"/>
        <w:ind w:left="0" w:right="0" w:hanging="360"/>
        <w:jc w:val="both"/>
        <w:rPr/>
      </w:pPr>
      <w:r>
        <w:rPr/>
      </w:r>
    </w:p>
    <w:p>
      <w:pPr>
        <w:pStyle w:val="TextBody"/>
        <w:bidi w:val="0"/>
        <w:spacing w:before="120" w:after="240"/>
        <w:ind w:left="0" w:right="0" w:hanging="360"/>
        <w:jc w:val="both"/>
        <w:rPr/>
      </w:pPr>
      <w:r>
        <w:rPr/>
      </w:r>
    </w:p>
    <w:p>
      <w:pPr>
        <w:pStyle w:val="TextBody"/>
        <w:bidi w:val="0"/>
        <w:spacing w:before="120" w:after="240"/>
        <w:ind w:left="0" w:right="0" w:hanging="360"/>
        <w:jc w:val="both"/>
        <w:rPr/>
      </w:pPr>
      <w:r>
        <w:rPr/>
      </w:r>
    </w:p>
    <w:p>
      <w:pPr>
        <w:pStyle w:val="TextBody"/>
        <w:bidi w:val="0"/>
        <w:spacing w:before="120" w:after="240"/>
        <w:ind w:left="0" w:right="0" w:hanging="360"/>
        <w:jc w:val="both"/>
        <w:rPr/>
      </w:pPr>
      <w:r>
        <w:rPr/>
      </w:r>
    </w:p>
    <w:p>
      <w:pPr>
        <w:pStyle w:val="TextBody"/>
        <w:bidi w:val="0"/>
        <w:spacing w:before="120" w:after="24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4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NOBLE CORPORATION plc AND SUBSIDIARIES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CALCULATION OF BASIC AND DILUTED NET INCOME/(LOSS) PER SHARE</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(In thousands, except per share amounts)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(Unaudited)</w:t>
      </w:r>
    </w:p>
    <w:p>
      <w:pPr>
        <w:pStyle w:val="TextBody"/>
        <w:bidi w:val="0"/>
        <w:spacing w:before="0" w:after="240"/>
        <w:jc w:val="center"/>
        <w:rPr/>
      </w:pPr>
      <w:r>
        <w:rPr/>
      </w:r>
    </w:p>
    <w:p>
      <w:pPr>
        <w:pStyle w:val="TextBody"/>
        <w:bidi w:val="0"/>
        <w:spacing w:lineRule="auto" w:line="288" w:before="0" w:after="240"/>
        <w:jc w:val="both"/>
        <w:rPr>
          <w:rFonts w:ascii="Open Sans;sans-serif" w:hAnsi="Open Sans;sans-serif"/>
          <w:b w:val="false"/>
          <w:color w:val="000000"/>
          <w:sz w:val="20"/>
        </w:rPr>
      </w:pPr>
      <w:r>
        <w:rPr>
          <w:rFonts w:ascii="Open Sans;sans-serif" w:hAnsi="Open Sans;sans-serif"/>
          <w:b w:val="false"/>
          <w:color w:val="000000"/>
          <w:sz w:val="20"/>
        </w:rPr>
        <w:t>The following tables presents the computation of basic and diluted income (loss) per share:</w:t>
      </w:r>
    </w:p>
    <w:tbl>
      <w:tblPr>
        <w:tblW w:w="10205" w:type="dxa"/>
        <w:jc w:val="left"/>
        <w:tblInd w:w="0" w:type="dxa"/>
        <w:tblLayout w:type="fixed"/>
        <w:tblCellMar>
          <w:top w:w="28" w:type="dxa"/>
          <w:left w:w="28" w:type="dxa"/>
          <w:bottom w:w="28" w:type="dxa"/>
          <w:right w:w="28" w:type="dxa"/>
        </w:tblCellMar>
      </w:tblPr>
      <w:tblGrid>
        <w:gridCol w:w="1500"/>
        <w:gridCol w:w="1292"/>
        <w:gridCol w:w="1287"/>
        <w:gridCol w:w="109"/>
        <w:gridCol w:w="109"/>
        <w:gridCol w:w="109"/>
        <w:gridCol w:w="240"/>
        <w:gridCol w:w="879"/>
        <w:gridCol w:w="115"/>
        <w:gridCol w:w="115"/>
        <w:gridCol w:w="115"/>
        <w:gridCol w:w="115"/>
        <w:gridCol w:w="240"/>
        <w:gridCol w:w="879"/>
        <w:gridCol w:w="115"/>
        <w:gridCol w:w="109"/>
        <w:gridCol w:w="109"/>
        <w:gridCol w:w="109"/>
        <w:gridCol w:w="232"/>
        <w:gridCol w:w="974"/>
        <w:gridCol w:w="112"/>
        <w:gridCol w:w="112"/>
        <w:gridCol w:w="112"/>
        <w:gridCol w:w="112"/>
        <w:gridCol w:w="234"/>
        <w:gridCol w:w="604"/>
        <w:gridCol w:w="167"/>
      </w:tblGrid>
      <w:tr>
        <w:trPr/>
        <w:tc>
          <w:tcPr>
            <w:tcW w:w="150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 June 30,</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r>
      <w:tr>
        <w:trPr/>
        <w:tc>
          <w:tcPr>
            <w:tcW w:w="4079"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Numerator:</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65,816 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37,057 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173,879 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Denominator:</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Weighted average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138,058 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69,789 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136,502 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68,722 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Dilutive effect of share-based awards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3,242 </w:t>
            </w:r>
          </w:p>
        </w:tc>
        <w:tc>
          <w:tcPr>
            <w:tcW w:w="11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3,378 </w:t>
            </w:r>
          </w:p>
        </w:tc>
        <w:tc>
          <w:tcPr>
            <w:tcW w:w="115"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3,242 </w:t>
            </w:r>
          </w:p>
        </w:tc>
        <w:tc>
          <w:tcPr>
            <w:tcW w:w="112"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3,378 </w:t>
            </w:r>
          </w:p>
        </w:tc>
        <w:tc>
          <w:tcPr>
            <w:tcW w:w="167"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Dilutive effect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9,535 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Weighted average shares outstanding - diluted</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146,992 </w:t>
            </w:r>
          </w:p>
        </w:tc>
        <w:tc>
          <w:tcPr>
            <w:tcW w:w="115"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82,702 </w:t>
            </w:r>
          </w:p>
        </w:tc>
        <w:tc>
          <w:tcPr>
            <w:tcW w:w="115"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146,554 </w:t>
            </w:r>
          </w:p>
        </w:tc>
        <w:tc>
          <w:tcPr>
            <w:tcW w:w="112"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81,285 </w:t>
            </w:r>
          </w:p>
        </w:tc>
        <w:tc>
          <w:tcPr>
            <w:tcW w:w="167"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Basic:</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Diluted:</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B9D9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0.45 </w:t>
            </w:r>
          </w:p>
        </w:tc>
        <w:tc>
          <w:tcPr>
            <w:tcW w:w="1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0.45 </w:t>
            </w:r>
          </w:p>
        </w:tc>
        <w:tc>
          <w:tcPr>
            <w:tcW w:w="1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1.19 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60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40"/>
        <w:ind w:left="0" w:right="0" w:firstLine="720"/>
        <w:jc w:val="center"/>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4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NOBLE CORPORATION plc AND SUBSIDIARIES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NON-GAAP MEASURES AND RECONCILIATION</w:t>
      </w:r>
    </w:p>
    <w:p>
      <w:pPr>
        <w:pStyle w:val="TextBody"/>
        <w:bidi w:val="0"/>
        <w:spacing w:before="0" w:after="240"/>
        <w:jc w:val="both"/>
        <w:rPr/>
      </w:pPr>
      <w:r>
        <w:rPr/>
      </w:r>
    </w:p>
    <w:p>
      <w:pPr>
        <w:pStyle w:val="TextBody"/>
        <w:bidi w:val="0"/>
        <w:spacing w:lineRule="auto" w:line="288" w:before="0" w:after="240"/>
        <w:jc w:val="both"/>
        <w:rPr>
          <w:rFonts w:ascii="Open Sans;sans-serif" w:hAnsi="Open Sans;sans-serif"/>
          <w:b w:val="false"/>
          <w:color w:val="000000"/>
          <w:sz w:val="20"/>
        </w:rPr>
      </w:pPr>
      <w:r>
        <w:rPr>
          <w:rFonts w:ascii="Open Sans;sans-serif" w:hAnsi="Open Sans;sans-serif"/>
          <w:b w:val="false"/>
          <w:color w:val="000000"/>
          <w:sz w:val="20"/>
        </w:rPr>
        <w:t xml:space="preserve">Certain non-GAAP measures and corresponding reconciliations to GAAP financial measures for the Company have been provided for meaningful comparisons between current results and prior operating periods. Generally, a non-GAAP financial measure is a numerical measure of a company’s performance, financial position, or cash flows that excludes or includes amounts that are not normally included or excluded in the most directly comparable measure calculated and presented in accordance with generally accepted accounting principles. </w:t>
      </w:r>
    </w:p>
    <w:p>
      <w:pPr>
        <w:pStyle w:val="TextBody"/>
        <w:bidi w:val="0"/>
        <w:spacing w:lineRule="auto" w:line="288" w:before="0" w:after="240"/>
        <w:jc w:val="both"/>
        <w:rPr>
          <w:rFonts w:ascii="Open Sans;sans-serif" w:hAnsi="Open Sans;sans-serif"/>
          <w:b w:val="false"/>
          <w:color w:val="000000"/>
          <w:sz w:val="20"/>
        </w:rPr>
      </w:pPr>
      <w:r>
        <w:rPr>
          <w:rFonts w:ascii="Open Sans;sans-serif" w:hAnsi="Open Sans;sans-serif"/>
          <w:b w:val="false"/>
          <w:color w:val="000000"/>
          <w:sz w:val="20"/>
        </w:rPr>
        <w:t>The Company defines “Adjusted EBITDA” as net income (loss) adjusted for interest expense, net of amounts capitalized; interest income and other, net; income tax benefit (provision); and depreciation and amortization expense, as well as, if applicable, gain (loss) on extinguishment of debt, net; losses on economic impairments; restructuring and similar charges; costs related to mergers and integrations; and certain other infrequent operational events. We believe that the Adjusted EBITDA measure provides greater transparency of our core operating performance. We prepare Adjusted Net Income (Loss) by eliminating from Net Income (Loss) the impact of a number of non-recurring items we do not consider indicative of our on-going performance. We prepare Adjusted Diluted Earnings (Loss) per Share by eliminating from Diluted Earnings per Share the impact of a number of non-recurring items we do not consider indicative of our on-going performance. Similar to Adjusted EBITDA, we believe these measures help identify underlying trends that could otherwise be masked by the effect of the non-recurring items we exclude in the measure.</w:t>
      </w:r>
    </w:p>
    <w:p>
      <w:pPr>
        <w:pStyle w:val="TextBody"/>
        <w:bidi w:val="0"/>
        <w:spacing w:lineRule="auto" w:line="288" w:before="0" w:after="240"/>
        <w:jc w:val="both"/>
        <w:rPr>
          <w:rFonts w:ascii="Open Sans;sans-serif" w:hAnsi="Open Sans;sans-serif"/>
          <w:b w:val="false"/>
          <w:color w:val="000000"/>
          <w:sz w:val="20"/>
        </w:rPr>
      </w:pPr>
      <w:r>
        <w:rPr>
          <w:rFonts w:ascii="Open Sans;sans-serif" w:hAnsi="Open Sans;sans-serif"/>
          <w:b w:val="false"/>
          <w:color w:val="000000"/>
          <w:sz w:val="20"/>
        </w:rPr>
        <w:t xml:space="preserve">In order to fully assess the financial operating results, management believes that the results of operations, adjusted to exclude the following items, which are included in the Company’s press release issued on August 2, 2023, are appropriate measures of the continuing and normal operations of the Company: </w:t>
      </w:r>
    </w:p>
    <w:p>
      <w:pPr>
        <w:pStyle w:val="TextBody"/>
        <w:bidi w:val="0"/>
        <w:spacing w:lineRule="auto" w:line="288" w:before="0" w:after="240"/>
        <w:ind w:left="0" w:right="0" w:hanging="540"/>
        <w:jc w:val="both"/>
        <w:rPr>
          <w:rFonts w:ascii="Open Sans;sans-serif" w:hAnsi="Open Sans;sans-serif"/>
          <w:b w:val="false"/>
          <w:color w:val="000000"/>
          <w:sz w:val="20"/>
        </w:rPr>
      </w:pPr>
      <w:r>
        <w:rPr>
          <w:rFonts w:ascii="Open Sans;sans-serif" w:hAnsi="Open Sans;sans-serif"/>
          <w:b w:val="false"/>
          <w:color w:val="000000"/>
          <w:sz w:val="20"/>
        </w:rPr>
        <w:t xml:space="preserve">(i)In the second quarters of 2023 and 2022, merger and integration costs; hurricane losses and (recoveries), net; intangible contract amortization and discrete tax items. </w:t>
      </w:r>
    </w:p>
    <w:p>
      <w:pPr>
        <w:pStyle w:val="TextBody"/>
        <w:bidi w:val="0"/>
        <w:spacing w:lineRule="auto" w:line="288" w:before="0" w:after="240"/>
        <w:ind w:left="0" w:right="0" w:hanging="540"/>
        <w:jc w:val="both"/>
        <w:rPr>
          <w:rFonts w:ascii="Open Sans;sans-serif" w:hAnsi="Open Sans;sans-serif"/>
          <w:b w:val="false"/>
          <w:color w:val="000000"/>
          <w:sz w:val="20"/>
        </w:rPr>
      </w:pPr>
      <w:r>
        <w:rPr>
          <w:rFonts w:ascii="Open Sans;sans-serif" w:hAnsi="Open Sans;sans-serif"/>
          <w:b w:val="false"/>
          <w:color w:val="000000"/>
          <w:sz w:val="20"/>
        </w:rPr>
        <w:t>(ii)The second quarter of 2023 included a loss on extinguishment of debt, net.</w:t>
      </w:r>
    </w:p>
    <w:p>
      <w:pPr>
        <w:pStyle w:val="TextBody"/>
        <w:bidi w:val="0"/>
        <w:spacing w:lineRule="auto" w:line="288" w:before="0" w:after="240"/>
        <w:ind w:left="0" w:right="0" w:hanging="540"/>
        <w:jc w:val="both"/>
        <w:rPr/>
      </w:pPr>
      <w:r>
        <w:rPr>
          <w:rFonts w:ascii="Arial;sans-serif" w:hAnsi="Arial;sans-serif"/>
          <w:b w:val="false"/>
          <w:color w:val="000000"/>
          <w:sz w:val="20"/>
        </w:rPr>
        <w:t>(iii)</w:t>
      </w:r>
      <w:r>
        <w:rPr>
          <w:rFonts w:ascii="Open Sans;sans-serif" w:hAnsi="Open Sans;sans-serif"/>
          <w:b w:val="false"/>
          <w:color w:val="000000"/>
          <w:sz w:val="20"/>
        </w:rPr>
        <w:t xml:space="preserve">In addition, the second quarter of 2022 included (gain) loss on sale of operating assets, net and professional services costs related to corporate initiatives. </w:t>
      </w:r>
    </w:p>
    <w:p>
      <w:pPr>
        <w:pStyle w:val="TextBody"/>
        <w:bidi w:val="0"/>
        <w:spacing w:lineRule="auto" w:line="288" w:before="0" w:after="240"/>
        <w:jc w:val="both"/>
        <w:rPr>
          <w:rFonts w:ascii="Open Sans;sans-serif" w:hAnsi="Open Sans;sans-serif"/>
          <w:b w:val="false"/>
          <w:color w:val="000000"/>
          <w:sz w:val="20"/>
        </w:rPr>
      </w:pPr>
      <w:r>
        <w:rPr>
          <w:rFonts w:ascii="Open Sans;sans-serif" w:hAnsi="Open Sans;sans-serif"/>
          <w:b w:val="false"/>
          <w:color w:val="000000"/>
          <w:sz w:val="20"/>
        </w:rPr>
        <w:t>The Company also discloses free cash flow as a non-GAAP liquidity measure. Free cash flow is calculated as Net cash provided by (used in) operating activities less cash paid for capital expenditures. We believe Free Cash Flow is useful to investors because it measures our ability to generate or use cash. Once business needs and obligations are met, this cash can be used to reinvest in the company for future growth or to return to shareholders through dividend payments or share repurchases.</w:t>
      </w:r>
    </w:p>
    <w:p>
      <w:pPr>
        <w:pStyle w:val="TextBody"/>
        <w:bidi w:val="0"/>
        <w:spacing w:lineRule="auto" w:line="288" w:before="0" w:after="240"/>
        <w:jc w:val="both"/>
        <w:rPr>
          <w:rFonts w:ascii="Open Sans;sans-serif" w:hAnsi="Open Sans;sans-serif"/>
          <w:b w:val="false"/>
          <w:color w:val="000000"/>
          <w:sz w:val="20"/>
        </w:rPr>
      </w:pPr>
      <w:r>
        <w:rPr>
          <w:rFonts w:ascii="Open Sans;sans-serif" w:hAnsi="Open Sans;sans-serif"/>
          <w:b w:val="false"/>
          <w:color w:val="000000"/>
          <w:sz w:val="20"/>
        </w:rPr>
        <w:t>We believe that these non-GAAP financial measures provide useful information about our financial performance, enhance the overall understanding of our past performance and future prospects, and allow for greater transparency with respect to key metrics used by our management team for financial and operational decision-making. We are presenting these non-GAAP financial measures to assist investors in seeing our financial performance through the eyes of management, and because we believe that these measures provide an additional tool for investors to use in comparing our core financial performance over multiple periods with other companies in our industry.</w:t>
      </w:r>
    </w:p>
    <w:p>
      <w:pPr>
        <w:pStyle w:val="TextBody"/>
        <w:bidi w:val="0"/>
        <w:spacing w:lineRule="auto" w:line="288" w:before="0" w:after="240"/>
        <w:jc w:val="both"/>
        <w:rPr>
          <w:rFonts w:ascii="Open Sans;sans-serif" w:hAnsi="Open Sans;sans-serif"/>
          <w:b w:val="false"/>
          <w:color w:val="000000"/>
          <w:sz w:val="20"/>
        </w:rPr>
      </w:pPr>
      <w:r>
        <w:rPr>
          <w:rFonts w:ascii="Open Sans;sans-serif" w:hAnsi="Open Sans;sans-serif"/>
          <w:b w:val="false"/>
          <w:color w:val="000000"/>
          <w:sz w:val="20"/>
        </w:rPr>
        <w:t>These non-GAAP adjusted measures should be considered in addition to, and not as a substitute for, or superior to, contract drilling revenue, contract drilling cost, contract drilling margin, average daily revenue, operating income, cash flows from operations, or other measures of financial performance prepared in accordance with GAAP. Please see the following non-GAAP Financial Measures and Reconciliations for a complete description of the adjustments.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4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NOBLE CORPORATION plc AND SUBSIDIARIES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NON-GAAP MEASURES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(In thousands, except per share amounts)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53"/>
        <w:gridCol w:w="1541"/>
        <w:gridCol w:w="1543"/>
        <w:gridCol w:w="109"/>
        <w:gridCol w:w="109"/>
        <w:gridCol w:w="109"/>
        <w:gridCol w:w="231"/>
        <w:gridCol w:w="970"/>
        <w:gridCol w:w="111"/>
        <w:gridCol w:w="111"/>
        <w:gridCol w:w="111"/>
        <w:gridCol w:w="111"/>
        <w:gridCol w:w="231"/>
        <w:gridCol w:w="846"/>
        <w:gridCol w:w="111"/>
        <w:gridCol w:w="109"/>
        <w:gridCol w:w="109"/>
        <w:gridCol w:w="109"/>
        <w:gridCol w:w="319"/>
        <w:gridCol w:w="1340"/>
        <w:gridCol w:w="222"/>
      </w:tblGrid>
      <w:tr>
        <w:trPr/>
        <w:tc>
          <w:tcPr>
            <w:tcW w:w="1753"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Reconciliation of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r>
          </w:p>
        </w:tc>
      </w:tr>
      <w:tr>
        <w:trPr/>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March 31, 2023</w:t>
            </w:r>
          </w:p>
        </w:tc>
      </w:tr>
      <w:tr>
        <w:trPr/>
        <w:tc>
          <w:tcPr>
            <w:tcW w:w="4837"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0"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65,816 </w:t>
            </w:r>
          </w:p>
        </w:tc>
        <w:tc>
          <w:tcPr>
            <w:tcW w:w="11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4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37,057 </w:t>
            </w:r>
          </w:p>
        </w:tc>
        <w:tc>
          <w:tcPr>
            <w:tcW w:w="11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40"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108,063 </w:t>
            </w:r>
          </w:p>
        </w:tc>
        <w:tc>
          <w:tcPr>
            <w:tcW w:w="222"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Income tax (benefit)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(15,804)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Interest expense, net of amounts capitalized</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14,662 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7,715 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16,872 </w:t>
            </w:r>
          </w:p>
        </w:tc>
        <w:tc>
          <w:tcPr>
            <w:tcW w:w="222"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Interest income and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(1,081)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(2,026)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71,324 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26,636 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69,942 </w:t>
            </w:r>
          </w:p>
        </w:tc>
        <w:tc>
          <w:tcPr>
            <w:tcW w:w="222"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Amortization of intangible assets and contract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(31,009)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14,256 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(53,728)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(Gain) loss on extinguishment of debt, net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26,397 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Professional services - corporate projects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Merger and integration costs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22,452 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9,057 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11,631 </w:t>
            </w:r>
          </w:p>
        </w:tc>
        <w:tc>
          <w:tcPr>
            <w:tcW w:w="222"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(Gain) loss on sale of operating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Hurricane losses and (recoveries), net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15,934 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(14,407)</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3,544 </w:t>
            </w:r>
          </w:p>
        </w:tc>
        <w:tc>
          <w:tcPr>
            <w:tcW w:w="222"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187,845 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84,389 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138,494 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left"/>
        <w:rPr/>
      </w:pPr>
      <w:r>
        <w:rPr/>
      </w:r>
    </w:p>
    <w:tbl>
      <w:tblPr>
        <w:tblW w:w="10205" w:type="dxa"/>
        <w:jc w:val="center"/>
        <w:tblInd w:w="0" w:type="dxa"/>
        <w:tblLayout w:type="fixed"/>
        <w:tblCellMar>
          <w:top w:w="28" w:type="dxa"/>
          <w:left w:w="28" w:type="dxa"/>
          <w:bottom w:w="28" w:type="dxa"/>
          <w:right w:w="28" w:type="dxa"/>
        </w:tblCellMar>
      </w:tblPr>
      <w:tblGrid>
        <w:gridCol w:w="1432"/>
        <w:gridCol w:w="1133"/>
        <w:gridCol w:w="1137"/>
        <w:gridCol w:w="208"/>
        <w:gridCol w:w="208"/>
        <w:gridCol w:w="208"/>
        <w:gridCol w:w="432"/>
        <w:gridCol w:w="1715"/>
        <w:gridCol w:w="208"/>
        <w:gridCol w:w="109"/>
        <w:gridCol w:w="109"/>
        <w:gridCol w:w="109"/>
        <w:gridCol w:w="226"/>
        <w:gridCol w:w="878"/>
        <w:gridCol w:w="109"/>
        <w:gridCol w:w="109"/>
        <w:gridCol w:w="109"/>
        <w:gridCol w:w="109"/>
        <w:gridCol w:w="294"/>
        <w:gridCol w:w="1157"/>
        <w:gridCol w:w="206"/>
      </w:tblGrid>
      <w:tr>
        <w:trPr/>
        <w:tc>
          <w:tcPr>
            <w:tcW w:w="143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66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Reconciliation of Income Tax (Provision)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March 31, 2023</w:t>
            </w:r>
          </w:p>
        </w:tc>
      </w:tr>
      <w:tr>
        <w:trPr/>
        <w:tc>
          <w:tcPr>
            <w:tcW w:w="3702"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Income tax benefit (provision)</w:t>
            </w:r>
          </w:p>
        </w:tc>
        <w:tc>
          <w:tcPr>
            <w:tcW w:w="62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715"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671 </w:t>
            </w:r>
          </w:p>
        </w:tc>
        <w:tc>
          <w:tcPr>
            <w:tcW w:w="208"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78"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(3,908)</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57"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15,804 </w:t>
            </w:r>
          </w:p>
        </w:tc>
        <w:tc>
          <w:tcPr>
            <w:tcW w:w="206"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Adjustments</w:t>
            </w:r>
          </w:p>
        </w:tc>
        <w:tc>
          <w:tcPr>
            <w:tcW w:w="62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Amortization of intangible assets and contract liabilities, net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3,747 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3,501 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r>
      <w:tr>
        <w:trPr/>
        <w:tc>
          <w:tcPr>
            <w:tcW w:w="3702"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Hurricane losses and (recoveries), net</w:t>
            </w:r>
          </w:p>
        </w:tc>
        <w:tc>
          <w:tcPr>
            <w:tcW w:w="62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(164)</w:t>
            </w:r>
          </w:p>
        </w:tc>
        <w:tc>
          <w:tcPr>
            <w:tcW w:w="109"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Discrete tax items</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(47,601)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(45,631)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Adjustments</w:t>
            </w:r>
          </w:p>
        </w:tc>
        <w:tc>
          <w:tcPr>
            <w:tcW w:w="62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(43,854)</w:t>
            </w:r>
          </w:p>
        </w:tc>
        <w:tc>
          <w:tcPr>
            <w:tcW w:w="208"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(14,263)</w:t>
            </w:r>
          </w:p>
        </w:tc>
        <w:tc>
          <w:tcPr>
            <w:tcW w:w="109"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(42,130)</w:t>
            </w:r>
          </w:p>
        </w:tc>
        <w:tc>
          <w:tcPr>
            <w:tcW w:w="206"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income tax benefit (provision)</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(43,183)</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(18,171)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(26,326)</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4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NOBLE CORPORATION plc AND SUBSIDIARIES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NON-GAAP RECONCILIATION</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(In thousands, except per share amounts)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50"/>
        <w:gridCol w:w="1538"/>
        <w:gridCol w:w="1542"/>
        <w:gridCol w:w="109"/>
        <w:gridCol w:w="109"/>
        <w:gridCol w:w="109"/>
        <w:gridCol w:w="231"/>
        <w:gridCol w:w="972"/>
        <w:gridCol w:w="111"/>
        <w:gridCol w:w="111"/>
        <w:gridCol w:w="111"/>
        <w:gridCol w:w="111"/>
        <w:gridCol w:w="231"/>
        <w:gridCol w:w="847"/>
        <w:gridCol w:w="111"/>
        <w:gridCol w:w="109"/>
        <w:gridCol w:w="109"/>
        <w:gridCol w:w="109"/>
        <w:gridCol w:w="303"/>
        <w:gridCol w:w="1372"/>
        <w:gridCol w:w="210"/>
      </w:tblGrid>
      <w:tr>
        <w:trPr/>
        <w:tc>
          <w:tcPr>
            <w:tcW w:w="17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Reconciliation of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March 31, 2023</w:t>
            </w:r>
          </w:p>
        </w:tc>
      </w:tr>
      <w:tr>
        <w:trPr/>
        <w:tc>
          <w:tcPr>
            <w:tcW w:w="483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2"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65,816 </w:t>
            </w:r>
          </w:p>
        </w:tc>
        <w:tc>
          <w:tcPr>
            <w:tcW w:w="11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47"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37,057 </w:t>
            </w:r>
          </w:p>
        </w:tc>
        <w:tc>
          <w:tcPr>
            <w:tcW w:w="11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72"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108,063 </w:t>
            </w:r>
          </w:p>
        </w:tc>
        <w:tc>
          <w:tcPr>
            <w:tcW w:w="21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Adjustments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Amortization of intangible assets and contract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(27,262)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11,262 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(50,227)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Professional services - corporate projects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145 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Merger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22,452 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11,631 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(Gain) loss on sale of operating assets, net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1,103 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Hurricane losses and (recoveries),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15,934 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(14,571)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3,544 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(Gain) loss on extinguishment of debt, net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26,397 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Discrete tax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(47,601)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(11,105)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(45,631)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Adjustments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(10,080)</w:t>
            </w:r>
          </w:p>
        </w:tc>
        <w:tc>
          <w:tcPr>
            <w:tcW w:w="11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(4,109)</w:t>
            </w:r>
          </w:p>
        </w:tc>
        <w:tc>
          <w:tcPr>
            <w:tcW w:w="11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(80,683)</w:t>
            </w:r>
          </w:p>
        </w:tc>
        <w:tc>
          <w:tcPr>
            <w:tcW w:w="21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 xml:space="preserve">Adjusted net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55,736 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32,948 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27,380 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 xml:space="preserve">Reconciliation of Diluted EPS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March 31, 2023</w:t>
            </w:r>
          </w:p>
        </w:tc>
      </w:tr>
      <w:tr>
        <w:trPr/>
        <w:tc>
          <w:tcPr>
            <w:tcW w:w="483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Unadjusted diluted EPS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2"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0.45 </w:t>
            </w:r>
          </w:p>
        </w:tc>
        <w:tc>
          <w:tcPr>
            <w:tcW w:w="11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47"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0.45 </w:t>
            </w:r>
          </w:p>
        </w:tc>
        <w:tc>
          <w:tcPr>
            <w:tcW w:w="11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72"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0.74 </w:t>
            </w:r>
          </w:p>
        </w:tc>
        <w:tc>
          <w:tcPr>
            <w:tcW w:w="21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Adjustments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Amortization of intangible assets and contract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(0.34)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Professional services - corporate projects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Merger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0.08 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B9D9EB"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(Gain) loss on sale of operating assets, net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0.01 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Hurricane losses and (recoveries),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(0.18)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0.02 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(Gain) loss on extinguishment of debt, net</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0.18 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B9D9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Discrete tax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(0.31)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Adjustments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(0.07)</w:t>
            </w:r>
          </w:p>
        </w:tc>
        <w:tc>
          <w:tcPr>
            <w:tcW w:w="11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(0.05)</w:t>
            </w:r>
          </w:p>
        </w:tc>
        <w:tc>
          <w:tcPr>
            <w:tcW w:w="11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(0.55)</w:t>
            </w:r>
          </w:p>
        </w:tc>
        <w:tc>
          <w:tcPr>
            <w:tcW w:w="21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0.38 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0.19 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Reconciliation of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March 31, 2023</w:t>
            </w:r>
          </w:p>
        </w:tc>
      </w:tr>
      <w:tr>
        <w:trPr/>
        <w:tc>
          <w:tcPr>
            <w:tcW w:w="483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cash provided by (used in) operating activities</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2"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211,160 </w:t>
            </w:r>
          </w:p>
        </w:tc>
        <w:tc>
          <w:tcPr>
            <w:tcW w:w="11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47"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88,112 </w:t>
            </w:r>
          </w:p>
        </w:tc>
        <w:tc>
          <w:tcPr>
            <w:tcW w:w="111"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72" w:type="dxa"/>
            <w:tcBorders>
              <w:top w:val="single" w:sz="8" w:space="0" w:color="000000"/>
            </w:tcBorders>
            <w:shd w:fill="B9D9EB"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(63,080)</w:t>
            </w:r>
          </w:p>
        </w:tc>
        <w:tc>
          <w:tcPr>
            <w:tcW w:w="210" w:type="dxa"/>
            <w:tcBorders>
              <w:top w:val="single" w:sz="8" w:space="0" w:color="000000"/>
            </w:tcBorders>
            <w:shd w:fill="B9D9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(106,796)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(32,480)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(62,734)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B9D9EB"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Free cash flow</w:t>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2"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104,364 </w:t>
            </w:r>
          </w:p>
        </w:tc>
        <w:tc>
          <w:tcPr>
            <w:tcW w:w="111"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47"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55,632 </w:t>
            </w:r>
          </w:p>
        </w:tc>
        <w:tc>
          <w:tcPr>
            <w:tcW w:w="111"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9D9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72"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(125,814)</w:t>
            </w:r>
          </w:p>
        </w:tc>
        <w:tc>
          <w:tcPr>
            <w:tcW w:w="210" w:type="dxa"/>
            <w:tcBorders>
              <w:top w:val="single" w:sz="8" w:space="0" w:color="000000"/>
              <w:bottom w:val="double" w:sz="8" w:space="0" w:color="000000"/>
            </w:tcBorders>
            <w:shd w:fill="B9D9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noblecorporationplcslide.htm"/>
      <w:bookmarkStart w:id="1" w:name="ksnoblecorporationplcslide"/>
      <w:bookmarkEnd w:id="0"/>
      <w:bookmarkEnd w:id="1"/>
      <w:r>
        <w:rPr/>
        <w:drawing>
          <wp:inline distT="0" distB="0" distL="0" distR="0">
            <wp:extent cx="9753600" cy="5486400"/>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17"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Open Sans;sans-serif" w:hAnsi="Open Sans;sans-serif"/>
                          <w:b w:val="false"/>
                          <w:color w:val="000000"/>
                          <w:sz w:val="20"/>
                        </w:rPr>
                      </w:pPr>
                      <w:r>
                        <w:rPr>
                          <w:rFonts w:ascii="Open Sans;sans-serif" w:hAnsi="Open Sans;sans-serif"/>
                          <w:b w:val="false"/>
                          <w:color w:val="000000"/>
                          <w:sz w:val="20"/>
                        </w:rPr>
                        <w:t>12</w:t>
                      </w:r>
                    </w:p>
                  </w:txbxContent>
                </v:textbox>
                <w10:wrap type="none"/>
              </v:rect>
            </w:pict>
          </mc:Fallback>
        </mc:AlternateContent>
      </w:r>
    </w:p>
    <w:p>
      <w:pPr>
        <w:pStyle w:val="TextBody"/>
        <w:bidi w:val="0"/>
        <w:jc w:val="center"/>
        <w:rPr>
          <w:color w:val="FFFFFF"/>
          <w:sz w:val="2"/>
        </w:rPr>
      </w:pPr>
      <w:r>
        <w:rPr>
          <w:color w:val="FFFFFF"/>
          <w:sz w:val="2"/>
        </w:rPr>
        <w:t xml:space="preserve">Noble Corporation plc Second Quarter 2023 Earnings Conference Call August 3rd,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Forward-Looking Statements This presentation and the conference call to which it pertains contains “forward-looking statements” about Noble Corporation plc’s (“Noble” or the “Company”) within the meaning of Section 27A of the Securities Act and Section 21E of the Exchange Act, as amended. All statements other than statements of historical facts included in this presentation and the conference call are forward looking statements, including those regarding future guidance, including revenue, adjusted EBITDA, the offshore drilling market and demand fundamentals, realization and timing of integration synergies, related costs to achieve, free cash flow expectations, capital expenditure, capital allocation expectations including planned dividend and share repurchases, contract backlog, rig demand, expected future contracts, anticipated contract start dates, dayrates and duration, fleet condition and utilization, 2023 and 2024 financial guidance, business, financial performance and position and our plans, objectives, expectations and intentions related to the Noble-Maersk merger. Forward-looking statements involve risks, uncertainties and assumptions, and actual results may differ materially from any future results expressed or implied by such forward-looking statements. Words such as "anticipate," "believe," "continue," "could," "estimate," "expect," "intend," "may," "might,“ “on track,” "plan," “possible,” “potential,” “predict,” "project," "should," "would," "shall," “target,” "will" and similar expressions are intended to be among the statements that identify forward-looking statements. Although we believe that the expectations reflected in such forward-looking statements are reasonable, we cannot assure you that such expectations will prove to be correct. These forward-looking statements speak only as of the date of this communication and we undertake no obligation to revise or update any forward-looking statement for any reason, except as required by law. Risks and uncertainties include, but are not limited to, those detailed in Noble’s most recent Annual Report on Form 10-K, Quarterly Reports Form 10-Q and other filings with the U.S. Securities and Exchange Commission. We cannot control such risk factors and other uncertainties, and in many cases, we cannot predict the risks and uncertainties that could cause our actual results to differ materially from those indicated by the forward-looking statements. You should consider these risks and uncertainties when you are evaluating us. With respect to our capital allocation policy, distributions to shareholders in the form of either dividends or share buybacks are subject to the Board of Directors’ assessment of factors such as business development, growth strategy, current leverage and financing needs. There can be no assurance that a dividend will be declared or continued. Non-GAAP Measures This presentation includes certain financial measures that we use to describe the Company's performance that are not in accordance with U.S. Generally Accepted Accounting Principles (“GAAP”). The non-GAAP information presented herein provides investors with additional useful information but should not be considered in isolation or as substitutes for the related GAAP measures. Moreover, other companies may define non-GAAP measures differently, which limits the usefulness of these measures for comparisons with such other companies. The Company defines "Adjusted EBITDA" as income (loss) from continuing operations before income taxes; interest income and other, net; gain (loss) on extinguishment of debt, net; interest expense, net of amounts capitalized; loss on impairment; pre-petition charges; merger and integration costs; reorganization items, net; certain corporate legal matters; and depreciation and amortization expense. We believe that the Adjusted EBITDA measure provides greater transparency of our core operating performance. The Company defines net debt as indebtedness minus cash and cash equivalents; free cash flow as cash flow from operations minus capital expenditures; adjusted EBITDA margin as adjusted EBITDA divided by total revenues; and leverage as net debt divided by annualized adjusted EBITDA from the most recently reported quarter. Additionally, due to the forward-looking nature of Adjusted EBITDA, management cannot reliably predict certain of the necessary components of the most directly comparable forward-looking GAAP measure. Accordingly, the company is unable to present a quantitative reconciliation of such forward-looking non-GAAP financial measure to the most directly comparable for-ward-looking GAAP financial measure without unreasonable effort.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Summary Q2 Adjusted EBITDA of $188M, Free Cash Flow of $104M Sequential EBITDA growth from increasing dayrates $0.8B in new contracts since last quarter Faye Kozack in Brazil, Deliverer in Australia, Voyager in Mauritania, Discoverer in Suriname, Viking in Malaysia, Intrepid in the UK 2023 Guidance Unchanged Amplified Return of Capital with Initiation of Quarterly Dividend $0.30 dividend payable 9/14/23 to shareholders of record as of 8/17/23 $60M of share repurchases in Q2, approximately $160M since November 2022 Committed to returning significant majority of FCF to shareholders over time via dividends and buybacks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Second Quarter Financial Highlights Adjusted EBITDA $188M $138M Capital expenditures $107M $63M Free cash flow $104M ($126M) Net debt $330M $334M Backlog $5.0B $4.6B Liquidity $805M $736M Adjusted EBITDA margin 1 29% 23% Leverage 0.5x 0.6x 4 Prior quarter figures for Q1 2023 shown below 1) Adjusted EBITDA margin defined as Adjusted EBITDA divided by Total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Current Backlog Stands at $5.0 Billion 600 0 1,500 300 900 1,200 1,800 1,588 2023 2024 2025 2026 2027 855 1,179 905 428 Floaters Jackups 67% 51% 24% 12%33% Percentage of available days committed1 Backlog ($M) and Contract Coverage 1) Committed days on total marketed fleet, excluding cold stacked rigs, per 8/2/23 fleet status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Deepwater Fleet Overview 2023 2024 Q1 Q2 Q3 Q4 Q1 Q2 Q3 Q4 Noble Bob Douglas (7g dual BOP) Noble Globetrotter I (6g) DRILLSHIPS Noble Don Taylor (7g dual BOP) Noble Sam Croft (7g dual BOP) Noble Venturer (7g dual BOP) Noble Viking (7g) Noble Tom Madden (7g dual BOP) Noble Stanley Lafosse (7g dual BOP) Noble Valiant (7g dual BOP) Noble Deliverer (6g) Pacific Meltem (7g dual BOP) – cold stacked Noble Faye Kozack (7g dual BOP) SEMISUBMERSIBLES Pacific Scirocco (6g) – cold stacked Noble Developer (6g) Noble Discoverer (6g) Noble Globetrotter II (6g) Noble Gerry de Souza (6g dual BOP) Noble Voyager (7g dual BOP) Firm contracts, excluding options, per 8/2/23 fleet status Recent Highlights • Faye Kozack: 2.5 years with Petrobras, expected to commence Q1 2024. • Voyager: one exploration well with Shell in Mauritania, in direct continuation from Shell Colombia well. • Discoverer: one exploration well with Petronas in Suriname scheduled for Q3 2023. • Viking: three option wells exercised by Shell, extending backlog to mid 2025. • Deliverer: nine-month extension with Inpex in Australia, into Q2 2025.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Jackup Fleet Overview 2023 2024 Q1 Q2 Q3 Q4 Q1 Q2 Q3 Q4 Noble Reacher (CJ50) Noble Integrator (CJ70) Noble Resolute (CJ50) Noble Resolve (CJ50) Noble Interceptor (CJ70) Noble Tom Prosser (JU-3000N) Noble Intrepid (CJ70) Noble Mick O’Brien (JU-3000N) ULTRA HARSH ENVIRONMENT Noble Resilient (CJ50) Noble Innovator (CJ70) HARSH ENVIRONMENT Noble Regina Allen (JU-3000N) Noble Invincible (CJ70) Noble Highlander (JU-2000E) Firm contracts, excluding options, per 8/2/23 fleet status Recent Highlights • Intrepid: 10 months accommodation contract with Harbour Energy expected to commence in Q4 2023.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Overview ($ millions) Quarter End 6/30/2023 Quarter End 3/31/2023 Revenue 639 610 Adjusted EBITDA 188 138 margin % 29% 23% Net Income 66 108 Diluted EPS 0.45 0.74 Cash flow from operations 211 (63) Cash paid for capital expenditures 107 63 Free cash flow 104 (126) Net debt 1 330 334 Leverage 2 0.4x 0.6x Liquidity 3 805 736 1) Net debt defined as total indebtedness minus cash and cash equivalents. 2) Leverage ratio defined as net debt divided by annualized Adjusted EBITDA for the period. 3) 6/30/23 liquidity includes $255 million cash and cash equivalents plus $550 million RCF availability Non-GAAP to GAAP reconciliations provided on page 10.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2023 Guidance (unchanged) Revenue 2,350 - 2,550 Adjusted EBITDA 725 - 825 Capital expenditures, net 325 - 365 $ millions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Reconciliation to GAAP Measures Reconciliation of Adjusted EBITDA Three Months Ended June 30, Three Months Ended 2023 2022 March 31, 2023 Net income (loss) $ 65,816 $ 37,057 $ 108,063 Income tax (benefit) provision (671) 3,908 (15,804) Interest expense, net of amounts capitalized 14,662 7,715 16,872 Interest income and other, net 2,940 (1,081) (2,026) Depreciation and amortization 71,324 26,636 69,942 Amortization of intangible assets and contract liabilities, net (31,009) 14,256 (53,728) (Gain) loss on extinguishment of debt, net 26,397 — — Professional services - corporate projects — 145 — Merger and integration costs 22,452 9,057 11,631 (Gain) loss on sale of operating assets, net — 1,103 — Hurricane losses and (recoveries), net 15,934 (14,407) 3,544 Adjusted EBITDA $ 187,845 $ 84,389 $ 138,494 Total revenue $ 638,535 $ 275,153 $ 610,054 Adjusted EBITDA margin 29 % 31 % 23 % Reconciliation of Free Cash Flow Three Months Ended June 30, Three Months Ended 2023 2022 March 31, 2023 Net cash provided by (used in) operating activities $ 211,160 $ 88,112 $ (63,080) Capital expenditures (106,796) (32,480) (62,734) Free cash flow $ 104,364 $ 55,632 $ (125,814) Reconciliation of Net Debt June 30, 2023 December 31, 2022 Long-term debt $ 585,389 $ 513,055 Current maturities of long-term debt — 159,715 Cash and cash equivalents 255,356 476,206 Net Debt $ 330,033 $ 196,564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Open Sans">
    <w:altName w:val="sans-serif"/>
    <w:charset w:val="01"/>
    <w:family w:val="auto"/>
    <w:pitch w:val="default"/>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5830</Words>
  <Characters>33478</Characters>
  <CharactersWithSpaces>38870</CharactersWithSpaces>
  <Paragraphs>897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noblecorporationplcslide</dc:title>
</cp:coreProperties>
</file>