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89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98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72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PACIFIC INVESTMENT</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MANAGEMENT CO LLC</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650 NEWPORT CENTER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Noble Corp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NE</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10/24/2022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0"/>
          <w:szCs w:val="20"/>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NEWPORT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BEACH</w:t>
            </w: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6"/>
              </w:rPr>
              <w:t>Ordinary Shares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80" w:type="dxa"/>
            <w:vAlign w:val="bottom"/>
            <w:gridSpan w:val="4"/>
            <w:vMerge w:val="restart"/>
          </w:tcPr>
          <w:p>
            <w:pPr>
              <w:jc w:val="right"/>
              <w:ind w:right="639"/>
              <w:spacing w:after="0"/>
              <w:rPr>
                <w:sz w:val="20"/>
                <w:szCs w:val="20"/>
                <w:color w:val="auto"/>
              </w:rPr>
            </w:pPr>
            <w:r>
              <w:rPr>
                <w:rFonts w:ascii="Arial" w:cs="Arial" w:eastAsia="Arial" w:hAnsi="Arial"/>
                <w:sz w:val="17"/>
                <w:szCs w:val="17"/>
                <w:color w:val="0000FF"/>
              </w:rPr>
              <w:t>10/24/2022</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91"/>
              <w:spacing w:after="0"/>
              <w:rPr>
                <w:sz w:val="20"/>
                <w:szCs w:val="20"/>
                <w:color w:val="auto"/>
              </w:rPr>
            </w:pPr>
            <w:r>
              <w:rPr>
                <w:rFonts w:ascii="Arial" w:cs="Arial" w:eastAsia="Arial" w:hAnsi="Arial"/>
                <w:sz w:val="17"/>
                <w:szCs w:val="17"/>
                <w:color w:val="0000FF"/>
              </w:rPr>
              <w:t>300,000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34.38</w:t>
            </w:r>
            <w:r>
              <w:rPr>
                <w:rFonts w:ascii="Arial" w:cs="Arial" w:eastAsia="Arial" w:hAnsi="Arial"/>
                <w:sz w:val="22"/>
                <w:szCs w:val="22"/>
                <w:color w:val="008000"/>
                <w:w w:val="91"/>
                <w:vertAlign w:val="superscript"/>
              </w:rPr>
              <w:t>(2)</w:t>
            </w:r>
          </w:p>
        </w:tc>
        <w:tc>
          <w:tcPr>
            <w:tcW w:w="118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14,542,031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6"/>
              </w:rPr>
              <w:t>Ordinary Shares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80" w:type="dxa"/>
            <w:vAlign w:val="bottom"/>
            <w:gridSpan w:val="4"/>
            <w:vMerge w:val="restart"/>
          </w:tcPr>
          <w:p>
            <w:pPr>
              <w:jc w:val="right"/>
              <w:ind w:right="639"/>
              <w:spacing w:after="0"/>
              <w:rPr>
                <w:sz w:val="20"/>
                <w:szCs w:val="20"/>
                <w:color w:val="auto"/>
              </w:rPr>
            </w:pPr>
            <w:r>
              <w:rPr>
                <w:rFonts w:ascii="Arial" w:cs="Arial" w:eastAsia="Arial" w:hAnsi="Arial"/>
                <w:sz w:val="17"/>
                <w:szCs w:val="17"/>
                <w:color w:val="0000FF"/>
              </w:rPr>
              <w:t>10/25/2022</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91"/>
              <w:spacing w:after="0"/>
              <w:rPr>
                <w:sz w:val="20"/>
                <w:szCs w:val="20"/>
                <w:color w:val="auto"/>
              </w:rPr>
            </w:pPr>
            <w:r>
              <w:rPr>
                <w:rFonts w:ascii="Arial" w:cs="Arial" w:eastAsia="Arial" w:hAnsi="Arial"/>
                <w:sz w:val="17"/>
                <w:szCs w:val="17"/>
                <w:color w:val="0000FF"/>
              </w:rPr>
              <w:t>321,274</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3"/>
            <w:vMerge w:val="restart"/>
          </w:tcPr>
          <w:p>
            <w:pPr>
              <w:jc w:val="center"/>
              <w:ind w:right="35"/>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35.5</w:t>
            </w:r>
            <w:r>
              <w:rPr>
                <w:rFonts w:ascii="Arial" w:cs="Arial" w:eastAsia="Arial" w:hAnsi="Arial"/>
                <w:sz w:val="22"/>
                <w:szCs w:val="22"/>
                <w:color w:val="008000"/>
                <w:w w:val="99"/>
                <w:vertAlign w:val="superscript"/>
              </w:rPr>
              <w:t>(3)</w:t>
            </w:r>
          </w:p>
        </w:tc>
        <w:tc>
          <w:tcPr>
            <w:tcW w:w="118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14,220,757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9"/>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investment manager, advisor or sub-advisor to certain funds or accounts that sold the reported shares. The Reporting Person disclaims beneficial ownership in the shares reported in Column 5, except to the extent of its pecuniary interest therein.</w:t>
      </w:r>
    </w:p>
    <w:p>
      <w:pPr>
        <w:spacing w:after="0" w:line="1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$34.1299 to $34.4522,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$35.4039 to $35.9079,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(3)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Ryan Curtis,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11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President, Pacific Investment</w:t>
      </w:r>
      <w:r>
        <w:rPr>
          <w:sz w:val="20"/>
          <w:szCs w:val="20"/>
          <w:color w:val="auto"/>
        </w:rPr>
        <w:tab/>
      </w:r>
      <w:r>
        <w:rPr>
          <w:rFonts w:ascii="Arial" w:cs="Arial" w:eastAsia="Arial" w:hAnsi="Arial"/>
          <w:sz w:val="15"/>
          <w:szCs w:val="15"/>
          <w:color w:val="0000FF"/>
        </w:rPr>
        <w:t>10/26/2022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Management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4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3368" TargetMode="External"/><Relationship Id="rId13"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2022-10-28T05:58:07Z</dcterms:created>
  <dcterms:modified xsi:type="dcterms:W3CDTF">2022-10-28T05:58:07Z</dcterms:modified>
</cp:coreProperties>
</file>