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22,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NOBLE CORPORATION plc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7"/>
          <w:szCs w:val="17"/>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001-41520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98-1644664</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spacing w:after="0" w:line="1"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13135 Dairy Ashford, Suite 800</w:t>
      </w:r>
    </w:p>
    <w:p>
      <w:pPr>
        <w:spacing w:after="0" w:line="43"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Sugar Land, Texas</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77478</w:t>
      </w:r>
    </w:p>
    <w:p>
      <w:pPr>
        <w:spacing w:after="0" w:line="42" w:lineRule="exact"/>
        <w:rPr>
          <w:sz w:val="24"/>
          <w:szCs w:val="24"/>
          <w:color w:val="auto"/>
        </w:rPr>
      </w:pPr>
    </w:p>
    <w:p>
      <w:pPr>
        <w:sectPr>
          <w:pgSz w:w="11900" w:h="16838" w:orient="portrait"/>
          <w:cols w:equalWidth="0" w:num="2">
            <w:col w:w="7400" w:space="720"/>
            <w:col w:w="2900"/>
          </w:cols>
          <w:pgMar w:left="440" w:top="376" w:right="4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0" w:space="720"/>
            <w:col w:w="3020"/>
          </w:cols>
          <w:pgMar w:left="440" w:top="376"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(281) 276-6100</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213360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 Ordinary Shares, par value $0.00001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As previously disclosed, on November 22, 2022, Noble Corporation plc (the “Company”) entered into a Term Facility Agreement among The Drilling Company of 1972 A/S, as the Borrower (the “Borrower”), the Company, as parent guarantor, certain subsidiaries of the Borrower party thereto as guarantors, DNB Capital LLC, JP Morgan Chase Bank N.A., London Branch, Nykredit Bank A/S, Clifford Capital Pte. Ltd., Barclays Bank PLC, Danske Bank A/S, HSBC Bank USA, N.A., Nordea Bank ABP, New York Branch and Morgan Stanley Senior Funding, Inc., as Mandated Lead Arrangers and Bookrunners, DNB Markets, Inc., as Coordinator, DNB Bank ASA New York Branch as Agent and Security Agent and the other lenders party thereto (the “New DNB Credit Facility”). On December 22, 2022 the Utilisation Date (as defined in the New DNB Credit Facility) occurred under the New DNB Credit Facility, and the Borrower borrowed the full $350,000,000 available thereunder.</w:t>
      </w:r>
    </w:p>
    <w:p>
      <w:pPr>
        <w:spacing w:after="0" w:line="18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borrowing under the New DNB Credit Facility, the credit facility dated December 6, 2018, entered into among Maersk Drilling Holding A/S, as borrower, and others party thereto, and DNB Bank ASA as arranger, agent and security (the “Prior DNB Credit Facility”) was repaid and terminated in full. The Prior DNB Credit Facility had established a term and revolving credit facility of $1,550,000,000. All collateral and security interests related to the Prior DNB Credit Facility have or will be released and terminated in full.</w:t>
      </w:r>
    </w:p>
    <w:p>
      <w:pPr>
        <w:spacing w:after="0" w:line="180"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New DNB Credit Facility is qualified in its entirety by reference to the full and complete terms of the New DNB Credit Facility, which was filed as Exhibit 10.1 to the Company Current Report on Form 8-K, filed with the Securities and Exchange Commission on November 29, 2022, and is incorporated herein by reference.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On the Utilisation Date, the Company issued a press release in connection with the borrowing under the New DNB Credit Facility. A copy of the press release is furnished as Exhibit 99.1 to this Current Report on Form 8-K and is incorporated by reference into this Item 7.01.</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including Exhibit 99.1, shall not be deemed “filed” for purposes of Section 18 of the Exchange Act or incorporated by reference in any filing under the Securities Act, or the Exchange Act, except as shall be expressly set forth by specific reference in such a filing or this Current Report on Form 8-K.</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Exhibit</w:t>
            </w:r>
          </w:p>
        </w:tc>
        <w:tc>
          <w:tcPr>
            <w:tcW w:w="5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4600" w:type="dxa"/>
            <w:vAlign w:val="bottom"/>
            <w:gridSpan w:val="5"/>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Number</w:t>
            </w:r>
          </w:p>
        </w:tc>
        <w:tc>
          <w:tcPr>
            <w:tcW w:w="5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46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4"/>
                <w:szCs w:val="24"/>
                <w:color w:val="auto"/>
              </w:rPr>
            </w:pPr>
          </w:p>
        </w:tc>
        <w:tc>
          <w:tcPr>
            <w:tcW w:w="9940" w:type="dxa"/>
            <w:vAlign w:val="bottom"/>
            <w:gridSpan w:val="9"/>
          </w:tcPr>
          <w:p>
            <w:pPr>
              <w:spacing w:after="0"/>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Term Facility Agreement, dated as of November 22, 2022, by the Borrower, the Company, certain subsidiaries of the Borrower party</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3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thereto as guarantors, DNB Capital LLC, JP Morgan Chase Bank N.A., London Branch, Nykredit Bank A/S, Clifford Capital Pte. Ltd.,</w:t>
              </w:r>
            </w:hyperlink>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Barclays Bank PLC, Danske Bank A/S, HSBC Bank USA, N.A., Nordea Bank ABP, New York Branch and Morgan Stanley Senior</w:t>
              </w:r>
            </w:hyperlink>
          </w:p>
        </w:tc>
        <w:tc>
          <w:tcPr>
            <w:tcW w:w="4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Funding, Inc., as Mandated Lead Arrangers and Bookrunners, DNB Markets, Inc., as Coordinator, DNB Bank MSA New York Branch as</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Agent and Security Agent and the other lenders party thereto (incorporated by reference to Exhibit 10.1 to the Registrant’s Current Report</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on Form 8-K filed on November 29, 2022).</w:t>
              </w:r>
            </w:hyperlink>
          </w:p>
        </w:tc>
        <w:tc>
          <w:tcPr>
            <w:tcW w:w="68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29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December 22, 2022</w:t>
            </w:r>
          </w:p>
        </w:tc>
        <w:tc>
          <w:tcPr>
            <w:tcW w:w="70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9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60"/>
          </w:cols>
          <w:pgMar w:left="440" w:top="293" w:right="49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NOBLE CORPORATION plc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E. Turcotte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William E. Turcotte</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Senior Vice President, General Counsel and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22, 2022</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80"/>
          </w:cols>
          <w:pgMar w:left="440" w:top="297" w:right="6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5792470</wp:posOffset>
            </wp:positionH>
            <wp:positionV relativeFrom="paragraph">
              <wp:posOffset>173990</wp:posOffset>
            </wp:positionV>
            <wp:extent cx="1200150" cy="565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20015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Noble Corporation plc Completes Refinancing of Syndicated Bank Term Loan</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SUGAR LAND, TEXAS</w:t>
      </w:r>
      <w:r>
        <w:rPr>
          <w:rFonts w:ascii="Times New Roman" w:cs="Times New Roman" w:eastAsia="Times New Roman" w:hAnsi="Times New Roman"/>
          <w:sz w:val="18"/>
          <w:szCs w:val="18"/>
          <w:color w:val="auto"/>
        </w:rPr>
        <w:t>, December 22, 2022—Noble Corporation plc (“Noble”) (CSE: NOBLE, NYSE: NE) today announced that it has closed a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$350 million secured term loan with a syndicate of banks. The new loan has a three-year maturity and an initial interest rate of Term SOFR plus 3.50%, with margin increases beginning in year two.</w:t>
      </w:r>
    </w:p>
    <w:p>
      <w:pPr>
        <w:spacing w:after="0" w:line="175"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Additionally, Noble has paid down and terminated the legacy Maersk Drilling syndicated revolving credit facility and term loan, which had approximately $460 million outstanding, using proceeds from the new syndicated term loan and cash on hand.</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Robert W. Eifler, Noble’s President and Chief Executive Officer, commented, “We are pleased to have completed the refinancing of the syndicated bank facilities with a new term loan, which affords us significant financial flexibility. We appreciate the strong support from our bank group and remain encouraged by the outlook for our business as we head into 2023.”</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Additional details can be found in a Current Report on Form 8-K to be filed with the SEC. You may obtain these documents for free on the Noble website or by visiting EDGAR or the SEC website at www.sec.gov.</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Noble Corporation</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Noble is a leading offshore drilling contractor for the oil and gas industry. The Company owns and operates one of the most modern, versatile, and technically advanced fleets in the offshore drilling industry. Noble and its predecessors have been engaged in the contract drilling of oil and gas wells since 1921. Noble performs, through its subsidiaries, contract drilling services with a fleet of offshore drilling units focused largely on ultra-deepwater and high specification jackup drilling opportunities in both established and emerging regions worldwide. For further information visit www.noblecorp.com or email investors@noblecorp.com.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Noble Corporation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Ian Macpherson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+1 713-239-6507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 imacpherson@noblecorp.com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announcement is for information purposes only and does not constitute or contain any invitation, solicitation, recommendation, offer or advice to any person to subscribe for or otherwise acquire or dispose of any securities of Noble.</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Certain statements in this announcement, including any attachments hereto, may constitute forward-looking statements. Forward-looking statements are statements (other than statements of historical fact) relating to future events and Noble and its subsidiaries (collectively, the “Noble Group”) anticipated or planned financial and operational performance. The words “targets”, “believes”, “continues”, “expects”, “aims”, “intends”, “plans”, “seeks”, “will”, “may”, “might”, “anticipates”, “would”, “could”, “should”, “estimates”, “projects”, “potentially” or similar expressions or the negatives thereof, identify certain of these forward-looking statements. The absence of these words, however, does not mean that the statements are not forward-looking. Other forward-looking statements can be identified in the context in which the statements are made.</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Although Noble believes that the expectations reflected in these forward-looking statements are reasonable as of the date of this announcement, such forward-looking statements are based on Noble’s current expectations, estimates, forecasts, assumptions and projections about the Noble Group’s business and the industry in which the Noble Group operates and/or which has been extracted from publications, reports and other documents prepared by the Noble Group and are not guarantees of future performance or development and involve known and unknown risks, uncertainties and other important factors beyond the Noble Group’s control that could cause the Noble Group’s actual results, performance or achievements to differ materially from any future results, performance or achievements expressed or implied by such forward-looking statements.</w:t>
      </w:r>
    </w:p>
    <w:p>
      <w:pPr>
        <w:sectPr>
          <w:pgSz w:w="11900" w:h="16838" w:orient="portrait"/>
          <w:cols w:equalWidth="0" w:num="1">
            <w:col w:w="11020"/>
          </w:cols>
          <w:pgMar w:left="440" w:top="117" w:right="439" w:bottom="1440" w:gutter="0" w:footer="0" w:header="0"/>
        </w:sectPr>
      </w:pPr>
    </w:p>
    <w:bookmarkStart w:id="4" w:name="page5"/>
    <w:bookmarkEnd w:id="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forward-looking statements included in this announcement, including any attachment hereto, speak only as of today. Noble does not intend, and does not assume, any obligations to update any forward-looking statements contained herein, except as may be required by law or the rules of the New York Stock Exchange or Nasdaq Copenhagen. All subsequent written and oral forward-looking statements attributable to Noble or to persons acting on its behalf are expressly qualified in their entirety by the cautionary statements referred to above and contained in this announcement, including any attachment hereto.</w:t>
      </w:r>
    </w:p>
    <w:sectPr>
      <w:pgSz w:w="11900" w:h="16838" w:orient="portrait"/>
      <w:cols w:equalWidth="0" w:num="1">
        <w:col w:w="10880"/>
      </w:cols>
      <w:pgMar w:left="440" w:top="27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jpeg"/><Relationship Id="rId22" Type="http://schemas.openxmlformats.org/officeDocument/2006/relationships/image" Target="media/image14.png"/><Relationship Id="rId18" Type="http://schemas.openxmlformats.org/officeDocument/2006/relationships/hyperlink" Target="http://www.sec.gov/Archives/edgar/data/1895262/000119312522294359/d42491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2022-12-22T15:50:13Z</dcterms:created>
  <dcterms:modified xsi:type="dcterms:W3CDTF">2022-12-22T15:50:13Z</dcterms:modified>
</cp:coreProperties>
</file>