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-232410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-609600</wp:posOffset>
            </wp:positionV>
            <wp:extent cx="57150" cy="6229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065" cy="7324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732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5" w:right="359" w:bottom="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Denton Blake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59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13135 DAIRY ASHFORD, SUITE 800</w:t>
            </w:r>
          </w:p>
        </w:tc>
      </w:tr>
      <w:tr>
        <w:trPr>
          <w:trHeight w:val="469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1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SUGAR LAND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77478</w:t>
            </w:r>
          </w:p>
        </w:tc>
      </w:tr>
      <w:tr>
        <w:trPr>
          <w:trHeight w:val="456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02/03/2024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SVP, Marketing &amp; Contracts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48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jc w:val="center"/>
              <w:ind w:righ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49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02/03/2024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5,663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02/03/2024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2,229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43.25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3,434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02/03/2024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3,644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02/03/2024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1,434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43.25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02/05/2024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20,534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02/05/2024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8,081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42.96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18,097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02/05/2024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156,821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174,918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02/05/2024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61,710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42.96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113,208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5,663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6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5,663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7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47,998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3,644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6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3,644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7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44,354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20,534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02/05/2024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20,534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7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23,820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Vested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2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159,390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159,390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45,655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89"/>
                <w:vertAlign w:val="superscript"/>
              </w:rPr>
              <w:t>(9)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02/05/2024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7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-2832735</wp:posOffset>
            </wp:positionV>
            <wp:extent cx="28575" cy="28378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3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Class A Ordinary Share.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requirements on vesting of RSUs.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hanging="2"/>
        <w:spacing w:after="0" w:line="244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upon a weighted 169.72% achievement level of the performance metrics, the Reporting Person is receiving 156,821 of the below maximum 159,390 Class A Ordinary Shares based on the performance RSUs granted on February 5, 2021.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date, which was February 3, 2022.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date, which was February 3, 2023.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date, which was February 5, 2021.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hanging="2"/>
        <w:spacing w:after="0" w:line="244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units shown represents the total number of shares that could have been earned for the 2021 grant of performance-vested RSUs, which is equal to actual results for previously determined metrics and the maximum number of shares that can be earned for undetermined metrics.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for performance-vested RSUs occurs upon the company achieving certain metrics over a three-year performance cycle (2021-2023 for grants in 2021 and 2022-2024 for grants in 2022).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hanging="2"/>
        <w:spacing w:after="0" w:line="244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units shown represents the total number of shares that could be earned for the 2022 grant of performance-vested RSUs based on (a) actual results for all previously determined metrics; and (b) the maximum number of shares that can be earned for undetermined metrics.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Jennie Howard, as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2" w:right="2719" w:hanging="2"/>
        <w:spacing w:after="0" w:line="327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1"/>
      </w:cols>
      <w:pgMar w:left="498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0264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2024-02-06T18:55:52Z</dcterms:created>
  <dcterms:modified xsi:type="dcterms:W3CDTF">2024-02-06T18:55:52Z</dcterms:modified>
</cp:coreProperties>
</file>