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-235585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4645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4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HOLTH KRISTIN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13135 DAIRY ASHFORD, SUITE 800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Noble Corp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NE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00" w:hanging="5"/>
        <w:spacing w:after="0" w:line="261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85"/>
        <w:spacing w:after="0"/>
        <w:tabs>
          <w:tab w:leader="none" w:pos="504" w:val="left"/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SUGAR LAND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77478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36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4,970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02/03/2023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4,970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7,200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18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(RSU) will vest one year from the date of grant. Upon vesting, the RSUs will become payable 60% in A Ordinary Shares on a 1 for 1 basis and 40% in cash based on the cash value of the underlying A Ordinary Shares on the date of vesting.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William E. Turcotte, as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02/06/2023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7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46005" TargetMode="External"/><Relationship Id="rId13" Type="http://schemas.openxmlformats.org/officeDocument/2006/relationships/hyperlink" Target="http://www.sec.gov/cgi-bin/browse-edgar?action=getcompany&amp;CIK=0001895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2023-02-06T13:31:01Z</dcterms:created>
  <dcterms:modified xsi:type="dcterms:W3CDTF">2023-02-06T13:31:01Z</dcterms:modified>
</cp:coreProperties>
</file>