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21, 2024</w:t>
      </w:r>
    </w:p>
    <w:p>
      <w:pPr>
        <w:spacing w:after="0" w:line="25"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Noble Corporation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9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98-1644664</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13135 Dairy Ashford, Suite 800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(281) 276-6100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Noble Corporation plc 2022 Long-Term Incentive Plan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(Full title of the plans)</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Jennie P. Howard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13135 Dairy Ashford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color w:val="auto"/>
        </w:rPr>
        <w:t>______________________________________________</w:t>
      </w:r>
    </w:p>
    <w:p>
      <w:pPr>
        <w:spacing w:after="0" w:line="2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3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155" w:lineRule="exact"/>
        <w:rPr>
          <w:sz w:val="24"/>
          <w:szCs w:val="24"/>
          <w:color w:val="auto"/>
        </w:rPr>
      </w:pPr>
    </w:p>
    <w:p>
      <w:pPr>
        <w:sectPr>
          <w:pgSz w:w="11900" w:h="16838" w:orient="portrait"/>
          <w:cols w:equalWidth="0" w:num="2">
            <w:col w:w="4540" w:space="720"/>
            <w:col w:w="598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400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144" w:lineRule="exact"/>
        <w:rPr>
          <w:sz w:val="24"/>
          <w:szCs w:val="24"/>
          <w:color w:val="auto"/>
        </w:rPr>
      </w:pPr>
    </w:p>
    <w:p>
      <w:pPr>
        <w:sectPr>
          <w:pgSz w:w="11900" w:h="16838" w:orient="portrait"/>
          <w:cols w:equalWidth="0" w:num="2">
            <w:col w:w="4540" w:space="720"/>
            <w:col w:w="5980"/>
          </w:cols>
          <w:pgMar w:left="320" w:top="1440" w:right="339" w:bottom="1440" w:gutter="0" w:footer="0" w:header="0"/>
          <w:type w:val="continuous"/>
        </w:sectPr>
      </w:pPr>
    </w:p>
    <w:p>
      <w:pPr>
        <w:ind w:left="5260"/>
        <w:spacing w:after="0"/>
        <w:rPr>
          <w:sz w:val="20"/>
          <w:szCs w:val="20"/>
          <w:color w:val="auto"/>
        </w:rPr>
      </w:pPr>
      <w:r>
        <w:rPr>
          <w:rFonts w:ascii="Times New Roman" w:cs="Times New Roman" w:eastAsia="Times New Roman" w:hAnsi="Times New Roman"/>
          <w:sz w:val="17"/>
          <w:szCs w:val="17"/>
          <w:color w:val="auto"/>
        </w:rPr>
        <w:t>Emerging growth company</w:t>
      </w:r>
    </w:p>
    <w:p>
      <w:pPr>
        <w:sectPr>
          <w:pgSz w:w="11900" w:h="16838" w:orient="portrait"/>
          <w:cols w:equalWidth="0" w:num="1">
            <w:col w:w="11240"/>
          </w:cols>
          <w:pgMar w:left="320" w:top="1440" w:right="339" w:bottom="1440" w:gutter="0" w:footer="0" w:header="0"/>
          <w:type w:val="continuous"/>
        </w:sectPr>
      </w:pPr>
    </w:p>
    <w:p>
      <w:pPr>
        <w:spacing w:after="0" w:line="169" w:lineRule="exact"/>
        <w:rPr>
          <w:sz w:val="24"/>
          <w:szCs w:val="24"/>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Registration Statement on Form S-8 is being filed by Noble Corporation plc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pursuant to General Instruction E to Form S-8, under the Securities Act of 1933, as amended, to register an additional 4,800,000 shares of common stock, par value $0.00001 per share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issuable under the Registrant’s 2022 Long-Term Incentive Plan (as amended, the “</w:t>
      </w:r>
      <w:r>
        <w:rPr>
          <w:rFonts w:ascii="Times New Roman" w:cs="Times New Roman" w:eastAsia="Times New Roman" w:hAnsi="Times New Roman"/>
          <w:sz w:val="18"/>
          <w:szCs w:val="18"/>
          <w:b w:val="1"/>
          <w:bCs w:val="1"/>
          <w:i w:val="1"/>
          <w:iCs w:val="1"/>
          <w:color w:val="auto"/>
        </w:rPr>
        <w:t>2022 LTIP</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Registrant’s registration statement on Form S-8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on September 30, 2022 (Registration No. </w:t>
      </w:r>
      <w:hyperlink r:id="rId12">
        <w:r>
          <w:rPr>
            <w:rFonts w:ascii="Times New Roman" w:cs="Times New Roman" w:eastAsia="Times New Roman" w:hAnsi="Times New Roman"/>
            <w:sz w:val="18"/>
            <w:szCs w:val="18"/>
            <w:u w:val="single" w:color="auto"/>
            <w:color w:val="0000FF"/>
          </w:rPr>
          <w:t>333-267698</w:t>
        </w:r>
      </w:hyperlink>
      <w:r>
        <w:rPr>
          <w:rFonts w:ascii="Times New Roman" w:cs="Times New Roman" w:eastAsia="Times New Roman" w:hAnsi="Times New Roman"/>
          <w:sz w:val="18"/>
          <w:szCs w:val="18"/>
          <w:color w:val="auto"/>
        </w:rPr>
        <w:t>), together with all exhibits filed therewith or incorporated therein by reference, are hereby incorporated by reference pursuant to General Instruction E to Form S-8, and the shares of Common Stock registered hereunder are in addition to the shares of Common Stock registered on such registration statement with respect to the 2022 LTIP.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Plan Information</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required by Part I of Form S-8 will be sent or given to employees as specified by Rule 428(b)(1)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Such documents need not be filed with the SEC either as part of this Registration Statement or as prospectuses or prospectus supplements pursuant to Rule 424 of the Securities Act. These documents and the documents incorporated by reference in this Registration Statement pursuant to Item 3 of Part II, taken together, constitute a prospectus that meets the requirements of Section 10(a) of the Securities 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0" w:type="dxa"/>
            <w:vAlign w:val="bottom"/>
            <w:gridSpan w:val="8"/>
          </w:tcPr>
          <w:p>
            <w:pPr>
              <w:jc w:val="center"/>
              <w:ind w:right="52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60" w:type="dxa"/>
            <w:vAlign w:val="bottom"/>
            <w:gridSpan w:val="11"/>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56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6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20" w:type="dxa"/>
            <w:vAlign w:val="bottom"/>
          </w:tcPr>
          <w:p>
            <w:pPr>
              <w:spacing w:after="0"/>
              <w:rPr>
                <w:sz w:val="24"/>
                <w:szCs w:val="24"/>
                <w:color w:val="auto"/>
              </w:rPr>
            </w:pPr>
          </w:p>
        </w:tc>
        <w:tc>
          <w:tcPr>
            <w:tcW w:w="1004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20" w:type="dxa"/>
            <w:vAlign w:val="bottom"/>
            <w:tcBorders>
              <w:bottom w:val="single" w:sz="8" w:color="auto"/>
            </w:tcBorders>
          </w:tcPr>
          <w:p>
            <w:pPr>
              <w:spacing w:after="0"/>
              <w:rPr>
                <w:sz w:val="18"/>
                <w:szCs w:val="18"/>
                <w:color w:val="auto"/>
              </w:rPr>
            </w:pPr>
          </w:p>
        </w:tc>
        <w:tc>
          <w:tcPr>
            <w:tcW w:w="10040" w:type="dxa"/>
            <w:vAlign w:val="bottom"/>
            <w:tcBorders>
              <w:bottom w:val="single" w:sz="8" w:color="auto"/>
            </w:tcBorders>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4"/>
                <w:szCs w:val="24"/>
                <w:color w:val="auto"/>
              </w:rPr>
            </w:pPr>
          </w:p>
        </w:tc>
        <w:tc>
          <w:tcPr>
            <w:tcW w:w="99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Amended and Restated Articles of Association of the Company, effective as of May 5, 2022 (incorporated by reference to Exhibit 3.1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12"/>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the Registrant’s Current Report on Form 8-K filed on September 30, 2022).</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2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Opinion of Travers Smith LLP.</w:t>
            </w:r>
          </w:p>
        </w:tc>
        <w:tc>
          <w:tcPr>
            <w:tcW w:w="78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6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3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6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Consent of PricewaterhouseCoopers LLP, independent registered public accounting firm.</w:t>
            </w:r>
          </w:p>
        </w:tc>
        <w:tc>
          <w:tcPr>
            <w:tcW w:w="3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23.3*</w:t>
            </w:r>
          </w:p>
        </w:tc>
        <w:tc>
          <w:tcPr>
            <w:tcW w:w="520" w:type="dxa"/>
            <w:vAlign w:val="bottom"/>
          </w:tcPr>
          <w:p>
            <w:pPr>
              <w:spacing w:after="0"/>
              <w:rPr>
                <w:sz w:val="24"/>
                <w:szCs w:val="24"/>
                <w:color w:val="auto"/>
              </w:rPr>
            </w:pPr>
          </w:p>
        </w:tc>
        <w:tc>
          <w:tcPr>
            <w:tcW w:w="4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Travers Smith LLP (included in Exhibit 5.1).</w:t>
            </w:r>
          </w:p>
        </w:tc>
        <w:tc>
          <w:tcPr>
            <w:tcW w:w="6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5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Power of Attorney (included on the signature page of this Registration Statement).</w:t>
            </w:r>
          </w:p>
        </w:tc>
        <w:tc>
          <w:tcPr>
            <w:tcW w:w="4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Noble Corporation plc 2022 Long-Term Incentive Plan (incorporated by reference to Exhibit 4.1 to the Registrant’s Registration Statement</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on Form S-8 filed on September 30, 2022).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First Amendment to the Noble Corporation plc 2022 Long-Term Incentive Plan.</w:t>
            </w:r>
          </w:p>
        </w:tc>
        <w:tc>
          <w:tcPr>
            <w:tcW w:w="0" w:type="dxa"/>
            <w:vAlign w:val="bottom"/>
          </w:tcPr>
          <w:p>
            <w:pPr>
              <w:spacing w:after="0"/>
              <w:rPr>
                <w:sz w:val="1"/>
                <w:szCs w:val="1"/>
                <w:color w:val="auto"/>
              </w:rPr>
            </w:pPr>
          </w:p>
        </w:tc>
      </w:tr>
      <w:tr>
        <w:trPr>
          <w:trHeight w:val="371"/>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5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4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Sugar Land, Texas, on this 21st day of May, 2024.</w:t>
      </w:r>
    </w:p>
    <w:p>
      <w:pPr>
        <w:spacing w:after="0" w:line="200" w:lineRule="exact"/>
        <w:rPr>
          <w:sz w:val="20"/>
          <w:szCs w:val="20"/>
          <w:color w:val="auto"/>
        </w:rPr>
      </w:pPr>
    </w:p>
    <w:p>
      <w:pPr>
        <w:spacing w:after="0" w:line="28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NOBLE CORPORATION plc</w:t>
      </w:r>
    </w:p>
    <w:p>
      <w:pPr>
        <w:spacing w:after="0" w:line="293" w:lineRule="exact"/>
        <w:rPr>
          <w:sz w:val="20"/>
          <w:szCs w:val="20"/>
          <w:color w:val="auto"/>
        </w:rPr>
      </w:pPr>
    </w:p>
    <w:tbl>
      <w:tblPr>
        <w:tblLayout w:type="fixed"/>
        <w:tblInd w:w="566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Eifler</w:t>
            </w:r>
          </w:p>
        </w:tc>
      </w:tr>
      <w:tr>
        <w:trPr>
          <w:trHeight w:val="218"/>
        </w:trPr>
        <w:tc>
          <w:tcPr>
            <w:tcW w:w="82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Robert W. Eifler</w:t>
            </w:r>
          </w:p>
        </w:tc>
      </w:tr>
      <w:tr>
        <w:trPr>
          <w:trHeight w:val="239"/>
        </w:trPr>
        <w:tc>
          <w:tcPr>
            <w:tcW w:w="8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hereby constitutes and appoints Robert 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Eifler, Richard B. Barker and Jennie Howardmade , jointly and severally, as his or her true and lawful attorney-in-fact and agent with full power of substitution, for him or her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for all intents and purposes as he might or could do in person, hereby ratifying and confirming all that said attorney-in-fact and agent, or his or her substitute, may lawfully do or cause to be done by virtue hereof.</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Signature</w:t>
            </w:r>
          </w:p>
        </w:tc>
        <w:tc>
          <w:tcPr>
            <w:tcW w:w="340" w:type="dxa"/>
            <w:vAlign w:val="bottom"/>
          </w:tcPr>
          <w:p>
            <w:pPr>
              <w:spacing w:after="0"/>
              <w:rPr>
                <w:sz w:val="18"/>
                <w:szCs w:val="18"/>
                <w:color w:val="auto"/>
              </w:rPr>
            </w:pP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280" w:type="dxa"/>
            <w:vAlign w:val="bottom"/>
          </w:tcPr>
          <w:p>
            <w:pPr>
              <w:spacing w:after="0"/>
              <w:rPr>
                <w:sz w:val="18"/>
                <w:szCs w:val="18"/>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3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Robert W. Eifler</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President and Chief Executive Officer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Robert W. Eifler</w:t>
            </w:r>
          </w:p>
        </w:tc>
        <w:tc>
          <w:tcPr>
            <w:tcW w:w="340" w:type="dxa"/>
            <w:vAlign w:val="bottom"/>
            <w:vMerge w:val="continue"/>
          </w:tcPr>
          <w:p>
            <w:pPr>
              <w:spacing w:after="0"/>
              <w:rPr>
                <w:sz w:val="11"/>
                <w:szCs w:val="11"/>
                <w:color w:val="auto"/>
              </w:rPr>
            </w:pPr>
          </w:p>
        </w:tc>
        <w:tc>
          <w:tcPr>
            <w:tcW w:w="594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Richard B. Barker</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Richard B. Barker</w:t>
            </w:r>
          </w:p>
        </w:tc>
        <w:tc>
          <w:tcPr>
            <w:tcW w:w="340" w:type="dxa"/>
            <w:vAlign w:val="bottom"/>
            <w:vMerge w:val="continue"/>
          </w:tcPr>
          <w:p>
            <w:pPr>
              <w:spacing w:after="0"/>
              <w:rPr>
                <w:sz w:val="11"/>
                <w:szCs w:val="11"/>
                <w:color w:val="auto"/>
              </w:rPr>
            </w:pPr>
          </w:p>
        </w:tc>
        <w:tc>
          <w:tcPr>
            <w:tcW w:w="594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Jennifer Yeung</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Vice President, Chief Accounting Officer and Controller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Jennifer Yeung</w:t>
            </w:r>
          </w:p>
        </w:tc>
        <w:tc>
          <w:tcPr>
            <w:tcW w:w="340" w:type="dxa"/>
            <w:vAlign w:val="bottom"/>
            <w:vMerge w:val="continue"/>
          </w:tcPr>
          <w:p>
            <w:pPr>
              <w:spacing w:after="0"/>
              <w:rPr>
                <w:sz w:val="11"/>
                <w:szCs w:val="11"/>
                <w:color w:val="auto"/>
              </w:rPr>
            </w:pPr>
          </w:p>
        </w:tc>
        <w:tc>
          <w:tcPr>
            <w:tcW w:w="594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Charles M. Sledge</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and Chairman</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Charles M. Sledge</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Claus V. Hemmingsen</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Claus V. Hemmingsen</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Alan J. Hirshberg</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Alan J. Hirshberg</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Kristin H. Holth</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Kristin H. Holth</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 Keith Jennings</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 Keith Jennings</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Alastair J. Maxwell</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Alastair J. Maxwell</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Ann D. Pickard</w:t>
            </w:r>
          </w:p>
        </w:tc>
        <w:tc>
          <w:tcPr>
            <w:tcW w:w="34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 D. Pickard</w:t>
            </w:r>
          </w:p>
        </w:tc>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Noble Corporation plc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 w:type="dxa"/>
            <w:vAlign w:val="bottom"/>
            <w:tcBorders>
              <w:top w:val="single" w:sz="8" w:color="auto"/>
              <w:right w:val="single" w:sz="8" w:color="auto"/>
            </w:tcBorders>
          </w:tcPr>
          <w:p>
            <w:pPr>
              <w:spacing w:after="0"/>
              <w:rPr>
                <w:sz w:val="16"/>
                <w:szCs w:val="16"/>
                <w:color w:val="auto"/>
              </w:rPr>
            </w:pPr>
          </w:p>
        </w:tc>
        <w:tc>
          <w:tcPr>
            <w:tcW w:w="218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2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1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tcBorders>
              <w:right w:val="single" w:sz="8" w:color="auto"/>
            </w:tcBorders>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6"/>
        </w:trPr>
        <w:tc>
          <w:tcPr>
            <w:tcW w:w="88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Security Class Title </w:t>
            </w:r>
            <w:r>
              <w:rPr>
                <w:rFonts w:ascii="Times New Roman" w:cs="Times New Roman" w:eastAsia="Times New Roman" w:hAnsi="Times New Roman"/>
                <w:sz w:val="9"/>
                <w:szCs w:val="9"/>
                <w:b w:val="1"/>
                <w:bCs w:val="1"/>
                <w:color w:val="auto"/>
              </w:rPr>
              <w:t>(1)</w:t>
            </w:r>
          </w:p>
        </w:tc>
        <w:tc>
          <w:tcPr>
            <w:tcW w:w="14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Fee Calculation Rule</w:t>
            </w:r>
          </w:p>
        </w:tc>
        <w:tc>
          <w:tcPr>
            <w:tcW w:w="12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Registered</w:t>
            </w:r>
          </w:p>
        </w:tc>
        <w:tc>
          <w:tcPr>
            <w:tcW w:w="10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2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21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1280" w:type="dxa"/>
            <w:vAlign w:val="bottom"/>
            <w:tcBorders>
              <w:bottom w:val="single" w:sz="8" w:color="auto"/>
              <w:right w:val="single" w:sz="8" w:color="auto"/>
            </w:tcBorders>
            <w:vMerge w:val="continue"/>
          </w:tcPr>
          <w:p>
            <w:pPr>
              <w:spacing w:after="0"/>
              <w:rPr>
                <w:sz w:val="17"/>
                <w:szCs w:val="17"/>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9"/>
                <w:szCs w:val="9"/>
                <w:b w:val="1"/>
                <w:bCs w:val="1"/>
                <w:color w:val="auto"/>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20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38"/>
        </w:trPr>
        <w:tc>
          <w:tcPr>
            <w:tcW w:w="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Equity</w:t>
            </w:r>
          </w:p>
        </w:tc>
        <w:tc>
          <w:tcPr>
            <w:tcW w:w="2180" w:type="dxa"/>
            <w:vAlign w:val="bottom"/>
            <w:tcBorders>
              <w:right w:val="single" w:sz="8" w:color="auto"/>
            </w:tcBorders>
          </w:tcPr>
          <w:p>
            <w:pPr>
              <w:ind w:left="40"/>
              <w:spacing w:after="0" w:line="138" w:lineRule="exact"/>
              <w:rPr>
                <w:sz w:val="20"/>
                <w:szCs w:val="20"/>
                <w:color w:val="auto"/>
              </w:rPr>
            </w:pPr>
            <w:r>
              <w:rPr>
                <w:rFonts w:ascii="Times New Roman" w:cs="Times New Roman" w:eastAsia="Times New Roman" w:hAnsi="Times New Roman"/>
                <w:sz w:val="14"/>
                <w:szCs w:val="14"/>
                <w:color w:val="auto"/>
              </w:rPr>
              <w:t>Common Shares, par value</w:t>
            </w:r>
          </w:p>
        </w:tc>
        <w:tc>
          <w:tcPr>
            <w:tcW w:w="14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Rule 457(a) (2)</w:t>
            </w:r>
          </w:p>
        </w:tc>
        <w:tc>
          <w:tcPr>
            <w:tcW w:w="128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 xml:space="preserve">4,800,000 </w:t>
            </w:r>
            <w:r>
              <w:rPr>
                <w:rFonts w:ascii="Times New Roman" w:cs="Times New Roman" w:eastAsia="Times New Roman" w:hAnsi="Times New Roman"/>
                <w:sz w:val="9"/>
                <w:szCs w:val="9"/>
                <w:color w:val="auto"/>
              </w:rPr>
              <w:t>(3)</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$46.84</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$224,832,000</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$147.60 per $1,000,000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$33,185.20</w:t>
            </w:r>
          </w:p>
        </w:tc>
        <w:tc>
          <w:tcPr>
            <w:tcW w:w="0" w:type="dxa"/>
            <w:vAlign w:val="bottom"/>
          </w:tcPr>
          <w:p>
            <w:pPr>
              <w:spacing w:after="0"/>
              <w:rPr>
                <w:sz w:val="1"/>
                <w:szCs w:val="1"/>
                <w:color w:val="auto"/>
              </w:rPr>
            </w:pPr>
          </w:p>
        </w:tc>
      </w:tr>
      <w:tr>
        <w:trPr>
          <w:trHeight w:val="193"/>
        </w:trPr>
        <w:tc>
          <w:tcPr>
            <w:tcW w:w="880" w:type="dxa"/>
            <w:vAlign w:val="bottom"/>
            <w:tcBorders>
              <w:bottom w:val="single" w:sz="8" w:color="auto"/>
              <w:right w:val="single" w:sz="8" w:color="auto"/>
            </w:tcBorders>
            <w:vMerge w:val="continue"/>
          </w:tcPr>
          <w:p>
            <w:pPr>
              <w:spacing w:after="0"/>
              <w:rPr>
                <w:sz w:val="16"/>
                <w:szCs w:val="16"/>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$0.00001 per share</w:t>
            </w:r>
          </w:p>
        </w:tc>
        <w:tc>
          <w:tcPr>
            <w:tcW w:w="144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vMerge w:val="continue"/>
          </w:tcPr>
          <w:p>
            <w:pPr>
              <w:spacing w:after="0"/>
              <w:rPr>
                <w:sz w:val="16"/>
                <w:szCs w:val="16"/>
                <w:color w:val="auto"/>
              </w:rPr>
            </w:pPr>
          </w:p>
        </w:tc>
        <w:tc>
          <w:tcPr>
            <w:tcW w:w="106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02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44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$224,832,000</w:t>
            </w:r>
          </w:p>
        </w:tc>
        <w:tc>
          <w:tcPr>
            <w:tcW w:w="20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$33,185.20</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4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2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$33,185.20</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660" w:hanging="328"/>
        <w:spacing w:after="0" w:line="241" w:lineRule="auto"/>
        <w:tabs>
          <w:tab w:leader="none" w:pos="723"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Noble Corporation plc’s (the “Registrant’s”) common stock, par value $0.00001 (the “Common Stock”), that may be issued pursuant to the Registrant’s 2022 Long-Term Incentive Plan (the “2022 LTIP”), by reason of any stock dividend, stock split, recapitalization or other similar transaction effected without the Registrant’s receipt of consideration that increases the number of the outstanding shares of the Registrant’s Common Stock.</w:t>
      </w:r>
    </w:p>
    <w:p>
      <w:pPr>
        <w:spacing w:after="0" w:line="172"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8"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Rules 457(c) and (h) of the Securities Act, and based on the average of the high and low sale prices of the Common Stock, as quoted on the New York Stock Exchange, on May 15, 2024.</w:t>
      </w:r>
    </w:p>
    <w:p>
      <w:pPr>
        <w:spacing w:after="0" w:line="12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4,800,000 additional shares of Common Stock to be registered and available for grant under the 2022 LTIP.</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Calibri" w:cs="Calibri" w:eastAsia="Calibri" w:hAnsi="Calibri"/>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145732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4573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0"/>
        <w:spacing w:after="0"/>
        <w:rPr>
          <w:sz w:val="20"/>
          <w:szCs w:val="20"/>
          <w:color w:val="auto"/>
        </w:rPr>
      </w:pPr>
      <w:r>
        <w:rPr>
          <w:rFonts w:ascii="Calibri" w:cs="Calibri" w:eastAsia="Calibri" w:hAnsi="Calibri"/>
          <w:sz w:val="16"/>
          <w:szCs w:val="16"/>
          <w:b w:val="1"/>
          <w:bCs w:val="1"/>
          <w:color w:val="auto"/>
        </w:rPr>
        <w:t xml:space="preserve">Travers Smith LLP </w:t>
      </w:r>
      <w:r>
        <w:rPr>
          <w:rFonts w:ascii="Calibri" w:cs="Calibri" w:eastAsia="Calibri" w:hAnsi="Calibri"/>
          <w:sz w:val="16"/>
          <w:szCs w:val="16"/>
          <w:color w:val="auto"/>
        </w:rPr>
        <w:t>10 Snow Hill, London, EC1A 2AL</w:t>
      </w:r>
    </w:p>
    <w:p>
      <w:pPr>
        <w:jc w:val="right"/>
        <w:ind w:right="40"/>
        <w:spacing w:after="0" w:line="232" w:lineRule="auto"/>
        <w:rPr>
          <w:sz w:val="20"/>
          <w:szCs w:val="20"/>
          <w:color w:val="auto"/>
        </w:rPr>
      </w:pPr>
      <w:r>
        <w:rPr>
          <w:rFonts w:ascii="Calibri" w:cs="Calibri" w:eastAsia="Calibri" w:hAnsi="Calibri"/>
          <w:sz w:val="16"/>
          <w:szCs w:val="16"/>
          <w:color w:val="auto"/>
        </w:rPr>
        <w:t>T: +44 (0)20 7295 3000 | www.traverssmith.com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80" w:type="dxa"/>
            <w:vAlign w:val="bottom"/>
          </w:tcPr>
          <w:p>
            <w:pPr>
              <w:spacing w:after="0"/>
              <w:rPr>
                <w:sz w:val="13"/>
                <w:szCs w:val="13"/>
                <w:color w:val="auto"/>
              </w:rPr>
            </w:pPr>
          </w:p>
        </w:tc>
        <w:tc>
          <w:tcPr>
            <w:tcW w:w="3020" w:type="dxa"/>
            <w:vAlign w:val="bottom"/>
          </w:tcPr>
          <w:p>
            <w:pPr>
              <w:ind w:left="2140"/>
              <w:spacing w:after="0"/>
              <w:rPr>
                <w:sz w:val="20"/>
                <w:szCs w:val="20"/>
                <w:color w:val="auto"/>
              </w:rPr>
            </w:pPr>
            <w:r>
              <w:rPr>
                <w:rFonts w:ascii="Calibri" w:cs="Calibri" w:eastAsia="Calibri" w:hAnsi="Calibri"/>
                <w:sz w:val="13"/>
                <w:szCs w:val="13"/>
                <w:b w:val="1"/>
                <w:bCs w:val="1"/>
                <w:color w:val="auto"/>
              </w:rPr>
              <w:t>Your ref:</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3980" w:type="dxa"/>
            <w:vAlign w:val="bottom"/>
            <w:vMerge w:val="restart"/>
          </w:tcPr>
          <w:p>
            <w:pPr>
              <w:ind w:left="20"/>
              <w:spacing w:after="0"/>
              <w:rPr>
                <w:sz w:val="20"/>
                <w:szCs w:val="20"/>
                <w:color w:val="auto"/>
              </w:rPr>
            </w:pPr>
            <w:r>
              <w:rPr>
                <w:rFonts w:ascii="Calibri" w:cs="Calibri" w:eastAsia="Calibri" w:hAnsi="Calibri"/>
                <w:sz w:val="20"/>
                <w:szCs w:val="20"/>
                <w:color w:val="auto"/>
              </w:rPr>
              <w:t>Noble Corporaton plc</w:t>
            </w:r>
          </w:p>
        </w:tc>
        <w:tc>
          <w:tcPr>
            <w:tcW w:w="3020" w:type="dxa"/>
            <w:vAlign w:val="bottom"/>
          </w:tcPr>
          <w:p>
            <w:pPr>
              <w:ind w:left="2140"/>
              <w:spacing w:after="0"/>
              <w:rPr>
                <w:sz w:val="20"/>
                <w:szCs w:val="20"/>
                <w:color w:val="auto"/>
              </w:rPr>
            </w:pPr>
            <w:r>
              <w:rPr>
                <w:rFonts w:ascii="Calibri" w:cs="Calibri" w:eastAsia="Calibri" w:hAnsi="Calibri"/>
                <w:sz w:val="13"/>
                <w:szCs w:val="13"/>
                <w:b w:val="1"/>
                <w:bCs w:val="1"/>
                <w:color w:val="auto"/>
              </w:rPr>
              <w:t>Our ref:</w:t>
            </w:r>
          </w:p>
        </w:tc>
        <w:tc>
          <w:tcPr>
            <w:tcW w:w="1680" w:type="dxa"/>
            <w:vAlign w:val="bottom"/>
          </w:tcPr>
          <w:p>
            <w:pPr>
              <w:ind w:left="320"/>
              <w:spacing w:after="0"/>
              <w:rPr>
                <w:sz w:val="20"/>
                <w:szCs w:val="20"/>
                <w:color w:val="auto"/>
              </w:rPr>
            </w:pPr>
            <w:r>
              <w:rPr>
                <w:rFonts w:ascii="Calibri" w:cs="Calibri" w:eastAsia="Calibri" w:hAnsi="Calibri"/>
                <w:sz w:val="16"/>
                <w:szCs w:val="16"/>
                <w:color w:val="auto"/>
              </w:rPr>
              <w:t>JMR/AUA</w:t>
            </w:r>
          </w:p>
        </w:tc>
        <w:tc>
          <w:tcPr>
            <w:tcW w:w="0" w:type="dxa"/>
            <w:vAlign w:val="bottom"/>
          </w:tcPr>
          <w:p>
            <w:pPr>
              <w:spacing w:after="0"/>
              <w:rPr>
                <w:sz w:val="1"/>
                <w:szCs w:val="1"/>
                <w:color w:val="auto"/>
              </w:rPr>
            </w:pPr>
          </w:p>
        </w:tc>
      </w:tr>
      <w:tr>
        <w:trPr>
          <w:trHeight w:val="125"/>
        </w:trPr>
        <w:tc>
          <w:tcPr>
            <w:tcW w:w="3980" w:type="dxa"/>
            <w:vAlign w:val="bottom"/>
            <w:vMerge w:val="continue"/>
          </w:tcPr>
          <w:p>
            <w:pPr>
              <w:spacing w:after="0"/>
              <w:rPr>
                <w:sz w:val="10"/>
                <w:szCs w:val="10"/>
                <w:color w:val="auto"/>
              </w:rPr>
            </w:pPr>
          </w:p>
        </w:tc>
        <w:tc>
          <w:tcPr>
            <w:tcW w:w="3020" w:type="dxa"/>
            <w:vAlign w:val="bottom"/>
            <w:vMerge w:val="restart"/>
          </w:tcPr>
          <w:p>
            <w:pPr>
              <w:ind w:left="2140"/>
              <w:spacing w:after="0"/>
              <w:rPr>
                <w:sz w:val="20"/>
                <w:szCs w:val="20"/>
                <w:color w:val="auto"/>
              </w:rPr>
            </w:pPr>
            <w:r>
              <w:rPr>
                <w:rFonts w:ascii="Calibri" w:cs="Calibri" w:eastAsia="Calibri" w:hAnsi="Calibri"/>
                <w:sz w:val="13"/>
                <w:szCs w:val="13"/>
                <w:b w:val="1"/>
                <w:bCs w:val="1"/>
                <w:color w:val="auto"/>
              </w:rPr>
              <w:t>Doc ID:</w:t>
            </w:r>
          </w:p>
        </w:tc>
        <w:tc>
          <w:tcPr>
            <w:tcW w:w="1680" w:type="dxa"/>
            <w:vAlign w:val="bottom"/>
            <w:vMerge w:val="restart"/>
          </w:tcPr>
          <w:p>
            <w:pPr>
              <w:ind w:left="320"/>
              <w:spacing w:after="0"/>
              <w:rPr>
                <w:sz w:val="20"/>
                <w:szCs w:val="20"/>
                <w:color w:val="auto"/>
              </w:rPr>
            </w:pPr>
            <w:r>
              <w:rPr>
                <w:rFonts w:ascii="Calibri" w:cs="Calibri" w:eastAsia="Calibri" w:hAnsi="Calibri"/>
                <w:sz w:val="16"/>
                <w:szCs w:val="16"/>
                <w:color w:val="auto"/>
              </w:rPr>
              <w:t>4129-6377-4527</w:t>
            </w:r>
          </w:p>
        </w:tc>
        <w:tc>
          <w:tcPr>
            <w:tcW w:w="0" w:type="dxa"/>
            <w:vAlign w:val="bottom"/>
          </w:tcPr>
          <w:p>
            <w:pPr>
              <w:spacing w:after="0"/>
              <w:rPr>
                <w:sz w:val="1"/>
                <w:szCs w:val="1"/>
                <w:color w:val="auto"/>
              </w:rPr>
            </w:pPr>
          </w:p>
        </w:tc>
      </w:tr>
      <w:tr>
        <w:trPr>
          <w:trHeight w:val="108"/>
        </w:trPr>
        <w:tc>
          <w:tcPr>
            <w:tcW w:w="3980" w:type="dxa"/>
            <w:vAlign w:val="bottom"/>
            <w:vMerge w:val="restart"/>
          </w:tcPr>
          <w:p>
            <w:pPr>
              <w:ind w:left="20"/>
              <w:spacing w:after="0" w:line="234" w:lineRule="exact"/>
              <w:rPr>
                <w:sz w:val="20"/>
                <w:szCs w:val="20"/>
                <w:color w:val="auto"/>
              </w:rPr>
            </w:pPr>
            <w:r>
              <w:rPr>
                <w:rFonts w:ascii="Calibri" w:cs="Calibri" w:eastAsia="Calibri" w:hAnsi="Calibri"/>
                <w:sz w:val="20"/>
                <w:szCs w:val="20"/>
                <w:color w:val="auto"/>
              </w:rPr>
              <w:t>3rd Floor</w:t>
            </w:r>
          </w:p>
        </w:tc>
        <w:tc>
          <w:tcPr>
            <w:tcW w:w="3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8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980" w:type="dxa"/>
            <w:vAlign w:val="bottom"/>
            <w:vMerge w:val="restart"/>
          </w:tcPr>
          <w:p>
            <w:pPr>
              <w:ind w:left="20"/>
              <w:spacing w:after="0" w:line="239" w:lineRule="exact"/>
              <w:rPr>
                <w:sz w:val="20"/>
                <w:szCs w:val="20"/>
                <w:color w:val="auto"/>
              </w:rPr>
            </w:pPr>
            <w:r>
              <w:rPr>
                <w:rFonts w:ascii="Calibri" w:cs="Calibri" w:eastAsia="Calibri" w:hAnsi="Calibri"/>
                <w:sz w:val="20"/>
                <w:szCs w:val="20"/>
                <w:color w:val="auto"/>
              </w:rPr>
              <w:t>1 Ashley Road</w:t>
            </w:r>
          </w:p>
        </w:tc>
        <w:tc>
          <w:tcPr>
            <w:tcW w:w="3020" w:type="dxa"/>
            <w:vAlign w:val="bottom"/>
          </w:tcPr>
          <w:p>
            <w:pPr>
              <w:ind w:left="2140"/>
              <w:spacing w:after="0" w:line="158" w:lineRule="exact"/>
              <w:rPr>
                <w:sz w:val="20"/>
                <w:szCs w:val="20"/>
                <w:color w:val="auto"/>
              </w:rPr>
            </w:pPr>
            <w:r>
              <w:rPr>
                <w:rFonts w:ascii="Calibri" w:cs="Calibri" w:eastAsia="Calibri" w:hAnsi="Calibri"/>
                <w:sz w:val="13"/>
                <w:szCs w:val="13"/>
                <w:b w:val="1"/>
                <w:bCs w:val="1"/>
                <w:color w:val="auto"/>
              </w:rPr>
              <w:t>Direct line:</w:t>
            </w:r>
          </w:p>
        </w:tc>
        <w:tc>
          <w:tcPr>
            <w:tcW w:w="1680" w:type="dxa"/>
            <w:vAlign w:val="bottom"/>
            <w:vMerge w:val="restart"/>
          </w:tcPr>
          <w:p>
            <w:pPr>
              <w:ind w:left="320"/>
              <w:spacing w:after="0"/>
              <w:rPr>
                <w:sz w:val="20"/>
                <w:szCs w:val="20"/>
                <w:color w:val="auto"/>
              </w:rPr>
            </w:pPr>
            <w:r>
              <w:rPr>
                <w:rFonts w:ascii="Calibri" w:cs="Calibri" w:eastAsia="Calibri" w:hAnsi="Calibri"/>
                <w:sz w:val="16"/>
                <w:szCs w:val="16"/>
                <w:color w:val="auto"/>
                <w:w w:val="99"/>
              </w:rPr>
              <w:t>+44 (0)20 7295 3413</w:t>
            </w:r>
          </w:p>
        </w:tc>
        <w:tc>
          <w:tcPr>
            <w:tcW w:w="0" w:type="dxa"/>
            <w:vAlign w:val="bottom"/>
          </w:tcPr>
          <w:p>
            <w:pPr>
              <w:spacing w:after="0"/>
              <w:rPr>
                <w:sz w:val="1"/>
                <w:szCs w:val="1"/>
                <w:color w:val="auto"/>
              </w:rPr>
            </w:pPr>
          </w:p>
        </w:tc>
      </w:tr>
      <w:tr>
        <w:trPr>
          <w:trHeight w:val="81"/>
        </w:trPr>
        <w:tc>
          <w:tcPr>
            <w:tcW w:w="3980" w:type="dxa"/>
            <w:vAlign w:val="bottom"/>
            <w:vMerge w:val="continue"/>
          </w:tcPr>
          <w:p>
            <w:pPr>
              <w:spacing w:after="0"/>
              <w:rPr>
                <w:sz w:val="7"/>
                <w:szCs w:val="7"/>
                <w:color w:val="auto"/>
              </w:rPr>
            </w:pPr>
          </w:p>
        </w:tc>
        <w:tc>
          <w:tcPr>
            <w:tcW w:w="30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line="234" w:lineRule="exact"/>
              <w:rPr>
                <w:sz w:val="20"/>
                <w:szCs w:val="20"/>
                <w:color w:val="auto"/>
              </w:rPr>
            </w:pPr>
            <w:r>
              <w:rPr>
                <w:rFonts w:ascii="Calibri" w:cs="Calibri" w:eastAsia="Calibri" w:hAnsi="Calibri"/>
                <w:sz w:val="20"/>
                <w:szCs w:val="20"/>
                <w:color w:val="auto"/>
              </w:rPr>
              <w:t>Altrincham</w:t>
            </w:r>
          </w:p>
        </w:tc>
        <w:tc>
          <w:tcPr>
            <w:tcW w:w="3020" w:type="dxa"/>
            <w:vAlign w:val="bottom"/>
          </w:tcPr>
          <w:p>
            <w:pPr>
              <w:ind w:left="2140"/>
              <w:spacing w:after="0"/>
              <w:rPr>
                <w:sz w:val="20"/>
                <w:szCs w:val="20"/>
                <w:color w:val="auto"/>
              </w:rPr>
            </w:pPr>
            <w:r>
              <w:rPr>
                <w:rFonts w:ascii="Calibri" w:cs="Calibri" w:eastAsia="Calibri" w:hAnsi="Calibri"/>
                <w:sz w:val="13"/>
                <w:szCs w:val="13"/>
                <w:b w:val="1"/>
                <w:bCs w:val="1"/>
                <w:color w:val="auto"/>
              </w:rPr>
              <w:t>Email:</w:t>
            </w:r>
          </w:p>
        </w:tc>
        <w:tc>
          <w:tcPr>
            <w:tcW w:w="1680" w:type="dxa"/>
            <w:vAlign w:val="bottom"/>
          </w:tcPr>
          <w:p>
            <w:pPr>
              <w:ind w:left="320"/>
              <w:spacing w:after="0"/>
              <w:rPr>
                <w:sz w:val="20"/>
                <w:szCs w:val="20"/>
                <w:color w:val="auto"/>
              </w:rPr>
            </w:pPr>
            <w:r>
              <w:rPr>
                <w:rFonts w:ascii="Calibri" w:cs="Calibri" w:eastAsia="Calibri" w:hAnsi="Calibri"/>
                <w:sz w:val="16"/>
                <w:szCs w:val="16"/>
                <w:color w:val="auto"/>
              </w:rPr>
              <w:t>jon.reddington</w:t>
            </w:r>
          </w:p>
        </w:tc>
        <w:tc>
          <w:tcPr>
            <w:tcW w:w="0" w:type="dxa"/>
            <w:vAlign w:val="bottom"/>
          </w:tcPr>
          <w:p>
            <w:pPr>
              <w:spacing w:after="0"/>
              <w:rPr>
                <w:sz w:val="1"/>
                <w:szCs w:val="1"/>
                <w:color w:val="auto"/>
              </w:rPr>
            </w:pPr>
          </w:p>
        </w:tc>
      </w:tr>
      <w:tr>
        <w:trPr>
          <w:trHeight w:val="234"/>
        </w:trPr>
        <w:tc>
          <w:tcPr>
            <w:tcW w:w="3980" w:type="dxa"/>
            <w:vAlign w:val="bottom"/>
          </w:tcPr>
          <w:p>
            <w:pPr>
              <w:ind w:left="20"/>
              <w:spacing w:after="0" w:line="234" w:lineRule="exact"/>
              <w:rPr>
                <w:sz w:val="20"/>
                <w:szCs w:val="20"/>
                <w:color w:val="auto"/>
              </w:rPr>
            </w:pPr>
            <w:r>
              <w:rPr>
                <w:rFonts w:ascii="Calibri" w:cs="Calibri" w:eastAsia="Calibri" w:hAnsi="Calibri"/>
                <w:sz w:val="20"/>
                <w:szCs w:val="20"/>
                <w:color w:val="auto"/>
              </w:rPr>
              <w:t>WA14 2DT</w:t>
            </w:r>
          </w:p>
        </w:tc>
        <w:tc>
          <w:tcPr>
            <w:tcW w:w="3020" w:type="dxa"/>
            <w:vAlign w:val="bottom"/>
          </w:tcPr>
          <w:p>
            <w:pPr>
              <w:spacing w:after="0"/>
              <w:rPr>
                <w:sz w:val="20"/>
                <w:szCs w:val="20"/>
                <w:color w:val="auto"/>
              </w:rPr>
            </w:pPr>
          </w:p>
        </w:tc>
        <w:tc>
          <w:tcPr>
            <w:tcW w:w="1680" w:type="dxa"/>
            <w:vAlign w:val="bottom"/>
          </w:tcPr>
          <w:p>
            <w:pPr>
              <w:ind w:left="320"/>
              <w:spacing w:after="0"/>
              <w:rPr>
                <w:sz w:val="20"/>
                <w:szCs w:val="20"/>
                <w:color w:val="auto"/>
              </w:rPr>
            </w:pPr>
            <w:r>
              <w:rPr>
                <w:rFonts w:ascii="Calibri" w:cs="Calibri" w:eastAsia="Calibri" w:hAnsi="Calibri"/>
                <w:sz w:val="16"/>
                <w:szCs w:val="16"/>
                <w:color w:val="auto"/>
              </w:rPr>
              <w:t>@traverssmith.com</w:t>
            </w:r>
          </w:p>
        </w:tc>
        <w:tc>
          <w:tcPr>
            <w:tcW w:w="0" w:type="dxa"/>
            <w:vAlign w:val="bottom"/>
          </w:tcPr>
          <w:p>
            <w:pPr>
              <w:spacing w:after="0"/>
              <w:rPr>
                <w:sz w:val="1"/>
                <w:szCs w:val="1"/>
                <w:color w:val="auto"/>
              </w:rPr>
            </w:pPr>
          </w:p>
        </w:tc>
      </w:tr>
      <w:tr>
        <w:trPr>
          <w:trHeight w:val="783"/>
        </w:trPr>
        <w:tc>
          <w:tcPr>
            <w:tcW w:w="3980" w:type="dxa"/>
            <w:vAlign w:val="bottom"/>
          </w:tcPr>
          <w:p>
            <w:pPr>
              <w:spacing w:after="0"/>
              <w:rPr>
                <w:sz w:val="20"/>
                <w:szCs w:val="20"/>
                <w:color w:val="auto"/>
              </w:rPr>
            </w:pPr>
            <w:r>
              <w:rPr>
                <w:rFonts w:ascii="Calibri" w:cs="Calibri" w:eastAsia="Calibri" w:hAnsi="Calibri"/>
                <w:sz w:val="20"/>
                <w:szCs w:val="20"/>
                <w:color w:val="auto"/>
              </w:rPr>
              <w:t>21 May 2024</w:t>
            </w:r>
          </w:p>
        </w:tc>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color w:val="auto"/>
        </w:rPr>
        <w:t>Dear Sir/Madam</w:t>
      </w:r>
    </w:p>
    <w:p>
      <w:pPr>
        <w:spacing w:after="0" w:line="238" w:lineRule="exact"/>
        <w:rPr>
          <w:sz w:val="20"/>
          <w:szCs w:val="20"/>
          <w:color w:val="auto"/>
        </w:rPr>
      </w:pPr>
    </w:p>
    <w:p>
      <w:pPr>
        <w:ind w:right="160"/>
        <w:spacing w:after="0" w:line="269" w:lineRule="auto"/>
        <w:rPr>
          <w:sz w:val="20"/>
          <w:szCs w:val="20"/>
          <w:color w:val="auto"/>
        </w:rPr>
      </w:pPr>
      <w:r>
        <w:rPr>
          <w:rFonts w:ascii="Calibri" w:cs="Calibri" w:eastAsia="Calibri" w:hAnsi="Calibri"/>
          <w:sz w:val="20"/>
          <w:szCs w:val="20"/>
          <w:b w:val="1"/>
          <w:bCs w:val="1"/>
          <w:color w:val="auto"/>
        </w:rPr>
        <w:t>Legal opinion regarding shares of Noble Corporaton plc in connecton with the Registraton Statement on Form S-8 (Registraton No. 333-181204) (the "Registraton Statement") to be fled with the United States Securites and Exchange Commission ("SEC")</w:t>
      </w:r>
    </w:p>
    <w:p>
      <w:pPr>
        <w:spacing w:after="0" w:line="199" w:lineRule="exact"/>
        <w:rPr>
          <w:sz w:val="20"/>
          <w:szCs w:val="20"/>
          <w:color w:val="auto"/>
        </w:rPr>
      </w:pPr>
    </w:p>
    <w:p>
      <w:pPr>
        <w:ind w:left="780"/>
        <w:spacing w:after="0"/>
        <w:rPr>
          <w:sz w:val="20"/>
          <w:szCs w:val="20"/>
          <w:color w:val="auto"/>
        </w:rPr>
      </w:pPr>
      <w:r>
        <w:rPr>
          <w:rFonts w:ascii="Calibri" w:cs="Calibri" w:eastAsia="Calibri" w:hAnsi="Calibri"/>
          <w:sz w:val="20"/>
          <w:szCs w:val="20"/>
          <w:b w:val="1"/>
          <w:bCs w:val="1"/>
          <w:color w:val="auto"/>
        </w:rPr>
        <w:t>Introducton</w:t>
      </w:r>
    </w:p>
    <w:p>
      <w:pPr>
        <w:spacing w:after="0" w:line="238" w:lineRule="exact"/>
        <w:rPr>
          <w:sz w:val="20"/>
          <w:szCs w:val="20"/>
          <w:color w:val="auto"/>
        </w:rPr>
      </w:pPr>
    </w:p>
    <w:p>
      <w:pPr>
        <w:ind w:left="780" w:right="200" w:hanging="772"/>
        <w:spacing w:after="0" w:line="255" w:lineRule="auto"/>
        <w:tabs>
          <w:tab w:leader="none" w:pos="778" w:val="left"/>
        </w:tabs>
        <w:numPr>
          <w:ilvl w:val="0"/>
          <w:numId w:val="2"/>
        </w:numPr>
        <w:rPr>
          <w:rFonts w:ascii="Calibri" w:cs="Calibri" w:eastAsia="Calibri" w:hAnsi="Calibri"/>
          <w:sz w:val="20"/>
          <w:szCs w:val="20"/>
          <w:b w:val="1"/>
          <w:bCs w:val="1"/>
          <w:color w:val="auto"/>
        </w:rPr>
      </w:pPr>
      <w:r>
        <w:rPr>
          <w:rFonts w:ascii="Calibri" w:cs="Calibri" w:eastAsia="Calibri" w:hAnsi="Calibri"/>
          <w:sz w:val="20"/>
          <w:szCs w:val="20"/>
          <w:color w:val="auto"/>
        </w:rPr>
        <w:t>We are actng as advisers as to English law to Noble Corporaton plc, a public limited company incorporated under the laws of England and Wales with registered number 12958050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w:t>
      </w:r>
    </w:p>
    <w:p>
      <w:pPr>
        <w:spacing w:after="0" w:line="223" w:lineRule="exact"/>
        <w:rPr>
          <w:rFonts w:ascii="Calibri" w:cs="Calibri" w:eastAsia="Calibri" w:hAnsi="Calibri"/>
          <w:sz w:val="20"/>
          <w:szCs w:val="20"/>
          <w:b w:val="1"/>
          <w:bCs w:val="1"/>
          <w:color w:val="auto"/>
        </w:rPr>
      </w:pPr>
    </w:p>
    <w:p>
      <w:pPr>
        <w:ind w:left="780" w:right="80" w:hanging="772"/>
        <w:spacing w:after="0" w:line="267" w:lineRule="auto"/>
        <w:tabs>
          <w:tab w:leader="none" w:pos="778" w:val="left"/>
        </w:tabs>
        <w:numPr>
          <w:ilvl w:val="0"/>
          <w:numId w:val="2"/>
        </w:numPr>
        <w:rPr>
          <w:rFonts w:ascii="Calibri" w:cs="Calibri" w:eastAsia="Calibri" w:hAnsi="Calibri"/>
          <w:sz w:val="20"/>
          <w:szCs w:val="20"/>
          <w:b w:val="1"/>
          <w:bCs w:val="1"/>
          <w:color w:val="auto"/>
        </w:rPr>
      </w:pPr>
      <w:r>
        <w:rPr>
          <w:rFonts w:ascii="Calibri" w:cs="Calibri" w:eastAsia="Calibri" w:hAnsi="Calibri"/>
          <w:sz w:val="20"/>
          <w:szCs w:val="20"/>
          <w:color w:val="auto"/>
        </w:rPr>
        <w:t>We understand that the Company intends to fle, on or around the date hereof, the Registraton Statement with the SEC. As described in the Registraton Statement, we understand that the Company may propose to issue A ordinary shares of $0.00001 each in the Company pursuant to the Noble Corporaton plc 2022 Long-Term Incentve Plan (as amended at the Company's</w:t>
      </w:r>
    </w:p>
    <w:p>
      <w:pPr>
        <w:spacing w:after="0" w:line="8" w:lineRule="exact"/>
        <w:rPr>
          <w:rFonts w:ascii="Calibri" w:cs="Calibri" w:eastAsia="Calibri" w:hAnsi="Calibri"/>
          <w:sz w:val="20"/>
          <w:szCs w:val="20"/>
          <w:b w:val="1"/>
          <w:bCs w:val="1"/>
          <w:color w:val="auto"/>
        </w:rPr>
      </w:pPr>
    </w:p>
    <w:p>
      <w:pPr>
        <w:ind w:left="780" w:right="100"/>
        <w:spacing w:after="0" w:line="269" w:lineRule="auto"/>
        <w:rPr>
          <w:rFonts w:ascii="Calibri" w:cs="Calibri" w:eastAsia="Calibri" w:hAnsi="Calibri"/>
          <w:sz w:val="20"/>
          <w:szCs w:val="20"/>
          <w:b w:val="1"/>
          <w:bCs w:val="1"/>
          <w:color w:val="auto"/>
        </w:rPr>
      </w:pPr>
      <w:r>
        <w:rPr>
          <w:rFonts w:ascii="Calibri" w:cs="Calibri" w:eastAsia="Calibri" w:hAnsi="Calibri"/>
          <w:sz w:val="20"/>
          <w:szCs w:val="20"/>
          <w:color w:val="auto"/>
        </w:rPr>
        <w:t>2024 Annual General Meetng) (the "</w:t>
      </w:r>
      <w:r>
        <w:rPr>
          <w:rFonts w:ascii="Calibri" w:cs="Calibri" w:eastAsia="Calibri" w:hAnsi="Calibri"/>
          <w:sz w:val="20"/>
          <w:szCs w:val="20"/>
          <w:b w:val="1"/>
          <w:bCs w:val="1"/>
          <w:color w:val="auto"/>
        </w:rPr>
        <w:t>Plan</w:t>
      </w:r>
      <w:r>
        <w:rPr>
          <w:rFonts w:ascii="Calibri" w:cs="Calibri" w:eastAsia="Calibri" w:hAnsi="Calibri"/>
          <w:sz w:val="20"/>
          <w:szCs w:val="20"/>
          <w:color w:val="auto"/>
        </w:rPr>
        <w:t>"). We have been asked to provide an opinion on certain maters, as set out below, in connecton with the fling of the Registraton Statement.</w:t>
      </w:r>
    </w:p>
    <w:p>
      <w:pPr>
        <w:spacing w:after="0" w:line="199" w:lineRule="exact"/>
        <w:rPr>
          <w:rFonts w:ascii="Calibri" w:cs="Calibri" w:eastAsia="Calibri" w:hAnsi="Calibri"/>
          <w:sz w:val="20"/>
          <w:szCs w:val="20"/>
          <w:b w:val="1"/>
          <w:bCs w:val="1"/>
          <w:color w:val="auto"/>
        </w:rPr>
      </w:pPr>
    </w:p>
    <w:p>
      <w:pPr>
        <w:ind w:left="7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Documents reviewed</w:t>
      </w:r>
    </w:p>
    <w:p>
      <w:pPr>
        <w:spacing w:after="0" w:line="238" w:lineRule="exact"/>
        <w:rPr>
          <w:rFonts w:ascii="Calibri" w:cs="Calibri" w:eastAsia="Calibri" w:hAnsi="Calibri"/>
          <w:sz w:val="20"/>
          <w:szCs w:val="20"/>
          <w:b w:val="1"/>
          <w:bCs w:val="1"/>
          <w:color w:val="auto"/>
        </w:rPr>
      </w:pPr>
    </w:p>
    <w:p>
      <w:pPr>
        <w:ind w:left="780" w:right="120" w:hanging="772"/>
        <w:spacing w:after="0" w:line="255" w:lineRule="auto"/>
        <w:tabs>
          <w:tab w:leader="none" w:pos="778" w:val="left"/>
        </w:tabs>
        <w:numPr>
          <w:ilvl w:val="0"/>
          <w:numId w:val="2"/>
        </w:numPr>
        <w:rPr>
          <w:rFonts w:ascii="Calibri" w:cs="Calibri" w:eastAsia="Calibri" w:hAnsi="Calibri"/>
          <w:sz w:val="20"/>
          <w:szCs w:val="20"/>
          <w:b w:val="1"/>
          <w:bCs w:val="1"/>
          <w:color w:val="auto"/>
        </w:rPr>
      </w:pPr>
      <w:r>
        <w:rPr>
          <w:rFonts w:ascii="Calibri" w:cs="Calibri" w:eastAsia="Calibri" w:hAnsi="Calibri"/>
          <w:sz w:val="20"/>
          <w:szCs w:val="20"/>
          <w:color w:val="auto"/>
        </w:rPr>
        <w:t>We have examined the documents listed in Schedule 3 to this opinion. Terms defned in the Schedules have the same meaning where used in this opinion.</w:t>
      </w:r>
    </w:p>
    <w:p>
      <w:pPr>
        <w:spacing w:after="0" w:line="214" w:lineRule="exact"/>
        <w:rPr>
          <w:rFonts w:ascii="Calibri" w:cs="Calibri" w:eastAsia="Calibri" w:hAnsi="Calibri"/>
          <w:sz w:val="20"/>
          <w:szCs w:val="20"/>
          <w:b w:val="1"/>
          <w:bCs w:val="1"/>
          <w:color w:val="auto"/>
        </w:rPr>
      </w:pPr>
    </w:p>
    <w:p>
      <w:pPr>
        <w:ind w:left="7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Nature of opinion and observatons</w:t>
      </w:r>
    </w:p>
    <w:p>
      <w:pPr>
        <w:spacing w:after="0" w:line="238" w:lineRule="exact"/>
        <w:rPr>
          <w:rFonts w:ascii="Calibri" w:cs="Calibri" w:eastAsia="Calibri" w:hAnsi="Calibri"/>
          <w:sz w:val="20"/>
          <w:szCs w:val="20"/>
          <w:b w:val="1"/>
          <w:bCs w:val="1"/>
          <w:color w:val="auto"/>
        </w:rPr>
      </w:pPr>
    </w:p>
    <w:p>
      <w:pPr>
        <w:ind w:left="780" w:hanging="772"/>
        <w:spacing w:after="0" w:line="269" w:lineRule="auto"/>
        <w:tabs>
          <w:tab w:leader="none" w:pos="778" w:val="left"/>
        </w:tabs>
        <w:numPr>
          <w:ilvl w:val="0"/>
          <w:numId w:val="2"/>
        </w:numPr>
        <w:rPr>
          <w:rFonts w:ascii="Calibri" w:cs="Calibri" w:eastAsia="Calibri" w:hAnsi="Calibri"/>
          <w:sz w:val="20"/>
          <w:szCs w:val="20"/>
          <w:b w:val="1"/>
          <w:bCs w:val="1"/>
          <w:color w:val="auto"/>
        </w:rPr>
      </w:pPr>
      <w:r>
        <w:rPr>
          <w:rFonts w:ascii="Calibri" w:cs="Calibri" w:eastAsia="Calibri" w:hAnsi="Calibri"/>
          <w:sz w:val="20"/>
          <w:szCs w:val="20"/>
          <w:color w:val="auto"/>
        </w:rPr>
        <w:t>This opinion is confned to maters of English law (including case law) in force as at the date of this opinion. We express no opinion with regard to any system of law other than the laws of England as currently applied by the English courts. In partcular: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123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right="100"/>
        <w:spacing w:after="0" w:line="210" w:lineRule="auto"/>
        <w:rPr>
          <w:sz w:val="20"/>
          <w:szCs w:val="20"/>
          <w:color w:val="auto"/>
        </w:rPr>
      </w:pPr>
      <w:r>
        <w:rPr>
          <w:rFonts w:ascii="Calibri" w:cs="Calibri" w:eastAsia="Calibri" w:hAnsi="Calibri"/>
          <w:sz w:val="11"/>
          <w:szCs w:val="11"/>
          <w:color w:val="auto"/>
        </w:rPr>
        <w:t>Travers Smith LLP is a limited liability partnership registered in England and Wales under number OC 336962 and is authorised and regulated by the Solicitors Regulaton Authority (SRA number 489478). A list of the members of Travers Smith LLP is open to inspecton at our registered ofce and principal place of business: 10 Snow Hill London EC1A 2AL</w:t>
      </w:r>
    </w:p>
    <w:p>
      <w:pPr>
        <w:sectPr>
          <w:pgSz w:w="11900" w:h="16838" w:orient="portrait"/>
          <w:cols w:equalWidth="0" w:num="1">
            <w:col w:w="11240"/>
          </w:cols>
          <w:pgMar w:left="320" w:top="117"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52" w:right="300" w:hanging="765"/>
        <w:spacing w:after="0" w:line="255" w:lineRule="auto"/>
        <w:tabs>
          <w:tab w:leader="none" w:pos="732" w:val="left"/>
        </w:tabs>
        <w:rPr>
          <w:sz w:val="20"/>
          <w:szCs w:val="20"/>
          <w:color w:val="auto"/>
        </w:rPr>
      </w:pPr>
      <w:r>
        <w:rPr>
          <w:rFonts w:ascii="Calibri" w:cs="Calibri" w:eastAsia="Calibri" w:hAnsi="Calibri"/>
          <w:sz w:val="20"/>
          <w:szCs w:val="20"/>
          <w:b w:val="1"/>
          <w:bCs w:val="1"/>
          <w:color w:val="auto"/>
        </w:rPr>
        <w:t>4.1</w:t>
      </w:r>
      <w:r>
        <w:rPr>
          <w:sz w:val="20"/>
          <w:szCs w:val="20"/>
          <w:color w:val="auto"/>
        </w:rPr>
        <w:tab/>
      </w:r>
      <w:r>
        <w:rPr>
          <w:rFonts w:ascii="Calibri" w:cs="Calibri" w:eastAsia="Calibri" w:hAnsi="Calibri"/>
          <w:sz w:val="20"/>
          <w:szCs w:val="20"/>
          <w:color w:val="auto"/>
        </w:rPr>
        <w:t>by giving this opinion, we do not assume any obligaton to notfy you of future changes in law which may afect the opinions expressed in this opinion, or otherwise to update this opinion in any respect;</w:t>
      </w:r>
    </w:p>
    <w:p>
      <w:pPr>
        <w:spacing w:after="0" w:line="237" w:lineRule="exact"/>
        <w:rPr>
          <w:sz w:val="20"/>
          <w:szCs w:val="20"/>
          <w:color w:val="auto"/>
        </w:rPr>
      </w:pPr>
    </w:p>
    <w:p>
      <w:pPr>
        <w:ind w:left="752" w:right="560" w:hanging="765"/>
        <w:spacing w:after="0" w:line="255" w:lineRule="auto"/>
        <w:tabs>
          <w:tab w:leader="none" w:pos="732" w:val="left"/>
        </w:tabs>
        <w:rPr>
          <w:sz w:val="20"/>
          <w:szCs w:val="20"/>
          <w:color w:val="auto"/>
        </w:rPr>
      </w:pPr>
      <w:r>
        <w:rPr>
          <w:rFonts w:ascii="Calibri" w:cs="Calibri" w:eastAsia="Calibri" w:hAnsi="Calibri"/>
          <w:sz w:val="20"/>
          <w:szCs w:val="20"/>
          <w:b w:val="1"/>
          <w:bCs w:val="1"/>
          <w:color w:val="auto"/>
        </w:rPr>
        <w:t>4.2</w:t>
      </w:r>
      <w:r>
        <w:rPr>
          <w:sz w:val="20"/>
          <w:szCs w:val="20"/>
          <w:color w:val="auto"/>
        </w:rPr>
        <w:tab/>
      </w:r>
      <w:r>
        <w:rPr>
          <w:rFonts w:ascii="Calibri" w:cs="Calibri" w:eastAsia="Calibri" w:hAnsi="Calibri"/>
          <w:sz w:val="20"/>
          <w:szCs w:val="20"/>
          <w:color w:val="auto"/>
        </w:rPr>
        <w:t>to the extent that the laws of any other jurisdicton may be relevant, our opinion is subject to the efect of such laws. We express no views in this opinion on the validity of the maters set out in any opinion given in relaton to such laws;</w:t>
      </w:r>
    </w:p>
    <w:p>
      <w:pPr>
        <w:spacing w:after="0" w:line="224" w:lineRule="exact"/>
        <w:rPr>
          <w:sz w:val="20"/>
          <w:szCs w:val="20"/>
          <w:color w:val="auto"/>
        </w:rPr>
      </w:pPr>
    </w:p>
    <w:p>
      <w:pPr>
        <w:ind w:left="752" w:right="540" w:hanging="765"/>
        <w:spacing w:after="0" w:line="255" w:lineRule="auto"/>
        <w:tabs>
          <w:tab w:leader="none" w:pos="732" w:val="left"/>
        </w:tabs>
        <w:rPr>
          <w:sz w:val="20"/>
          <w:szCs w:val="20"/>
          <w:color w:val="auto"/>
        </w:rPr>
      </w:pPr>
      <w:r>
        <w:rPr>
          <w:rFonts w:ascii="Calibri" w:cs="Calibri" w:eastAsia="Calibri" w:hAnsi="Calibri"/>
          <w:sz w:val="20"/>
          <w:szCs w:val="20"/>
          <w:b w:val="1"/>
          <w:bCs w:val="1"/>
          <w:color w:val="auto"/>
        </w:rPr>
        <w:t>4.3</w:t>
      </w:r>
      <w:r>
        <w:rPr>
          <w:sz w:val="20"/>
          <w:szCs w:val="20"/>
          <w:color w:val="auto"/>
        </w:rPr>
        <w:tab/>
      </w:r>
      <w:r>
        <w:rPr>
          <w:rFonts w:ascii="Calibri" w:cs="Calibri" w:eastAsia="Calibri" w:hAnsi="Calibri"/>
          <w:sz w:val="20"/>
          <w:szCs w:val="20"/>
          <w:color w:val="auto"/>
        </w:rPr>
        <w:t>we have not been responsible for verifying whether statements of fact (including foreign law), opinion or intenton in any documents referred to in this opinion or in any related documents are accurate, complete or reasonable; and</w:t>
      </w:r>
    </w:p>
    <w:p>
      <w:pPr>
        <w:spacing w:after="0" w:line="224" w:lineRule="exact"/>
        <w:rPr>
          <w:sz w:val="20"/>
          <w:szCs w:val="20"/>
          <w:color w:val="auto"/>
        </w:rPr>
      </w:pPr>
    </w:p>
    <w:p>
      <w:pPr>
        <w:ind w:left="752" w:right="60" w:hanging="765"/>
        <w:spacing w:after="0" w:line="269" w:lineRule="auto"/>
        <w:tabs>
          <w:tab w:leader="none" w:pos="732" w:val="left"/>
        </w:tabs>
        <w:rPr>
          <w:sz w:val="20"/>
          <w:szCs w:val="20"/>
          <w:color w:val="auto"/>
        </w:rPr>
      </w:pPr>
      <w:r>
        <w:rPr>
          <w:rFonts w:ascii="Calibri" w:cs="Calibri" w:eastAsia="Calibri" w:hAnsi="Calibri"/>
          <w:sz w:val="20"/>
          <w:szCs w:val="20"/>
          <w:b w:val="1"/>
          <w:bCs w:val="1"/>
          <w:color w:val="auto"/>
        </w:rPr>
        <w:t>4.4</w:t>
      </w:r>
      <w:r>
        <w:rPr>
          <w:sz w:val="20"/>
          <w:szCs w:val="20"/>
          <w:color w:val="auto"/>
        </w:rPr>
        <w:tab/>
      </w:r>
      <w:r>
        <w:rPr>
          <w:rFonts w:ascii="Calibri" w:cs="Calibri" w:eastAsia="Calibri" w:hAnsi="Calibri"/>
          <w:sz w:val="20"/>
          <w:szCs w:val="20"/>
          <w:color w:val="auto"/>
        </w:rPr>
        <w:t>the term 'non-assessable' has no recognised meaning in English law but for the purposes herein the term means that, under the Companies Act 2006 (as amended), the artcles of associaton of the Company (the "</w:t>
      </w:r>
      <w:r>
        <w:rPr>
          <w:rFonts w:ascii="Calibri" w:cs="Calibri" w:eastAsia="Calibri" w:hAnsi="Calibri"/>
          <w:sz w:val="20"/>
          <w:szCs w:val="20"/>
          <w:b w:val="1"/>
          <w:bCs w:val="1"/>
          <w:color w:val="auto"/>
        </w:rPr>
        <w:t>Artcles</w:t>
      </w:r>
      <w:r>
        <w:rPr>
          <w:rFonts w:ascii="Calibri" w:cs="Calibri" w:eastAsia="Calibri" w:hAnsi="Calibri"/>
          <w:sz w:val="20"/>
          <w:szCs w:val="20"/>
          <w:color w:val="auto"/>
        </w:rPr>
        <w:t>") and any resoluton passed in accordance with the Artcles approving the issuance of the Shares (as defned below), no holder of such Shares is liable, solely because of such holder’s status as a holder of such Shares, for additonal payments or calls on the relevant Shares to or by the Company or its creditors.</w:t>
      </w:r>
    </w:p>
    <w:p>
      <w:pPr>
        <w:spacing w:after="0" w:line="202" w:lineRule="exact"/>
        <w:rPr>
          <w:sz w:val="20"/>
          <w:szCs w:val="20"/>
          <w:color w:val="auto"/>
        </w:rPr>
      </w:pPr>
    </w:p>
    <w:p>
      <w:pPr>
        <w:ind w:left="772"/>
        <w:spacing w:after="0"/>
        <w:rPr>
          <w:sz w:val="20"/>
          <w:szCs w:val="20"/>
          <w:color w:val="auto"/>
        </w:rPr>
      </w:pPr>
      <w:r>
        <w:rPr>
          <w:rFonts w:ascii="Calibri" w:cs="Calibri" w:eastAsia="Calibri" w:hAnsi="Calibri"/>
          <w:sz w:val="20"/>
          <w:szCs w:val="20"/>
          <w:b w:val="1"/>
          <w:bCs w:val="1"/>
          <w:color w:val="auto"/>
        </w:rPr>
        <w:t>Opinion</w:t>
      </w:r>
    </w:p>
    <w:p>
      <w:pPr>
        <w:spacing w:after="0" w:line="238" w:lineRule="exact"/>
        <w:rPr>
          <w:sz w:val="20"/>
          <w:szCs w:val="20"/>
          <w:color w:val="auto"/>
        </w:rPr>
      </w:pPr>
    </w:p>
    <w:p>
      <w:pPr>
        <w:ind w:left="772" w:right="20" w:hanging="772"/>
        <w:spacing w:after="0" w:line="268" w:lineRule="auto"/>
        <w:tabs>
          <w:tab w:leader="none" w:pos="77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color w:val="auto"/>
        </w:rPr>
        <w:t>On the basis stated in paragraph 4, and subject to the assumptons in Schedule 1 and the qualifcatons in Schedule 2, we are of the opinion that the securites being registered, being A ordinary shares in the capital of the Company with a nominal value of US$0.00001 each to be issued pursuant to the Plan (the "</w:t>
      </w:r>
      <w:r>
        <w:rPr>
          <w:rFonts w:ascii="Calibri" w:cs="Calibri" w:eastAsia="Calibri" w:hAnsi="Calibri"/>
          <w:sz w:val="20"/>
          <w:szCs w:val="20"/>
          <w:b w:val="1"/>
          <w:bCs w:val="1"/>
          <w:color w:val="auto"/>
        </w:rPr>
        <w:t>Shares</w:t>
      </w:r>
      <w:r>
        <w:rPr>
          <w:rFonts w:ascii="Calibri" w:cs="Calibri" w:eastAsia="Calibri" w:hAnsi="Calibri"/>
          <w:sz w:val="20"/>
          <w:szCs w:val="20"/>
          <w:color w:val="auto"/>
        </w:rPr>
        <w:t>"), will (when alloted) be validly issued, fully paid and non-assessable once all of: (i) the Registraton Statement, as fnally amended, shall have become efectve under the Securites Act of 1933, as amended (the "</w:t>
      </w:r>
      <w:r>
        <w:rPr>
          <w:rFonts w:ascii="Calibri" w:cs="Calibri" w:eastAsia="Calibri" w:hAnsi="Calibri"/>
          <w:sz w:val="20"/>
          <w:szCs w:val="20"/>
          <w:b w:val="1"/>
          <w:bCs w:val="1"/>
          <w:color w:val="auto"/>
        </w:rPr>
        <w:t>Securites Act</w:t>
      </w:r>
      <w:r>
        <w:rPr>
          <w:rFonts w:ascii="Calibri" w:cs="Calibri" w:eastAsia="Calibri" w:hAnsi="Calibri"/>
          <w:sz w:val="20"/>
          <w:szCs w:val="20"/>
          <w:color w:val="auto"/>
        </w:rPr>
        <w:t>") and (ii) valid entries in the books and registers of the Company have been made in respect of such issue.</w:t>
      </w:r>
    </w:p>
    <w:p>
      <w:pPr>
        <w:spacing w:after="0" w:line="204" w:lineRule="exact"/>
        <w:rPr>
          <w:rFonts w:ascii="Calibri" w:cs="Calibri" w:eastAsia="Calibri" w:hAnsi="Calibri"/>
          <w:sz w:val="20"/>
          <w:szCs w:val="20"/>
          <w:b w:val="1"/>
          <w:bCs w:val="1"/>
          <w:color w:val="auto"/>
        </w:rPr>
      </w:pPr>
    </w:p>
    <w:p>
      <w:pPr>
        <w:ind w:left="772"/>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Beneft of Opinion</w:t>
      </w:r>
    </w:p>
    <w:p>
      <w:pPr>
        <w:spacing w:after="0" w:line="238" w:lineRule="exact"/>
        <w:rPr>
          <w:rFonts w:ascii="Calibri" w:cs="Calibri" w:eastAsia="Calibri" w:hAnsi="Calibri"/>
          <w:sz w:val="20"/>
          <w:szCs w:val="20"/>
          <w:b w:val="1"/>
          <w:bCs w:val="1"/>
          <w:color w:val="auto"/>
        </w:rPr>
      </w:pPr>
    </w:p>
    <w:p>
      <w:pPr>
        <w:ind w:left="772" w:right="160" w:hanging="772"/>
        <w:spacing w:after="0" w:line="255" w:lineRule="auto"/>
        <w:tabs>
          <w:tab w:leader="none" w:pos="77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color w:val="auto"/>
        </w:rPr>
        <w:t>This opinion is addressed to the Company solely for its own beneft. This opinion leter may not be delivered to or relied upon by any person other than the Company without our express writen consent.</w:t>
      </w:r>
    </w:p>
    <w:p>
      <w:pPr>
        <w:spacing w:after="0" w:line="214" w:lineRule="exact"/>
        <w:rPr>
          <w:rFonts w:ascii="Calibri" w:cs="Calibri" w:eastAsia="Calibri" w:hAnsi="Calibri"/>
          <w:sz w:val="20"/>
          <w:szCs w:val="20"/>
          <w:b w:val="1"/>
          <w:bCs w:val="1"/>
          <w:color w:val="auto"/>
        </w:rPr>
      </w:pPr>
    </w:p>
    <w:p>
      <w:pPr>
        <w:ind w:left="772"/>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Consent to fling</w:t>
      </w:r>
    </w:p>
    <w:p>
      <w:pPr>
        <w:spacing w:after="0" w:line="238" w:lineRule="exact"/>
        <w:rPr>
          <w:rFonts w:ascii="Calibri" w:cs="Calibri" w:eastAsia="Calibri" w:hAnsi="Calibri"/>
          <w:sz w:val="20"/>
          <w:szCs w:val="20"/>
          <w:b w:val="1"/>
          <w:bCs w:val="1"/>
          <w:color w:val="auto"/>
        </w:rPr>
      </w:pPr>
    </w:p>
    <w:p>
      <w:pPr>
        <w:ind w:left="772" w:right="280" w:hanging="772"/>
        <w:spacing w:after="0" w:line="266" w:lineRule="auto"/>
        <w:tabs>
          <w:tab w:leader="none" w:pos="77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color w:val="auto"/>
        </w:rPr>
        <w:t>We hereby consent to the fling of this leter as an exhibit to the Registraton Statement and to all references to our frm included in or made a part of the Registraton Statement. In giving such consent, we do not thereby admit that we are in the category of persons whose consent is required under Secton 7 of the Securites Act, or the rules or regulatons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
        <w:spacing w:after="0"/>
        <w:tabs>
          <w:tab w:leader="none" w:pos="10912"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2</w:t>
      </w:r>
    </w:p>
    <w:p>
      <w:pPr>
        <w:sectPr>
          <w:pgSz w:w="11900" w:h="16838" w:orient="portrait"/>
          <w:cols w:equalWidth="0" w:num="1">
            <w:col w:w="11212"/>
          </w:cols>
          <w:pgMar w:left="328" w:top="1440" w:right="3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80"/>
        <w:spacing w:after="0"/>
        <w:rPr>
          <w:sz w:val="20"/>
          <w:szCs w:val="20"/>
          <w:color w:val="auto"/>
        </w:rPr>
      </w:pPr>
      <w:r>
        <w:rPr>
          <w:rFonts w:ascii="Calibri" w:cs="Calibri" w:eastAsia="Calibri" w:hAnsi="Calibri"/>
          <w:sz w:val="20"/>
          <w:szCs w:val="20"/>
          <w:b w:val="1"/>
          <w:bCs w:val="1"/>
          <w:color w:val="auto"/>
        </w:rPr>
        <w:t>Governing Law</w:t>
      </w:r>
    </w:p>
    <w:p>
      <w:pPr>
        <w:spacing w:after="0" w:line="238" w:lineRule="exact"/>
        <w:rPr>
          <w:sz w:val="20"/>
          <w:szCs w:val="20"/>
          <w:color w:val="auto"/>
        </w:rPr>
      </w:pPr>
    </w:p>
    <w:p>
      <w:pPr>
        <w:jc w:val="both"/>
        <w:ind w:left="780" w:right="80" w:hanging="772"/>
        <w:spacing w:after="0" w:line="267" w:lineRule="auto"/>
        <w:tabs>
          <w:tab w:leader="none" w:pos="778"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color w:val="auto"/>
        </w:rPr>
        <w:t>This opinion leter and any non-contractual obligatons arising out of or in relaton to it are governed by English law. The courts of England and Wales shall have exclusive jurisdicton to setle any dispute or claim that arises out of or in connecton with this opinion leter (including non-contractual disputes or claims).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20"/>
          <w:szCs w:val="20"/>
          <w:color w:val="auto"/>
        </w:rPr>
        <w:t>Yours faithfully</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/s/ Travers Smith LLP</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Travers Smith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0920"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3</w:t>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60"/>
        <w:spacing w:after="0"/>
        <w:rPr>
          <w:sz w:val="20"/>
          <w:szCs w:val="20"/>
          <w:color w:val="auto"/>
        </w:rPr>
      </w:pPr>
      <w:r>
        <w:rPr>
          <w:rFonts w:ascii="Calibri" w:cs="Calibri" w:eastAsia="Calibri" w:hAnsi="Calibri"/>
          <w:sz w:val="20"/>
          <w:szCs w:val="20"/>
          <w:b w:val="1"/>
          <w:bCs w:val="1"/>
          <w:color w:val="auto"/>
        </w:rPr>
        <w:t>Schedule 1</w:t>
      </w:r>
    </w:p>
    <w:p>
      <w:pPr>
        <w:spacing w:after="0" w:line="26" w:lineRule="exact"/>
        <w:rPr>
          <w:sz w:val="20"/>
          <w:szCs w:val="20"/>
          <w:color w:val="auto"/>
        </w:rPr>
      </w:pPr>
    </w:p>
    <w:p>
      <w:pPr>
        <w:ind w:left="5000"/>
        <w:spacing w:after="0"/>
        <w:rPr>
          <w:sz w:val="20"/>
          <w:szCs w:val="20"/>
          <w:color w:val="auto"/>
        </w:rPr>
      </w:pPr>
      <w:r>
        <w:rPr>
          <w:rFonts w:ascii="Calibri" w:cs="Calibri" w:eastAsia="Calibri" w:hAnsi="Calibri"/>
          <w:sz w:val="20"/>
          <w:szCs w:val="20"/>
          <w:b w:val="1"/>
          <w:bCs w:val="1"/>
          <w:color w:val="auto"/>
        </w:rPr>
        <w:t>ASSUMPTIONS</w:t>
      </w:r>
    </w:p>
    <w:p>
      <w:pPr>
        <w:spacing w:after="0" w:line="252" w:lineRule="exact"/>
        <w:rPr>
          <w:sz w:val="20"/>
          <w:szCs w:val="20"/>
          <w:color w:val="auto"/>
        </w:rPr>
      </w:pPr>
    </w:p>
    <w:p>
      <w:pPr>
        <w:ind w:right="360"/>
        <w:spacing w:after="0" w:line="255" w:lineRule="auto"/>
        <w:rPr>
          <w:sz w:val="20"/>
          <w:szCs w:val="20"/>
          <w:color w:val="auto"/>
        </w:rPr>
      </w:pPr>
      <w:r>
        <w:rPr>
          <w:rFonts w:ascii="Calibri" w:cs="Calibri" w:eastAsia="Calibri" w:hAnsi="Calibri"/>
          <w:sz w:val="20"/>
          <w:szCs w:val="20"/>
          <w:color w:val="auto"/>
        </w:rPr>
        <w:t>In considering the documents listed in Schedule 3 and in rendering this opinion, we have (with your consent and without any further enquiry) assumed:</w:t>
      </w:r>
    </w:p>
    <w:p>
      <w:pPr>
        <w:spacing w:after="0" w:line="224" w:lineRule="exact"/>
        <w:rPr>
          <w:sz w:val="20"/>
          <w:szCs w:val="20"/>
          <w:color w:val="auto"/>
        </w:rPr>
      </w:pPr>
    </w:p>
    <w:p>
      <w:pPr>
        <w:ind w:left="780" w:right="300" w:hanging="772"/>
        <w:spacing w:after="0" w:line="255"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Authentcity</w:t>
      </w:r>
      <w:r>
        <w:rPr>
          <w:rFonts w:ascii="Calibri" w:cs="Calibri" w:eastAsia="Calibri" w:hAnsi="Calibri"/>
          <w:sz w:val="20"/>
          <w:szCs w:val="20"/>
          <w:color w:val="auto"/>
        </w:rPr>
        <w:t>: the genuineness of all signatures, stamps and seals on, and the authentcity, accuracy and completeness of,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documents submited to us whether as originals or copies;</w:t>
      </w:r>
    </w:p>
    <w:p>
      <w:pPr>
        <w:spacing w:after="0" w:line="223" w:lineRule="exact"/>
        <w:rPr>
          <w:rFonts w:ascii="Calibri" w:cs="Calibri" w:eastAsia="Calibri" w:hAnsi="Calibri"/>
          <w:sz w:val="20"/>
          <w:szCs w:val="20"/>
          <w:b w:val="1"/>
          <w:bCs w:val="1"/>
          <w:color w:val="auto"/>
        </w:rPr>
      </w:pPr>
    </w:p>
    <w:p>
      <w:pPr>
        <w:ind w:left="780" w:right="320" w:hanging="772"/>
        <w:spacing w:after="0" w:line="269"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Copies</w:t>
      </w:r>
      <w:r>
        <w:rPr>
          <w:rFonts w:ascii="Calibri" w:cs="Calibri" w:eastAsia="Calibri" w:hAnsi="Calibri"/>
          <w:sz w:val="20"/>
          <w:szCs w:val="20"/>
          <w:color w:val="auto"/>
        </w:rPr>
        <w:t>: the conformity to originals of all documents supplied to us as photocopies, portable document format (PDF) copies,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facsimile copies or e-mail versions;</w:t>
      </w:r>
    </w:p>
    <w:p>
      <w:pPr>
        <w:spacing w:after="0" w:line="208" w:lineRule="exact"/>
        <w:rPr>
          <w:rFonts w:ascii="Calibri" w:cs="Calibri" w:eastAsia="Calibri" w:hAnsi="Calibri"/>
          <w:sz w:val="20"/>
          <w:szCs w:val="20"/>
          <w:b w:val="1"/>
          <w:bCs w:val="1"/>
          <w:color w:val="auto"/>
        </w:rPr>
      </w:pPr>
    </w:p>
    <w:p>
      <w:pPr>
        <w:ind w:left="780" w:right="360" w:hanging="772"/>
        <w:spacing w:after="0" w:line="255"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Ofcer's Certfcate</w:t>
      </w:r>
      <w:r>
        <w:rPr>
          <w:rFonts w:ascii="Calibri" w:cs="Calibri" w:eastAsia="Calibri" w:hAnsi="Calibri"/>
          <w:sz w:val="20"/>
          <w:szCs w:val="20"/>
          <w:color w:val="auto"/>
        </w:rPr>
        <w:t>: that each of the statements contained in a certfcate of an Ofcer of the Company dated 17 May 2024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w:t>
      </w:r>
      <w:r>
        <w:rPr>
          <w:rFonts w:ascii="Calibri" w:cs="Calibri" w:eastAsia="Calibri" w:hAnsi="Calibri"/>
          <w:sz w:val="20"/>
          <w:szCs w:val="20"/>
          <w:b w:val="1"/>
          <w:bCs w:val="1"/>
          <w:color w:val="auto"/>
        </w:rPr>
        <w:t>Certfcate</w:t>
      </w:r>
      <w:r>
        <w:rPr>
          <w:rFonts w:ascii="Calibri" w:cs="Calibri" w:eastAsia="Calibri" w:hAnsi="Calibri"/>
          <w:sz w:val="20"/>
          <w:szCs w:val="20"/>
          <w:color w:val="auto"/>
        </w:rPr>
        <w:t>") is true and correct as at the date of this opinion;</w:t>
      </w:r>
    </w:p>
    <w:p>
      <w:pPr>
        <w:spacing w:after="0" w:line="223" w:lineRule="exact"/>
        <w:rPr>
          <w:rFonts w:ascii="Calibri" w:cs="Calibri" w:eastAsia="Calibri" w:hAnsi="Calibri"/>
          <w:sz w:val="20"/>
          <w:szCs w:val="20"/>
          <w:b w:val="1"/>
          <w:bCs w:val="1"/>
          <w:color w:val="auto"/>
        </w:rPr>
      </w:pPr>
    </w:p>
    <w:p>
      <w:pPr>
        <w:ind w:left="780" w:right="160" w:hanging="772"/>
        <w:spacing w:after="0" w:line="269"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Company Search</w:t>
      </w:r>
      <w:r>
        <w:rPr>
          <w:rFonts w:ascii="Calibri" w:cs="Calibri" w:eastAsia="Calibri" w:hAnsi="Calibri"/>
          <w:sz w:val="20"/>
          <w:szCs w:val="20"/>
          <w:color w:val="auto"/>
        </w:rPr>
        <w:t>: that the informaton revealed by our search against the Company's records available for public viewing 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Companies House through its website (htps://fnd-and-update.company-informaton.service.gov.uk/) made at approximately 10 a.m. on 21 May 2024 (the "</w:t>
      </w:r>
      <w:r>
        <w:rPr>
          <w:rFonts w:ascii="Calibri" w:cs="Calibri" w:eastAsia="Calibri" w:hAnsi="Calibri"/>
          <w:sz w:val="20"/>
          <w:szCs w:val="20"/>
          <w:b w:val="1"/>
          <w:bCs w:val="1"/>
          <w:color w:val="auto"/>
        </w:rPr>
        <w:t>Company Search</w:t>
      </w:r>
      <w:r>
        <w:rPr>
          <w:rFonts w:ascii="Calibri" w:cs="Calibri" w:eastAsia="Calibri" w:hAnsi="Calibri"/>
          <w:sz w:val="20"/>
          <w:szCs w:val="20"/>
          <w:color w:val="auto"/>
        </w:rPr>
        <w:t>") (i) was accurate in all respects and has not since the tme of such searches been altered, and (ii) was complete and included all relevant informaton which had been properly submited to the Registrar of Companies;</w:t>
      </w:r>
    </w:p>
    <w:p>
      <w:pPr>
        <w:spacing w:after="0" w:line="211" w:lineRule="exact"/>
        <w:rPr>
          <w:rFonts w:ascii="Calibri" w:cs="Calibri" w:eastAsia="Calibri" w:hAnsi="Calibri"/>
          <w:sz w:val="20"/>
          <w:szCs w:val="20"/>
          <w:b w:val="1"/>
          <w:bCs w:val="1"/>
          <w:color w:val="auto"/>
        </w:rPr>
      </w:pPr>
    </w:p>
    <w:p>
      <w:pPr>
        <w:ind w:left="780" w:right="200" w:hanging="772"/>
        <w:spacing w:after="0" w:line="260"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Winding-up Enquiry</w:t>
      </w:r>
      <w:r>
        <w:rPr>
          <w:rFonts w:ascii="Calibri" w:cs="Calibri" w:eastAsia="Calibri" w:hAnsi="Calibri"/>
          <w:sz w:val="20"/>
          <w:szCs w:val="20"/>
          <w:color w:val="auto"/>
        </w:rPr>
        <w:t>: that the informaton revealed by our enquiry of the Central Registry of Winding up Pettons made 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approximately 10 a.m. on 21 May 2024 (the "</w:t>
      </w:r>
      <w:r>
        <w:rPr>
          <w:rFonts w:ascii="Calibri" w:cs="Calibri" w:eastAsia="Calibri" w:hAnsi="Calibri"/>
          <w:sz w:val="20"/>
          <w:szCs w:val="20"/>
          <w:b w:val="1"/>
          <w:bCs w:val="1"/>
          <w:color w:val="auto"/>
        </w:rPr>
        <w:t>Winding-up Enquiry</w:t>
      </w:r>
      <w:r>
        <w:rPr>
          <w:rFonts w:ascii="Calibri" w:cs="Calibri" w:eastAsia="Calibri" w:hAnsi="Calibri"/>
          <w:sz w:val="20"/>
          <w:szCs w:val="20"/>
          <w:color w:val="auto"/>
        </w:rPr>
        <w:t>") was accurate in all respects and has not since the tme of such enquiry been altered;</w:t>
      </w:r>
    </w:p>
    <w:p>
      <w:pPr>
        <w:spacing w:after="0" w:line="219" w:lineRule="exact"/>
        <w:rPr>
          <w:rFonts w:ascii="Calibri" w:cs="Calibri" w:eastAsia="Calibri" w:hAnsi="Calibri"/>
          <w:sz w:val="20"/>
          <w:szCs w:val="20"/>
          <w:b w:val="1"/>
          <w:bCs w:val="1"/>
          <w:color w:val="auto"/>
        </w:rPr>
      </w:pPr>
    </w:p>
    <w:p>
      <w:pPr>
        <w:ind w:left="780" w:right="60" w:hanging="772"/>
        <w:spacing w:after="0" w:line="271"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Filings under Other Laws</w:t>
      </w:r>
      <w:r>
        <w:rPr>
          <w:rFonts w:ascii="Calibri" w:cs="Calibri" w:eastAsia="Calibri" w:hAnsi="Calibri"/>
          <w:sz w:val="20"/>
          <w:szCs w:val="20"/>
          <w:color w:val="auto"/>
        </w:rPr>
        <w:t>: that all consents, licences, approvals, notces, flings, recordatons, publicatons and registratons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which are necessary under any applicable laws (other than, in the case of the Company, English Law) in order to permit the performance of the Plan, have been made or obtained, or will be made or obtained within the period permited or required by such laws or regulatons;</w:t>
      </w:r>
    </w:p>
    <w:p>
      <w:pPr>
        <w:spacing w:after="0" w:line="206" w:lineRule="exact"/>
        <w:rPr>
          <w:rFonts w:ascii="Calibri" w:cs="Calibri" w:eastAsia="Calibri" w:hAnsi="Calibri"/>
          <w:sz w:val="20"/>
          <w:szCs w:val="20"/>
          <w:b w:val="1"/>
          <w:bCs w:val="1"/>
          <w:color w:val="auto"/>
        </w:rPr>
      </w:pPr>
    </w:p>
    <w:p>
      <w:pPr>
        <w:ind w:left="780" w:hanging="772"/>
        <w:spacing w:after="0" w:line="266" w:lineRule="auto"/>
        <w:tabs>
          <w:tab w:leader="none" w:pos="778"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Compliance with Agreements</w:t>
      </w:r>
      <w:r>
        <w:rPr>
          <w:rFonts w:ascii="Calibri" w:cs="Calibri" w:eastAsia="Calibri" w:hAnsi="Calibri"/>
          <w:sz w:val="20"/>
          <w:szCs w:val="20"/>
          <w:color w:val="auto"/>
        </w:rPr>
        <w:t>: that the holders of awards granted under the terms of the Plan shall comply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procedures set out in the Plan Documentaton in order to acquire the Shares, in partcular the due executon of any notces or consents; that the Shares are duly alloted in accordance with the Allotment Resolutons and the 2024 Amendment Resolutons (as defned in Schedule 3); and the Company complies with the Plan Documentaton at all tmes in efectng the issue of the Shares and has adopted the prescribed procedures therein to ensure that the Shares are paid up at least as to nominal value and (in the case of stock optons) as to the amount of any additonal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10920"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4</w:t>
      </w:r>
    </w:p>
    <w:p>
      <w:pPr>
        <w:sectPr>
          <w:pgSz w:w="11900" w:h="16838" w:orient="portrait"/>
          <w:cols w:equalWidth="0" w:num="1">
            <w:col w:w="11220"/>
          </w:cols>
          <w:pgMar w:left="320" w:top="1440" w:right="35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772" w:right="60" w:hanging="772"/>
        <w:spacing w:after="0" w:line="267" w:lineRule="auto"/>
        <w:tabs>
          <w:tab w:leader="none" w:pos="771"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Superseding Agreement</w:t>
      </w:r>
      <w:r>
        <w:rPr>
          <w:rFonts w:ascii="Calibri" w:cs="Calibri" w:eastAsia="Calibri" w:hAnsi="Calibri"/>
          <w:sz w:val="20"/>
          <w:szCs w:val="20"/>
          <w:color w:val="auto"/>
        </w:rPr>
        <w:t>: that there is no other agreement, instrument or other arrangement, relatonship or course of dealing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between any of the partes which modifes or supersedes the Plan and that the Plan Documentaton (as defned in Schedule 3) has not been amended, terminated or replaced prior to the issue of the Shares;</w:t>
      </w:r>
    </w:p>
    <w:p>
      <w:pPr>
        <w:spacing w:after="0" w:line="211" w:lineRule="exact"/>
        <w:rPr>
          <w:rFonts w:ascii="Calibri" w:cs="Calibri" w:eastAsia="Calibri" w:hAnsi="Calibri"/>
          <w:sz w:val="20"/>
          <w:szCs w:val="20"/>
          <w:b w:val="1"/>
          <w:bCs w:val="1"/>
          <w:color w:val="auto"/>
        </w:rPr>
      </w:pPr>
    </w:p>
    <w:p>
      <w:pPr>
        <w:ind w:left="772" w:right="40" w:hanging="772"/>
        <w:spacing w:after="0" w:line="268" w:lineRule="auto"/>
        <w:tabs>
          <w:tab w:leader="none" w:pos="77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Validity under Other Laws</w:t>
      </w:r>
      <w:r>
        <w:rPr>
          <w:rFonts w:ascii="Calibri" w:cs="Calibri" w:eastAsia="Calibri" w:hAnsi="Calibri"/>
          <w:sz w:val="20"/>
          <w:szCs w:val="20"/>
          <w:color w:val="auto"/>
        </w:rPr>
        <w:t>: that the Plan Documentaton consttutes legal, valid, binding and enforceable obligatons of each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partes thereto under all applicable laws (other than, in the case of the Company, English Law) and that insofar as the laws or regulatons of any jurisdicton other than England and Wales may be relevant to (i) the obligatons or rights of any of the partes in relaton to the Plan Documentaton or (ii) any of the transactons contemplated in connecton with the Plan Documentaton, such laws and regulatons do not prohibit, and are not inconsistent with, the entering into and performance of any of such obligatons, rights or transactons;</w:t>
      </w:r>
    </w:p>
    <w:p>
      <w:pPr>
        <w:spacing w:after="0" w:line="213" w:lineRule="exact"/>
        <w:rPr>
          <w:rFonts w:ascii="Calibri" w:cs="Calibri" w:eastAsia="Calibri" w:hAnsi="Calibri"/>
          <w:sz w:val="20"/>
          <w:szCs w:val="20"/>
          <w:b w:val="1"/>
          <w:bCs w:val="1"/>
          <w:color w:val="auto"/>
        </w:rPr>
      </w:pPr>
    </w:p>
    <w:p>
      <w:pPr>
        <w:jc w:val="both"/>
        <w:ind w:left="772" w:right="220" w:hanging="772"/>
        <w:spacing w:after="0" w:line="255" w:lineRule="auto"/>
        <w:tabs>
          <w:tab w:leader="none" w:pos="765"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Template Documentaton</w:t>
      </w:r>
      <w:r>
        <w:rPr>
          <w:rFonts w:ascii="Calibri" w:cs="Calibri" w:eastAsia="Calibri" w:hAnsi="Calibri"/>
          <w:sz w:val="20"/>
          <w:szCs w:val="20"/>
          <w:color w:val="auto"/>
        </w:rPr>
        <w:t>: that the pro forma Award Agreements (as defned in Schedule 3) referred to in the Certfcate are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fair and accurate representatons of the terms and conditons under which all awards have been granted under the Plan; and</w:t>
      </w:r>
    </w:p>
    <w:p>
      <w:pPr>
        <w:spacing w:after="0" w:line="223" w:lineRule="exact"/>
        <w:rPr>
          <w:rFonts w:ascii="Calibri" w:cs="Calibri" w:eastAsia="Calibri" w:hAnsi="Calibri"/>
          <w:sz w:val="20"/>
          <w:szCs w:val="20"/>
          <w:b w:val="1"/>
          <w:bCs w:val="1"/>
          <w:color w:val="auto"/>
        </w:rPr>
      </w:pPr>
    </w:p>
    <w:p>
      <w:pPr>
        <w:jc w:val="both"/>
        <w:ind w:left="772" w:right="140" w:hanging="772"/>
        <w:spacing w:after="0" w:line="267" w:lineRule="auto"/>
        <w:tabs>
          <w:tab w:leader="none" w:pos="765"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Future Awards</w:t>
      </w:r>
      <w:r>
        <w:rPr>
          <w:rFonts w:ascii="Calibri" w:cs="Calibri" w:eastAsia="Calibri" w:hAnsi="Calibri"/>
          <w:sz w:val="20"/>
          <w:szCs w:val="20"/>
          <w:color w:val="auto"/>
        </w:rPr>
        <w:t>: that to the extent that the Compensaton Commitee of the Company (or any member thereof) makes further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awards for which it does not already have authority to allot Shares, the Board (or a commitee thereof) will duly authorise the allotment of such further Shares as may be required for the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
        <w:spacing w:after="0"/>
        <w:tabs>
          <w:tab w:leader="none" w:pos="10912"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5</w:t>
      </w:r>
    </w:p>
    <w:p>
      <w:pPr>
        <w:sectPr>
          <w:pgSz w:w="11900" w:h="16838" w:orient="portrait"/>
          <w:cols w:equalWidth="0" w:num="1">
            <w:col w:w="11212"/>
          </w:cols>
          <w:pgMar w:left="328" w:top="1440" w:right="35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60"/>
        <w:spacing w:after="0"/>
        <w:rPr>
          <w:sz w:val="20"/>
          <w:szCs w:val="20"/>
          <w:color w:val="auto"/>
        </w:rPr>
      </w:pPr>
      <w:r>
        <w:rPr>
          <w:rFonts w:ascii="Calibri" w:cs="Calibri" w:eastAsia="Calibri" w:hAnsi="Calibri"/>
          <w:sz w:val="20"/>
          <w:szCs w:val="20"/>
          <w:b w:val="1"/>
          <w:bCs w:val="1"/>
          <w:color w:val="auto"/>
        </w:rPr>
        <w:t>Schedule 2</w:t>
      </w:r>
    </w:p>
    <w:p>
      <w:pPr>
        <w:spacing w:after="0" w:line="26" w:lineRule="exact"/>
        <w:rPr>
          <w:sz w:val="20"/>
          <w:szCs w:val="20"/>
          <w:color w:val="auto"/>
        </w:rPr>
      </w:pPr>
    </w:p>
    <w:p>
      <w:pPr>
        <w:ind w:left="4920"/>
        <w:spacing w:after="0"/>
        <w:rPr>
          <w:sz w:val="20"/>
          <w:szCs w:val="20"/>
          <w:color w:val="auto"/>
        </w:rPr>
      </w:pPr>
      <w:r>
        <w:rPr>
          <w:rFonts w:ascii="Calibri" w:cs="Calibri" w:eastAsia="Calibri" w:hAnsi="Calibri"/>
          <w:sz w:val="20"/>
          <w:szCs w:val="20"/>
          <w:b w:val="1"/>
          <w:bCs w:val="1"/>
          <w:color w:val="auto"/>
        </w:rPr>
        <w:t>QUALIFICATIONS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Our opinion is subject to the following qualifcatons:</w:t>
      </w:r>
    </w:p>
    <w:p>
      <w:pPr>
        <w:spacing w:after="0" w:line="228" w:lineRule="exact"/>
        <w:rPr>
          <w:sz w:val="20"/>
          <w:szCs w:val="20"/>
          <w:color w:val="auto"/>
        </w:rPr>
      </w:pPr>
    </w:p>
    <w:p>
      <w:pPr>
        <w:ind w:left="780" w:hanging="772"/>
        <w:spacing w:after="0"/>
        <w:tabs>
          <w:tab w:leader="none" w:pos="7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Company Search</w:t>
      </w:r>
      <w:r>
        <w:rPr>
          <w:rFonts w:ascii="Calibri" w:cs="Calibri" w:eastAsia="Calibri" w:hAnsi="Calibri"/>
          <w:sz w:val="20"/>
          <w:szCs w:val="20"/>
          <w:color w:val="auto"/>
        </w:rPr>
        <w:t>: the Company Search is not capable of revealing conclusively whether or not:</w:t>
      </w:r>
    </w:p>
    <w:p>
      <w:pPr>
        <w:spacing w:after="0" w:line="22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0"/>
          <w:szCs w:val="20"/>
          <w:b w:val="1"/>
          <w:bCs w:val="1"/>
          <w:color w:val="auto"/>
        </w:rPr>
        <w:t>1.1</w:t>
      </w:r>
      <w:r>
        <w:rPr>
          <w:sz w:val="20"/>
          <w:szCs w:val="20"/>
          <w:color w:val="auto"/>
        </w:rPr>
        <w:tab/>
      </w:r>
      <w:r>
        <w:rPr>
          <w:rFonts w:ascii="Calibri" w:cs="Calibri" w:eastAsia="Calibri" w:hAnsi="Calibri"/>
          <w:sz w:val="20"/>
          <w:szCs w:val="20"/>
          <w:color w:val="auto"/>
        </w:rPr>
        <w:t>a winding-up order has been made or a resoluton passed for the winding up of a company; or</w:t>
      </w:r>
    </w:p>
    <w:p>
      <w:pPr>
        <w:spacing w:after="0" w:line="22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0"/>
          <w:szCs w:val="20"/>
          <w:b w:val="1"/>
          <w:bCs w:val="1"/>
          <w:color w:val="auto"/>
        </w:rPr>
        <w:t>1.2</w:t>
      </w:r>
      <w:r>
        <w:rPr>
          <w:sz w:val="20"/>
          <w:szCs w:val="20"/>
          <w:color w:val="auto"/>
        </w:rPr>
        <w:tab/>
      </w:r>
      <w:r>
        <w:rPr>
          <w:rFonts w:ascii="Calibri" w:cs="Calibri" w:eastAsia="Calibri" w:hAnsi="Calibri"/>
          <w:sz w:val="20"/>
          <w:szCs w:val="20"/>
          <w:color w:val="auto"/>
        </w:rPr>
        <w:t>an administraton order has been made; or</w:t>
      </w:r>
    </w:p>
    <w:p>
      <w:pPr>
        <w:spacing w:after="0" w:line="22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0"/>
          <w:szCs w:val="20"/>
          <w:b w:val="1"/>
          <w:bCs w:val="1"/>
          <w:color w:val="auto"/>
        </w:rPr>
        <w:t>1.3</w:t>
      </w:r>
      <w:r>
        <w:rPr>
          <w:sz w:val="20"/>
          <w:szCs w:val="20"/>
          <w:color w:val="auto"/>
        </w:rPr>
        <w:tab/>
      </w:r>
      <w:r>
        <w:rPr>
          <w:rFonts w:ascii="Calibri" w:cs="Calibri" w:eastAsia="Calibri" w:hAnsi="Calibri"/>
          <w:sz w:val="20"/>
          <w:szCs w:val="20"/>
          <w:color w:val="auto"/>
        </w:rPr>
        <w:t>a receiver, administratve receiver, administrator or liquidator has been appointed; or</w:t>
      </w:r>
    </w:p>
    <w:p>
      <w:pPr>
        <w:spacing w:after="0" w:line="22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0"/>
          <w:szCs w:val="20"/>
          <w:b w:val="1"/>
          <w:bCs w:val="1"/>
          <w:color w:val="auto"/>
        </w:rPr>
        <w:t>1.4</w:t>
      </w:r>
      <w:r>
        <w:rPr>
          <w:sz w:val="20"/>
          <w:szCs w:val="20"/>
          <w:color w:val="auto"/>
        </w:rPr>
        <w:tab/>
      </w:r>
      <w:r>
        <w:rPr>
          <w:rFonts w:ascii="Calibri" w:cs="Calibri" w:eastAsia="Calibri" w:hAnsi="Calibri"/>
          <w:sz w:val="20"/>
          <w:szCs w:val="20"/>
          <w:color w:val="auto"/>
        </w:rPr>
        <w:t>a court order has been made under the Cross Border Insolvency Regulatons 2006,</w:t>
      </w:r>
    </w:p>
    <w:p>
      <w:pPr>
        <w:spacing w:after="0" w:line="238" w:lineRule="exact"/>
        <w:rPr>
          <w:sz w:val="20"/>
          <w:szCs w:val="20"/>
          <w:color w:val="auto"/>
        </w:rPr>
      </w:pPr>
    </w:p>
    <w:p>
      <w:pPr>
        <w:ind w:left="780" w:right="620"/>
        <w:spacing w:after="0" w:line="255" w:lineRule="auto"/>
        <w:rPr>
          <w:sz w:val="20"/>
          <w:szCs w:val="20"/>
          <w:color w:val="auto"/>
        </w:rPr>
      </w:pPr>
      <w:r>
        <w:rPr>
          <w:rFonts w:ascii="Calibri" w:cs="Calibri" w:eastAsia="Calibri" w:hAnsi="Calibri"/>
          <w:sz w:val="20"/>
          <w:szCs w:val="20"/>
          <w:color w:val="auto"/>
        </w:rPr>
        <w:t>since notce of these maters may not be fled with the Registrar of Companies immediately and, when fled, may not be entered on the public microfche of the relevant company immediately.</w:t>
      </w:r>
    </w:p>
    <w:p>
      <w:pPr>
        <w:spacing w:after="0" w:line="224" w:lineRule="exact"/>
        <w:rPr>
          <w:sz w:val="20"/>
          <w:szCs w:val="20"/>
          <w:color w:val="auto"/>
        </w:rPr>
      </w:pPr>
    </w:p>
    <w:p>
      <w:pPr>
        <w:ind w:left="780" w:right="20"/>
        <w:spacing w:after="0" w:line="266" w:lineRule="auto"/>
        <w:rPr>
          <w:sz w:val="20"/>
          <w:szCs w:val="20"/>
          <w:color w:val="auto"/>
        </w:rPr>
      </w:pPr>
      <w:r>
        <w:rPr>
          <w:rFonts w:ascii="Calibri" w:cs="Calibri" w:eastAsia="Calibri" w:hAnsi="Calibri"/>
          <w:sz w:val="20"/>
          <w:szCs w:val="20"/>
          <w:color w:val="auto"/>
        </w:rPr>
        <w:t>In additon, the Company Search is not capable of revealing, prior to the making of the relevant order or the appointment of an administrator otherwise taking efect, whether or not a winding-up petton or an applicaton for an administraton order has been presented or notce of intenton to appoint an administrator under paragraphs 14 or 22 of Schedule B1 to the Insolvency Act 1986 has been fled with the court;</w:t>
      </w:r>
    </w:p>
    <w:p>
      <w:pPr>
        <w:spacing w:after="0" w:line="214" w:lineRule="exact"/>
        <w:rPr>
          <w:sz w:val="20"/>
          <w:szCs w:val="20"/>
          <w:color w:val="auto"/>
        </w:rPr>
      </w:pPr>
    </w:p>
    <w:p>
      <w:pPr>
        <w:ind w:left="780" w:right="20" w:hanging="772"/>
        <w:spacing w:after="0" w:line="268" w:lineRule="auto"/>
        <w:tabs>
          <w:tab w:leader="none" w:pos="778"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Winding-up Enquiry</w:t>
      </w:r>
      <w:r>
        <w:rPr>
          <w:rFonts w:ascii="Calibri" w:cs="Calibri" w:eastAsia="Calibri" w:hAnsi="Calibri"/>
          <w:sz w:val="20"/>
          <w:szCs w:val="20"/>
          <w:color w:val="auto"/>
        </w:rPr>
        <w:t>: the Winding-up Enquiry relates only to the presentaton of (i) a petton for the making of a winding-up</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order or the making of a winding-up order by the Court, (ii) an applicaton to the High Court of Justce in London for the making of an administraton order and the making by such court of an administraton order, and (iii) a notce of intenton to appoint an administrator or a notce of appointment of an administrator fled at the High Court of Justce in London. It is not capable of revealing conclusively whether or not such a winding-up petton, applicaton for an administraton order, notce of intenton or notce of appointment has been presented or winding-up or administraton order granted, because:</w:t>
      </w:r>
    </w:p>
    <w:p>
      <w:pPr>
        <w:spacing w:after="0" w:line="214" w:lineRule="exact"/>
        <w:rPr>
          <w:sz w:val="20"/>
          <w:szCs w:val="20"/>
          <w:color w:val="auto"/>
        </w:rPr>
      </w:pPr>
    </w:p>
    <w:p>
      <w:pPr>
        <w:ind w:left="760" w:right="360" w:hanging="765"/>
        <w:spacing w:after="0" w:line="269" w:lineRule="auto"/>
        <w:tabs>
          <w:tab w:leader="none" w:pos="740" w:val="left"/>
        </w:tabs>
        <w:rPr>
          <w:sz w:val="20"/>
          <w:szCs w:val="20"/>
          <w:color w:val="auto"/>
        </w:rPr>
      </w:pPr>
      <w:r>
        <w:rPr>
          <w:rFonts w:ascii="Calibri" w:cs="Calibri" w:eastAsia="Calibri" w:hAnsi="Calibri"/>
          <w:sz w:val="20"/>
          <w:szCs w:val="20"/>
          <w:b w:val="1"/>
          <w:bCs w:val="1"/>
          <w:color w:val="auto"/>
        </w:rPr>
        <w:t>2.1</w:t>
      </w:r>
      <w:r>
        <w:rPr>
          <w:sz w:val="20"/>
          <w:szCs w:val="20"/>
          <w:color w:val="auto"/>
        </w:rPr>
        <w:tab/>
      </w:r>
      <w:r>
        <w:rPr>
          <w:rFonts w:ascii="Calibri" w:cs="Calibri" w:eastAsia="Calibri" w:hAnsi="Calibri"/>
          <w:sz w:val="20"/>
          <w:szCs w:val="20"/>
          <w:color w:val="auto"/>
        </w:rPr>
        <w:t>details of a winding-up petton or applicaton for an administraton order may not have been entered on the records of the Central Registry of Winding-up Pettons immediately;</w:t>
      </w:r>
    </w:p>
    <w:p>
      <w:pPr>
        <w:spacing w:after="0" w:line="209" w:lineRule="exact"/>
        <w:rPr>
          <w:sz w:val="20"/>
          <w:szCs w:val="20"/>
          <w:color w:val="auto"/>
        </w:rPr>
      </w:pPr>
    </w:p>
    <w:p>
      <w:pPr>
        <w:ind w:left="760" w:right="120" w:hanging="765"/>
        <w:spacing w:after="0" w:line="255" w:lineRule="auto"/>
        <w:tabs>
          <w:tab w:leader="none" w:pos="740" w:val="left"/>
        </w:tabs>
        <w:rPr>
          <w:sz w:val="20"/>
          <w:szCs w:val="20"/>
          <w:color w:val="auto"/>
        </w:rPr>
      </w:pPr>
      <w:r>
        <w:rPr>
          <w:rFonts w:ascii="Calibri" w:cs="Calibri" w:eastAsia="Calibri" w:hAnsi="Calibri"/>
          <w:sz w:val="20"/>
          <w:szCs w:val="20"/>
          <w:b w:val="1"/>
          <w:bCs w:val="1"/>
          <w:color w:val="auto"/>
        </w:rPr>
        <w:t>2.2</w:t>
      </w:r>
      <w:r>
        <w:rPr>
          <w:sz w:val="20"/>
          <w:szCs w:val="20"/>
          <w:color w:val="auto"/>
        </w:rPr>
        <w:tab/>
      </w:r>
      <w:r>
        <w:rPr>
          <w:rFonts w:ascii="Calibri" w:cs="Calibri" w:eastAsia="Calibri" w:hAnsi="Calibri"/>
          <w:sz w:val="20"/>
          <w:szCs w:val="20"/>
          <w:color w:val="auto"/>
        </w:rPr>
        <w:t>in the case of an applicaton for the making of an administraton order and the presentaton of a notce of intenton to appoint or notce of appointment, if such applicaton is made to, order made by or notce fled with, a Court other than the High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10920"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6</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right="400"/>
        <w:spacing w:after="0" w:line="255" w:lineRule="auto"/>
        <w:rPr>
          <w:sz w:val="20"/>
          <w:szCs w:val="20"/>
          <w:color w:val="auto"/>
        </w:rPr>
      </w:pPr>
      <w:r>
        <w:rPr>
          <w:rFonts w:ascii="Calibri" w:cs="Calibri" w:eastAsia="Calibri" w:hAnsi="Calibri"/>
          <w:sz w:val="20"/>
          <w:szCs w:val="20"/>
          <w:color w:val="auto"/>
        </w:rPr>
        <w:t>Court of Justce in London, no record of such applicaton, order or notce will be kept by the Central Registry of Winding-up Pettons;</w:t>
      </w:r>
    </w:p>
    <w:p>
      <w:pPr>
        <w:spacing w:after="0" w:line="237" w:lineRule="exact"/>
        <w:rPr>
          <w:sz w:val="20"/>
          <w:szCs w:val="20"/>
          <w:color w:val="auto"/>
        </w:rPr>
      </w:pPr>
    </w:p>
    <w:p>
      <w:pPr>
        <w:ind w:left="740" w:right="220" w:hanging="765"/>
        <w:spacing w:after="0" w:line="255" w:lineRule="auto"/>
        <w:tabs>
          <w:tab w:leader="none" w:pos="720" w:val="left"/>
        </w:tabs>
        <w:rPr>
          <w:sz w:val="20"/>
          <w:szCs w:val="20"/>
          <w:color w:val="auto"/>
        </w:rPr>
      </w:pPr>
      <w:r>
        <w:rPr>
          <w:rFonts w:ascii="Calibri" w:cs="Calibri" w:eastAsia="Calibri" w:hAnsi="Calibri"/>
          <w:sz w:val="20"/>
          <w:szCs w:val="20"/>
          <w:b w:val="1"/>
          <w:bCs w:val="1"/>
          <w:color w:val="auto"/>
        </w:rPr>
        <w:t>2.3</w:t>
      </w:r>
      <w:r>
        <w:rPr>
          <w:sz w:val="20"/>
          <w:szCs w:val="20"/>
          <w:color w:val="auto"/>
        </w:rPr>
        <w:tab/>
      </w:r>
      <w:r>
        <w:rPr>
          <w:rFonts w:ascii="Calibri" w:cs="Calibri" w:eastAsia="Calibri" w:hAnsi="Calibri"/>
          <w:sz w:val="20"/>
          <w:szCs w:val="20"/>
          <w:color w:val="auto"/>
        </w:rPr>
        <w:t>a winding-up order or administraton order may be made before the relevant petton or applicaton has been entered on the records of the Central Registry immediately;</w:t>
      </w:r>
    </w:p>
    <w:p>
      <w:pPr>
        <w:spacing w:after="0" w:line="224" w:lineRule="exact"/>
        <w:rPr>
          <w:sz w:val="20"/>
          <w:szCs w:val="20"/>
          <w:color w:val="auto"/>
        </w:rPr>
      </w:pPr>
    </w:p>
    <w:p>
      <w:pPr>
        <w:jc w:val="both"/>
        <w:ind w:left="740" w:right="60" w:hanging="765"/>
        <w:spacing w:after="0" w:line="267" w:lineRule="auto"/>
        <w:tabs>
          <w:tab w:leader="none" w:pos="720" w:val="left"/>
        </w:tabs>
        <w:rPr>
          <w:sz w:val="20"/>
          <w:szCs w:val="20"/>
          <w:color w:val="auto"/>
        </w:rPr>
      </w:pPr>
      <w:r>
        <w:rPr>
          <w:rFonts w:ascii="Calibri" w:cs="Calibri" w:eastAsia="Calibri" w:hAnsi="Calibri"/>
          <w:sz w:val="20"/>
          <w:szCs w:val="20"/>
          <w:b w:val="1"/>
          <w:bCs w:val="1"/>
          <w:color w:val="auto"/>
        </w:rPr>
        <w:t>2.4</w:t>
      </w:r>
      <w:r>
        <w:rPr>
          <w:sz w:val="20"/>
          <w:szCs w:val="20"/>
          <w:color w:val="auto"/>
        </w:rPr>
        <w:tab/>
      </w:r>
      <w:r>
        <w:rPr>
          <w:rFonts w:ascii="Calibri" w:cs="Calibri" w:eastAsia="Calibri" w:hAnsi="Calibri"/>
          <w:sz w:val="20"/>
          <w:szCs w:val="20"/>
          <w:color w:val="auto"/>
        </w:rPr>
        <w:t>details of a notce of intenton to appoint an administrator or a notce of appointment of an administrator under paragraphs 14 and 22 of Schedule B1 of the Insolvency Act 1986 may not be entered on the records immediately (or, in the case of a notce of intenton to appoint, at all); and</w:t>
      </w:r>
    </w:p>
    <w:p>
      <w:pPr>
        <w:spacing w:after="0" w:line="211" w:lineRule="exact"/>
        <w:rPr>
          <w:sz w:val="20"/>
          <w:szCs w:val="20"/>
          <w:color w:val="auto"/>
        </w:rPr>
      </w:pPr>
    </w:p>
    <w:p>
      <w:pPr>
        <w:ind w:left="740" w:right="80" w:hanging="765"/>
        <w:spacing w:after="0" w:line="255" w:lineRule="auto"/>
        <w:tabs>
          <w:tab w:leader="none" w:pos="720" w:val="left"/>
        </w:tabs>
        <w:rPr>
          <w:sz w:val="20"/>
          <w:szCs w:val="20"/>
          <w:color w:val="auto"/>
        </w:rPr>
      </w:pPr>
      <w:r>
        <w:rPr>
          <w:rFonts w:ascii="Calibri" w:cs="Calibri" w:eastAsia="Calibri" w:hAnsi="Calibri"/>
          <w:sz w:val="20"/>
          <w:szCs w:val="20"/>
          <w:b w:val="1"/>
          <w:bCs w:val="1"/>
          <w:color w:val="auto"/>
        </w:rPr>
        <w:t>2.5</w:t>
      </w:r>
      <w:r>
        <w:rPr>
          <w:sz w:val="20"/>
          <w:szCs w:val="20"/>
          <w:color w:val="auto"/>
        </w:rPr>
        <w:tab/>
      </w:r>
      <w:r>
        <w:rPr>
          <w:rFonts w:ascii="Calibri" w:cs="Calibri" w:eastAsia="Calibri" w:hAnsi="Calibri"/>
          <w:sz w:val="20"/>
          <w:szCs w:val="20"/>
          <w:color w:val="auto"/>
        </w:rPr>
        <w:t>with regard to winding-up pettons, the Central Registry of Winding-up Pettons may not have records of winding-up pettons issued prior to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0900"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7</w:t>
      </w:r>
    </w:p>
    <w:p>
      <w:pPr>
        <w:sectPr>
          <w:pgSz w:w="11900" w:h="16838" w:orient="portrait"/>
          <w:cols w:equalWidth="0" w:num="1">
            <w:col w:w="11200"/>
          </w:cols>
          <w:pgMar w:left="340" w:top="1440" w:right="3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b w:val="1"/>
          <w:bCs w:val="1"/>
          <w:color w:val="auto"/>
        </w:rPr>
        <w:t>Schedule 3</w:t>
      </w:r>
    </w:p>
    <w:p>
      <w:pPr>
        <w:spacing w:after="0" w:line="228" w:lineRule="exact"/>
        <w:rPr>
          <w:sz w:val="20"/>
          <w:szCs w:val="20"/>
          <w:color w:val="auto"/>
        </w:rPr>
      </w:pPr>
    </w:p>
    <w:p>
      <w:pPr>
        <w:ind w:left="772" w:hanging="772"/>
        <w:spacing w:after="0"/>
        <w:tabs>
          <w:tab w:leader="none" w:pos="772"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copy of the draf Registraton Statement;</w:t>
      </w:r>
    </w:p>
    <w:p>
      <w:pPr>
        <w:spacing w:after="0" w:line="238" w:lineRule="exact"/>
        <w:rPr>
          <w:rFonts w:ascii="Calibri" w:cs="Calibri" w:eastAsia="Calibri" w:hAnsi="Calibri"/>
          <w:sz w:val="20"/>
          <w:szCs w:val="20"/>
          <w:b w:val="1"/>
          <w:bCs w:val="1"/>
          <w:color w:val="auto"/>
        </w:rPr>
      </w:pPr>
    </w:p>
    <w:p>
      <w:pPr>
        <w:ind w:left="772" w:right="720" w:hanging="772"/>
        <w:spacing w:after="0" w:line="269"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certfcate from an Ofcer of the Company dated 17 May 2024 relatng to certain factual maters as of the date of the certfcate;</w:t>
      </w:r>
    </w:p>
    <w:p>
      <w:pPr>
        <w:spacing w:after="0" w:line="208" w:lineRule="exact"/>
        <w:rPr>
          <w:rFonts w:ascii="Calibri" w:cs="Calibri" w:eastAsia="Calibri" w:hAnsi="Calibri"/>
          <w:sz w:val="20"/>
          <w:szCs w:val="20"/>
          <w:b w:val="1"/>
          <w:bCs w:val="1"/>
          <w:color w:val="auto"/>
        </w:rPr>
      </w:pPr>
    </w:p>
    <w:p>
      <w:pPr>
        <w:ind w:left="772" w:right="460" w:hanging="772"/>
        <w:spacing w:after="0" w:line="255"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rules of the Noble Corporaton plc 2022 Long-Term Incentve Plan, including the amendments approved by the Company's shareholders at its 2024 Annual General Meetng (the "</w:t>
      </w:r>
      <w:r>
        <w:rPr>
          <w:rFonts w:ascii="Calibri" w:cs="Calibri" w:eastAsia="Calibri" w:hAnsi="Calibri"/>
          <w:sz w:val="20"/>
          <w:szCs w:val="20"/>
          <w:b w:val="1"/>
          <w:bCs w:val="1"/>
          <w:color w:val="auto"/>
        </w:rPr>
        <w:t>Plan Documentaton</w:t>
      </w:r>
      <w:r>
        <w:rPr>
          <w:rFonts w:ascii="Calibri" w:cs="Calibri" w:eastAsia="Calibri" w:hAnsi="Calibri"/>
          <w:sz w:val="20"/>
          <w:szCs w:val="20"/>
          <w:color w:val="auto"/>
        </w:rPr>
        <w:t>");</w:t>
      </w:r>
    </w:p>
    <w:p>
      <w:pPr>
        <w:spacing w:after="0" w:line="223" w:lineRule="exact"/>
        <w:rPr>
          <w:rFonts w:ascii="Calibri" w:cs="Calibri" w:eastAsia="Calibri" w:hAnsi="Calibri"/>
          <w:sz w:val="20"/>
          <w:szCs w:val="20"/>
          <w:b w:val="1"/>
          <w:bCs w:val="1"/>
          <w:color w:val="auto"/>
        </w:rPr>
      </w:pPr>
    </w:p>
    <w:p>
      <w:pPr>
        <w:ind w:left="772" w:right="180" w:hanging="772"/>
        <w:spacing w:after="0" w:line="268"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PDF copy of the ordinary resoluton of the Company's sole shareholder, Noble Corporaton 2022 Limited, passed on 5 May 2022 grantng general and unconditonal authority to the Company's directors for the purposes of secton 551 of the Companies Act 2006 to exercise all powers of the Company to allot shares and to grant any such subscripton rights, as are contemplated in sub-sectons 551(1)(a) and 551(1)(b) respectvely of the Companies Act 2006 up to a maximum nominal amount of US$271.00 to such persons and at such tmes and on such terms as they think proper during the period expiring at the end of fve years from the date of the passing of the resoluton;</w:t>
      </w:r>
    </w:p>
    <w:p>
      <w:pPr>
        <w:spacing w:after="0" w:line="213" w:lineRule="exact"/>
        <w:rPr>
          <w:rFonts w:ascii="Calibri" w:cs="Calibri" w:eastAsia="Calibri" w:hAnsi="Calibri"/>
          <w:sz w:val="20"/>
          <w:szCs w:val="20"/>
          <w:b w:val="1"/>
          <w:bCs w:val="1"/>
          <w:color w:val="auto"/>
        </w:rPr>
      </w:pPr>
    </w:p>
    <w:p>
      <w:pPr>
        <w:ind w:left="772" w:right="580" w:hanging="772"/>
        <w:spacing w:after="0" w:line="255"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PDF copy of the writen resolutons of the board of directors of the Company dated 29 September 2022 to approve the assumpton of the Plan and the allotment of shares, including the Shares (the "</w:t>
      </w:r>
      <w:r>
        <w:rPr>
          <w:rFonts w:ascii="Calibri" w:cs="Calibri" w:eastAsia="Calibri" w:hAnsi="Calibri"/>
          <w:sz w:val="20"/>
          <w:szCs w:val="20"/>
          <w:b w:val="1"/>
          <w:bCs w:val="1"/>
          <w:color w:val="auto"/>
        </w:rPr>
        <w:t>Allotment Resolutons</w:t>
      </w:r>
      <w:r>
        <w:rPr>
          <w:rFonts w:ascii="Calibri" w:cs="Calibri" w:eastAsia="Calibri" w:hAnsi="Calibri"/>
          <w:sz w:val="20"/>
          <w:szCs w:val="20"/>
          <w:color w:val="auto"/>
        </w:rPr>
        <w:t>");</w:t>
      </w:r>
    </w:p>
    <w:p>
      <w:pPr>
        <w:spacing w:after="0" w:line="223" w:lineRule="exact"/>
        <w:rPr>
          <w:rFonts w:ascii="Calibri" w:cs="Calibri" w:eastAsia="Calibri" w:hAnsi="Calibri"/>
          <w:sz w:val="20"/>
          <w:szCs w:val="20"/>
          <w:b w:val="1"/>
          <w:bCs w:val="1"/>
          <w:color w:val="auto"/>
        </w:rPr>
      </w:pPr>
    </w:p>
    <w:p>
      <w:pPr>
        <w:ind w:left="772" w:right="40" w:hanging="772"/>
        <w:spacing w:after="0" w:line="269"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PDF of the writen resolutons of the board of directors of the Company date 1 April 2024 to approve a proposed amended to the Plan Documentaton (the "</w:t>
      </w:r>
      <w:r>
        <w:rPr>
          <w:rFonts w:ascii="Calibri" w:cs="Calibri" w:eastAsia="Calibri" w:hAnsi="Calibri"/>
          <w:sz w:val="20"/>
          <w:szCs w:val="20"/>
          <w:b w:val="1"/>
          <w:bCs w:val="1"/>
          <w:color w:val="auto"/>
        </w:rPr>
        <w:t>2024 Amendment Resolutons</w:t>
      </w:r>
      <w:r>
        <w:rPr>
          <w:rFonts w:ascii="Calibri" w:cs="Calibri" w:eastAsia="Calibri" w:hAnsi="Calibri"/>
          <w:sz w:val="20"/>
          <w:szCs w:val="20"/>
          <w:color w:val="auto"/>
        </w:rPr>
        <w:t>");</w:t>
      </w:r>
    </w:p>
    <w:p>
      <w:pPr>
        <w:spacing w:after="0" w:line="208" w:lineRule="exact"/>
        <w:rPr>
          <w:rFonts w:ascii="Calibri" w:cs="Calibri" w:eastAsia="Calibri" w:hAnsi="Calibri"/>
          <w:sz w:val="20"/>
          <w:szCs w:val="20"/>
          <w:b w:val="1"/>
          <w:bCs w:val="1"/>
          <w:color w:val="auto"/>
        </w:rPr>
      </w:pPr>
    </w:p>
    <w:p>
      <w:pPr>
        <w:ind w:left="772" w:right="320" w:hanging="772"/>
        <w:spacing w:after="0" w:line="255"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PDF of the Company's 2024 proxy statement, containing notce of the 2024 Annual General Meetng to be held on 21 May 2024, Resoluton 14 of which proposed amendments to the Plan Documentaton; and</w:t>
      </w:r>
    </w:p>
    <w:p>
      <w:pPr>
        <w:spacing w:after="0" w:line="223" w:lineRule="exact"/>
        <w:rPr>
          <w:rFonts w:ascii="Calibri" w:cs="Calibri" w:eastAsia="Calibri" w:hAnsi="Calibri"/>
          <w:sz w:val="20"/>
          <w:szCs w:val="20"/>
          <w:b w:val="1"/>
          <w:bCs w:val="1"/>
          <w:color w:val="auto"/>
        </w:rPr>
      </w:pPr>
    </w:p>
    <w:p>
      <w:pPr>
        <w:ind w:left="772" w:right="560" w:hanging="772"/>
        <w:spacing w:after="0" w:line="255" w:lineRule="auto"/>
        <w:tabs>
          <w:tab w:leader="none" w:pos="77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report from the Company's scrutneers confrming that Resoluton 14 proposed at the Company's 2024 Annual General Meetng was duly passed; and</w:t>
      </w:r>
    </w:p>
    <w:p>
      <w:pPr>
        <w:spacing w:after="0" w:line="227" w:lineRule="exact"/>
        <w:rPr>
          <w:rFonts w:ascii="Calibri" w:cs="Calibri" w:eastAsia="Calibri" w:hAnsi="Calibri"/>
          <w:sz w:val="20"/>
          <w:szCs w:val="20"/>
          <w:b w:val="1"/>
          <w:bCs w:val="1"/>
          <w:color w:val="auto"/>
        </w:rPr>
      </w:pPr>
    </w:p>
    <w:p>
      <w:pPr>
        <w:ind w:left="772" w:hanging="772"/>
        <w:spacing w:after="0"/>
        <w:tabs>
          <w:tab w:leader="none" w:pos="772"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color w:val="auto"/>
        </w:rPr>
        <w:t>a PDF copy of the artcles of associaton of the Company adopted by way of special resoluton on 5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
        <w:spacing w:after="0"/>
        <w:tabs>
          <w:tab w:leader="none" w:pos="10912" w:val="left"/>
        </w:tabs>
        <w:rPr>
          <w:sz w:val="20"/>
          <w:szCs w:val="20"/>
          <w:color w:val="auto"/>
        </w:rPr>
      </w:pPr>
      <w:r>
        <w:rPr>
          <w:rFonts w:ascii="Calibri" w:cs="Calibri" w:eastAsia="Calibri" w:hAnsi="Calibri"/>
          <w:sz w:val="11"/>
          <w:szCs w:val="11"/>
          <w:color w:val="auto"/>
        </w:rPr>
        <w:t>4129-6377-4527/1/JMR/AUA</w:t>
      </w:r>
      <w:r>
        <w:rPr>
          <w:sz w:val="20"/>
          <w:szCs w:val="20"/>
          <w:color w:val="auto"/>
        </w:rPr>
        <w:tab/>
      </w:r>
      <w:r>
        <w:rPr>
          <w:rFonts w:ascii="Calibri" w:cs="Calibri" w:eastAsia="Calibri" w:hAnsi="Calibri"/>
          <w:sz w:val="10"/>
          <w:szCs w:val="10"/>
          <w:color w:val="auto"/>
        </w:rPr>
        <w:t>Page 8</w:t>
      </w:r>
    </w:p>
    <w:p>
      <w:pPr>
        <w:sectPr>
          <w:pgSz w:w="11900" w:h="16838" w:orient="portrait"/>
          <w:cols w:equalWidth="0" w:num="1">
            <w:col w:w="11212"/>
          </w:cols>
          <w:pgMar w:left="328" w:top="1440" w:right="359" w:bottom="1440" w:gutter="0" w:footer="0" w:header="0"/>
        </w:sectPr>
      </w:pPr>
    </w:p>
    <w:bookmarkStart w:id="13" w:name="page14"/>
    <w:bookmarkEnd w:id="13"/>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Noble Corporation plc of our report dated February 23, 2024 relating to the financial statements and the effectiveness of internal control over financial reporting of Noble Corporation plc (Successor), which appears in Noble Corporation plc's Annual Report on Form 10-K for the year ended December 31, 2023.</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May 21, 2024</w:t>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Georgia" w:cs="Georgia" w:eastAsia="Georgia" w:hAnsi="Georgia"/>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We hereby consent to the incorporation by reference in this Registration Statement on Form S-8 of Noble Corporation plc of our report dated</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17, 2022 relating to the financial statements of Noble Corporation plc (Predecessor), which appears in Noble Corporation plc's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Annual Report on Form 10-K for the year ended December 31, 2023.</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May 21, 2024</w:t>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FIRST AMENDMENT TO THE</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NOBLE CORPORATION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2022 LONG-TERM INCENTIVE PLAN</w:t>
      </w:r>
    </w:p>
    <w:p>
      <w:pPr>
        <w:spacing w:after="0" w:line="365" w:lineRule="exact"/>
        <w:rPr>
          <w:sz w:val="20"/>
          <w:szCs w:val="20"/>
          <w:color w:val="auto"/>
        </w:rPr>
      </w:pPr>
    </w:p>
    <w:p>
      <w:pPr>
        <w:jc w:val="both"/>
        <w:ind w:firstLine="20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Noble Corporation plc, a public limited company formed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maintains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Noble Corporation plc 2022 Long-Term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w:t>
      </w:r>
    </w:p>
    <w:p>
      <w:pPr>
        <w:spacing w:after="0" w:line="71" w:lineRule="exact"/>
        <w:rPr>
          <w:sz w:val="20"/>
          <w:szCs w:val="20"/>
          <w:color w:val="auto"/>
        </w:rPr>
      </w:pPr>
    </w:p>
    <w:p>
      <w:pPr>
        <w:jc w:val="both"/>
        <w:ind w:firstLine="19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12 of the Plan, the Company’s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may amend the Plan at any time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purpose as permitted by law, subject to any requirement for stockholder approval imposed by applicable law, including the rules and regulations of the principal securities market on which the Company’s shares are traded.</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pursuant to its authority under Section 12 of the Plan, the Board hereby amends the Plan as follows, effective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 2024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with Item 1 subject to the approval of the stockholders of the Company:</w:t>
      </w:r>
    </w:p>
    <w:p>
      <w:pPr>
        <w:spacing w:after="0" w:line="14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sentence of Section 5(a) of the Plan is hereby amended and restated to read as follows:</w:t>
      </w:r>
    </w:p>
    <w:p>
      <w:pPr>
        <w:spacing w:after="0" w:line="242" w:lineRule="exact"/>
        <w:rPr>
          <w:rFonts w:ascii="Times New Roman" w:cs="Times New Roman" w:eastAsia="Times New Roman" w:hAnsi="Times New Roman"/>
          <w:sz w:val="20"/>
          <w:szCs w:val="20"/>
          <w:color w:val="auto"/>
        </w:rPr>
      </w:pPr>
    </w:p>
    <w:p>
      <w:pPr>
        <w:jc w:val="both"/>
        <w:ind w:left="980" w:right="38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“Subject to the provisions of </w:t>
      </w:r>
      <w:r>
        <w:rPr>
          <w:rFonts w:ascii="Times New Roman" w:cs="Times New Roman" w:eastAsia="Times New Roman" w:hAnsi="Times New Roman"/>
          <w:sz w:val="19"/>
          <w:szCs w:val="19"/>
          <w:u w:val="single" w:color="auto"/>
          <w:color w:val="auto"/>
        </w:rPr>
        <w:t>Paragraph 14</w:t>
      </w:r>
      <w:r>
        <w:rPr>
          <w:rFonts w:ascii="Times New Roman" w:cs="Times New Roman" w:eastAsia="Times New Roman" w:hAnsi="Times New Roman"/>
          <w:sz w:val="19"/>
          <w:szCs w:val="19"/>
          <w:color w:val="auto"/>
        </w:rPr>
        <w:t xml:space="preserve"> hereof, the maximum number of Shares that may be allotted and issued, transferred, or delivered pursuant to Awards under the Plan (including rights or Options that may be exercised for or settled in Shares) shall be 10,688,623 (the “Maximum Share Limit”), all of which shall be available for Incentive Stock Options.”</w:t>
      </w:r>
    </w:p>
    <w:p>
      <w:pPr>
        <w:spacing w:after="0" w:line="19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 of the Plan is hereby amended by adding a new subsection (f) to read as follows:</w:t>
      </w:r>
    </w:p>
    <w:p>
      <w:pPr>
        <w:spacing w:after="0" w:line="252" w:lineRule="exact"/>
        <w:rPr>
          <w:rFonts w:ascii="Times New Roman" w:cs="Times New Roman" w:eastAsia="Times New Roman" w:hAnsi="Times New Roman"/>
          <w:sz w:val="20"/>
          <w:szCs w:val="20"/>
          <w:color w:val="auto"/>
        </w:rPr>
      </w:pPr>
    </w:p>
    <w:p>
      <w:pPr>
        <w:jc w:val="both"/>
        <w:ind w:left="980" w:right="380"/>
        <w:spacing w:after="0" w:line="26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“(f) </w:t>
      </w:r>
      <w:r>
        <w:rPr>
          <w:rFonts w:ascii="Times New Roman" w:cs="Times New Roman" w:eastAsia="Times New Roman" w:hAnsi="Times New Roman"/>
          <w:sz w:val="19"/>
          <w:szCs w:val="19"/>
          <w:i w:val="1"/>
          <w:iCs w:val="1"/>
          <w:color w:val="auto"/>
        </w:rPr>
        <w:t>Minimum Vesting</w:t>
      </w:r>
      <w:r>
        <w:rPr>
          <w:rFonts w:ascii="Times New Roman" w:cs="Times New Roman" w:eastAsia="Times New Roman" w:hAnsi="Times New Roman"/>
          <w:sz w:val="19"/>
          <w:szCs w:val="19"/>
          <w:color w:val="auto"/>
        </w:rPr>
        <w:t>. Notwithstanding any other provision of the Plan to the contrary, Awards granted under the Plan (other than Cash Awards) shall vest no earlier than the first anniversary of the date on which is the Award is granted; provided, however, that the following Awards shall not be subject to the foregoing minimum vesting requirement: (i) Substitute Awards, (ii) Awards to Non-Employee Directors that vest on the earlier of the one-year anniversary of the date of grant and the next annual meeting of stockholders that is at least 50 weeks after the immediately preceding year’s annual meeting, (iii)</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Awards for which vesting is accelerated in connection with the Participant’s death or Disability or a Change in Control; and</w:t>
      </w:r>
    </w:p>
    <w:p>
      <w:pPr>
        <w:spacing w:after="0" w:line="6" w:lineRule="exact"/>
        <w:rPr>
          <w:sz w:val="20"/>
          <w:szCs w:val="20"/>
          <w:color w:val="auto"/>
        </w:rPr>
      </w:pPr>
    </w:p>
    <w:p>
      <w:pPr>
        <w:ind w:left="980" w:right="400"/>
        <w:spacing w:after="0" w:line="260" w:lineRule="auto"/>
        <w:tabs>
          <w:tab w:leader="none" w:pos="133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Awards covering up to a maximum of 5% of the available share reserve authorized for allotment and issuance under the Plan pursuant to Section 5.”</w:t>
      </w:r>
    </w:p>
    <w:p>
      <w:pPr>
        <w:spacing w:after="0" w:line="19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9(b) of the Plan is hereby amended and restated to read as follows:</w:t>
      </w:r>
    </w:p>
    <w:p>
      <w:pPr>
        <w:spacing w:after="0" w:line="256" w:lineRule="exact"/>
        <w:rPr>
          <w:rFonts w:ascii="Times New Roman" w:cs="Times New Roman" w:eastAsia="Times New Roman" w:hAnsi="Times New Roman"/>
          <w:sz w:val="20"/>
          <w:szCs w:val="20"/>
          <w:color w:val="auto"/>
        </w:rPr>
      </w:pPr>
    </w:p>
    <w:p>
      <w:pPr>
        <w:jc w:val="both"/>
        <w:ind w:left="980" w:right="4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to (i) dividends or other distributions may be extended to and made part of any Restricted Stock Award or other Stock Awards and (ii) Dividend Equivalents may be extended to and made part of any Restricted Stock Unit Award, subject in each case to such terms, conditions and restrictions as the Committee may establish as set forth in the Award Agreement thereto; provided, however, that such dividends and Dividend Equivalents shall be payable at the same time, and shall be subject to the same conditions, that are applicable to the underlying Award. Accordingly, the right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6" w:name="page17"/>
    <w:bookmarkEnd w:id="16"/>
    <w:p>
      <w:pPr>
        <w:jc w:val="both"/>
        <w:ind w:left="324" w:right="380"/>
        <w:spacing w:after="0" w:line="258" w:lineRule="auto"/>
        <w:rPr>
          <w:sz w:val="20"/>
          <w:szCs w:val="20"/>
          <w:color w:val="auto"/>
        </w:rPr>
      </w:pPr>
      <w:r>
        <w:rPr>
          <w:rFonts w:ascii="Times New Roman" w:cs="Times New Roman" w:eastAsia="Times New Roman" w:hAnsi="Times New Roman"/>
          <w:sz w:val="20"/>
          <w:szCs w:val="20"/>
          <w:color w:val="auto"/>
        </w:rPr>
        <w:t>such dividends and Dividend Equivalent payments shall be forfeited to the extent that the underlying Restricted Stock, or other Stock Award, or RSUs do not vest, are forfeited or are otherwise cancelled pursuant to such Award. Notwithstanding any provision herein to the contrary, dividends and/or Dividend Equivalents shall not be made part of any Options or SARs.”</w:t>
      </w:r>
    </w:p>
    <w:p>
      <w:pPr>
        <w:spacing w:after="0" w:line="213" w:lineRule="exact"/>
        <w:rPr>
          <w:sz w:val="20"/>
          <w:szCs w:val="20"/>
          <w:color w:val="auto"/>
        </w:rPr>
      </w:pPr>
    </w:p>
    <w:p>
      <w:pPr>
        <w:ind w:left="324" w:hanging="324"/>
        <w:spacing w:after="0" w:line="297"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shall be governed by and construed in accordance with the laws of the State of Texas, except to the extent Texas law is preempted by Federal law of the United States or the laws of England and Wales.</w:t>
      </w:r>
    </w:p>
    <w:p>
      <w:pPr>
        <w:spacing w:after="0" w:line="159" w:lineRule="exact"/>
        <w:rPr>
          <w:rFonts w:ascii="Times New Roman" w:cs="Times New Roman" w:eastAsia="Times New Roman" w:hAnsi="Times New Roman"/>
          <w:sz w:val="20"/>
          <w:szCs w:val="20"/>
          <w:color w:val="auto"/>
        </w:rPr>
      </w:pPr>
    </w:p>
    <w:p>
      <w:pPr>
        <w:ind w:left="324" w:hanging="324"/>
        <w:spacing w:after="0" w:line="283"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but not otherwise defined herein shall have the meaning assigned to them in the Plan. Except as expressly amended hereby, the Plan shall remain in full force and effect in accordance with its terms.</w:t>
      </w:r>
    </w:p>
    <w:p>
      <w:pPr>
        <w:spacing w:after="0" w:line="200" w:lineRule="exact"/>
        <w:rPr>
          <w:sz w:val="20"/>
          <w:szCs w:val="20"/>
          <w:color w:val="auto"/>
        </w:rPr>
      </w:pPr>
    </w:p>
    <w:p>
      <w:pPr>
        <w:spacing w:after="0" w:line="270" w:lineRule="exact"/>
        <w:rPr>
          <w:sz w:val="20"/>
          <w:szCs w:val="20"/>
          <w:color w:val="auto"/>
        </w:rPr>
      </w:pPr>
    </w:p>
    <w:p>
      <w:pPr>
        <w:ind w:left="3964"/>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4"/>
          </w:cols>
          <w:pgMar w:left="976" w:top="1413" w:right="339" w:bottom="1440" w:gutter="0" w:footer="0" w:header="0"/>
        </w:sectPr>
      </w:pPr>
    </w:p>
    <w:bookmarkStart w:id="17" w:name="page18"/>
    <w:bookmarkEnd w:id="17"/>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this First Amendment to the Noble Corporation plc 2022 Long-Term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Plan, effective as of the Amendment Effective Date.</w:t>
      </w: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s/Jennie Howard</w:t>
      </w:r>
    </w:p>
    <w:p>
      <w:pPr>
        <w:spacing w:after="0" w:line="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Name: Jennie Howard</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Title: SVP,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5"/>
    </w:lvl>
  </w:abstractNum>
  <w:abstractNum w:abstractNumId="3">
    <w:nsid w:val="515F007C"/>
    <w:multiLevelType w:val="hybridMultilevel"/>
    <w:lvl w:ilvl="0">
      <w:lvlJc w:val="left"/>
      <w:lvlText w:val="%1."/>
      <w:numFmt w:val="decimal"/>
      <w:start w:val="8"/>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Roman"/>
      <w:start w:val="4"/>
    </w:lvl>
  </w:abstractNum>
  <w:abstractNum w:abstractNumId="11">
    <w:nsid w:val="140E0F76"/>
    <w:multiLevelType w:val="hybridMultilevel"/>
    <w:lvl w:ilvl="0">
      <w:lvlJc w:val="left"/>
      <w:lvlText w:val="%1."/>
      <w:numFmt w:val="decimal"/>
      <w:start w:val="3"/>
    </w:lvl>
    <w:lvl w:ilvl="1">
      <w:lvlJc w:val="left"/>
      <w:lvlText w:val="%2"/>
      <w:numFmt w:val="lowerRoman"/>
      <w:start w:val="1"/>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s://www.sec.gov/Archives/edgar/data/1895262/000119312522255750/d377043ds8.htm" TargetMode="External"/><Relationship Id="rId13" Type="http://schemas.openxmlformats.org/officeDocument/2006/relationships/hyperlink" Target="https://www.sec.gov/Archives/edgar/data/1895262/000119312522255750/d377043dex31.htm" TargetMode="External"/><Relationship Id="rId14" Type="http://schemas.openxmlformats.org/officeDocument/2006/relationships/hyperlink" Target="https://www.sec.gov/Archives/edgar/data/1895262/000119312522255750/d37704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2024-05-21T15:12:09Z</dcterms:created>
  <dcterms:modified xsi:type="dcterms:W3CDTF">2024-05-21T15:12:09Z</dcterms:modified>
</cp:coreProperties>
</file>