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Noble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 Ordinary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G65431 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APMH Invest A/S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Esplanaden 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1263 Copenhagen 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+45 61 18 10 20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Connie I. Milonakis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London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Aldermanbury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NW5 3LH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+44 20 7418 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333"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17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2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78"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378460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522" w:right="37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537210</wp:posOffset>
            </wp:positionV>
            <wp:extent cx="7127875" cy="201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201295"/>
                    </a:xfrm>
                    <a:prstGeom prst="rect">
                      <a:avLst/>
                    </a:prstGeom>
                    <a:noFill/>
                  </pic:spPr>
                </pic:pic>
              </a:graphicData>
            </a:graphic>
          </wp:anchor>
        </w:drawing>
        <w:t>CUSIP No. G65431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7732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732395"/>
                    </a:xfrm>
                    <a:prstGeom prst="rect">
                      <a:avLst/>
                    </a:prstGeom>
                    <a:noFill/>
                  </pic:spPr>
                </pic:pic>
              </a:graphicData>
            </a:graphic>
          </wp:anchor>
        </w:drawing>
      </w:r>
    </w:p>
    <w:p>
      <w:pPr>
        <w:spacing w:after="0" w:line="317" w:lineRule="exact"/>
        <w:rPr>
          <w:sz w:val="20"/>
          <w:szCs w:val="20"/>
          <w:color w:val="auto"/>
        </w:rPr>
      </w:pPr>
    </w:p>
    <w:p>
      <w:pPr>
        <w:ind w:left="600" w:right="8720" w:hanging="331"/>
        <w:spacing w:after="0" w:line="573" w:lineRule="auto"/>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 of Reporting Person APMH Invest A/S</w:t>
      </w:r>
    </w:p>
    <w:p>
      <w:pPr>
        <w:spacing w:after="0" w:line="12" w:lineRule="exact"/>
        <w:rPr>
          <w:sz w:val="20"/>
          <w:szCs w:val="20"/>
          <w:color w:val="auto"/>
        </w:rPr>
      </w:pPr>
    </w:p>
    <w:p>
      <w:pPr>
        <w:ind w:left="600" w:hanging="353"/>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840" w:hanging="238"/>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860" w:hanging="258"/>
        <w:spacing w:after="0"/>
        <w:tabs>
          <w:tab w:leader="none" w:pos="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92" w:lineRule="exact"/>
        <w:rPr>
          <w:sz w:val="20"/>
          <w:szCs w:val="20"/>
          <w:color w:val="auto"/>
        </w:rPr>
      </w:pPr>
    </w:p>
    <w:p>
      <w:pPr>
        <w:ind w:left="600" w:hanging="353"/>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2"/>
              </w:rPr>
              <w:t>Source of Funds</w:t>
            </w:r>
          </w:p>
        </w:tc>
        <w:tc>
          <w:tcPr>
            <w:tcW w:w="4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560" w:type="dxa"/>
            <w:vAlign w:val="bottom"/>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Denmark</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79"/>
              </w:rPr>
              <w:t>7</w:t>
            </w:r>
          </w:p>
        </w:tc>
        <w:tc>
          <w:tcPr>
            <w:tcW w:w="6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Pr>
          <w:p>
            <w:pPr>
              <w:spacing w:after="0"/>
              <w:rPr>
                <w:sz w:val="23"/>
                <w:szCs w:val="23"/>
                <w:color w:val="auto"/>
              </w:rPr>
            </w:pPr>
          </w:p>
        </w:tc>
        <w:tc>
          <w:tcPr>
            <w:tcW w:w="4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79"/>
              </w:rPr>
              <w:t>8</w:t>
            </w:r>
          </w:p>
        </w:tc>
        <w:tc>
          <w:tcPr>
            <w:tcW w:w="64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vMerge w:val="restart"/>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EACH</w:t>
            </w:r>
          </w:p>
        </w:tc>
        <w:tc>
          <w:tcPr>
            <w:tcW w:w="120" w:type="dxa"/>
            <w:vAlign w:val="bottom"/>
          </w:tcPr>
          <w:p>
            <w:pPr>
              <w:spacing w:after="0"/>
              <w:rPr>
                <w:sz w:val="16"/>
                <w:szCs w:val="16"/>
                <w:color w:val="auto"/>
              </w:rPr>
            </w:pPr>
          </w:p>
        </w:tc>
        <w:tc>
          <w:tcPr>
            <w:tcW w:w="420" w:type="dxa"/>
            <w:vAlign w:val="bottom"/>
            <w:tcBorders>
              <w:right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9</w:t>
            </w:r>
          </w:p>
        </w:tc>
        <w:tc>
          <w:tcPr>
            <w:tcW w:w="642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6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642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10</w:t>
            </w:r>
          </w:p>
        </w:tc>
        <w:tc>
          <w:tcPr>
            <w:tcW w:w="6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11</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12</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560" w:type="dxa"/>
            <w:vAlign w:val="bottom"/>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13</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8"/>
              </w:rPr>
              <w:t>19.77% (See item 5)</w:t>
            </w: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14</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G65431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7732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732395"/>
                    </a:xfrm>
                    <a:prstGeom prst="rect">
                      <a:avLst/>
                    </a:prstGeom>
                    <a:noFill/>
                  </pic:spPr>
                </pic:pic>
              </a:graphicData>
            </a:graphic>
          </wp:anchor>
        </w:drawing>
      </w:r>
    </w:p>
    <w:p>
      <w:pPr>
        <w:spacing w:after="0" w:line="344" w:lineRule="exact"/>
        <w:rPr>
          <w:sz w:val="20"/>
          <w:szCs w:val="20"/>
          <w:color w:val="auto"/>
        </w:rPr>
      </w:pPr>
    </w:p>
    <w:p>
      <w:pPr>
        <w:ind w:left="600" w:right="8640" w:hanging="331"/>
        <w:spacing w:after="0" w:line="616"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 A.P. Møller Holding A/S</w:t>
      </w:r>
    </w:p>
    <w:p>
      <w:pPr>
        <w:spacing w:after="0" w:line="1" w:lineRule="exact"/>
        <w:rPr>
          <w:sz w:val="20"/>
          <w:szCs w:val="20"/>
          <w:color w:val="auto"/>
        </w:rPr>
      </w:pPr>
    </w:p>
    <w:p>
      <w:pPr>
        <w:ind w:left="600" w:hanging="353"/>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840" w:hanging="238"/>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860" w:hanging="25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92" w:lineRule="exact"/>
        <w:rPr>
          <w:sz w:val="20"/>
          <w:szCs w:val="20"/>
          <w:color w:val="auto"/>
        </w:rPr>
      </w:pPr>
    </w:p>
    <w:p>
      <w:pPr>
        <w:ind w:left="600" w:hanging="353"/>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2"/>
              </w:rPr>
              <w:t>Source of Funds</w:t>
            </w:r>
          </w:p>
        </w:tc>
        <w:tc>
          <w:tcPr>
            <w:tcW w:w="4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560" w:type="dxa"/>
            <w:vAlign w:val="bottom"/>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Denmark</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79"/>
              </w:rPr>
              <w:t>7</w:t>
            </w:r>
          </w:p>
        </w:tc>
        <w:tc>
          <w:tcPr>
            <w:tcW w:w="6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Pr>
          <w:p>
            <w:pPr>
              <w:spacing w:after="0"/>
              <w:rPr>
                <w:sz w:val="23"/>
                <w:szCs w:val="23"/>
                <w:color w:val="auto"/>
              </w:rPr>
            </w:pPr>
          </w:p>
        </w:tc>
        <w:tc>
          <w:tcPr>
            <w:tcW w:w="4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79"/>
              </w:rPr>
              <w:t>8</w:t>
            </w:r>
          </w:p>
        </w:tc>
        <w:tc>
          <w:tcPr>
            <w:tcW w:w="64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vMerge w:val="restart"/>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EACH</w:t>
            </w:r>
          </w:p>
        </w:tc>
        <w:tc>
          <w:tcPr>
            <w:tcW w:w="120" w:type="dxa"/>
            <w:vAlign w:val="bottom"/>
          </w:tcPr>
          <w:p>
            <w:pPr>
              <w:spacing w:after="0"/>
              <w:rPr>
                <w:sz w:val="16"/>
                <w:szCs w:val="16"/>
                <w:color w:val="auto"/>
              </w:rPr>
            </w:pPr>
          </w:p>
        </w:tc>
        <w:tc>
          <w:tcPr>
            <w:tcW w:w="420" w:type="dxa"/>
            <w:vAlign w:val="bottom"/>
            <w:tcBorders>
              <w:right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9</w:t>
            </w:r>
          </w:p>
        </w:tc>
        <w:tc>
          <w:tcPr>
            <w:tcW w:w="642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6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642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10</w:t>
            </w:r>
          </w:p>
        </w:tc>
        <w:tc>
          <w:tcPr>
            <w:tcW w:w="6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11</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12</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560" w:type="dxa"/>
            <w:vAlign w:val="bottom"/>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13</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8"/>
              </w:rPr>
              <w:t>19.77% (See item 5)</w:t>
            </w: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14</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G65431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7732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732395"/>
                    </a:xfrm>
                    <a:prstGeom prst="rect">
                      <a:avLst/>
                    </a:prstGeom>
                    <a:noFill/>
                  </pic:spPr>
                </pic:pic>
              </a:graphicData>
            </a:graphic>
          </wp:anchor>
        </w:drawing>
      </w:r>
    </w:p>
    <w:p>
      <w:pPr>
        <w:spacing w:after="0" w:line="344" w:lineRule="exact"/>
        <w:rPr>
          <w:sz w:val="20"/>
          <w:szCs w:val="20"/>
          <w:color w:val="auto"/>
        </w:rPr>
      </w:pPr>
    </w:p>
    <w:p>
      <w:pPr>
        <w:ind w:left="600" w:hanging="331"/>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A.P. Møller og Hustru Chastine Mc-Kinney Møllers Fond til almene Formaal</w:t>
      </w:r>
    </w:p>
    <w:p>
      <w:pPr>
        <w:spacing w:after="0" w:line="306" w:lineRule="exact"/>
        <w:rPr>
          <w:sz w:val="20"/>
          <w:szCs w:val="20"/>
          <w:color w:val="auto"/>
        </w:rPr>
      </w:pPr>
    </w:p>
    <w:p>
      <w:pPr>
        <w:ind w:left="600" w:hanging="353"/>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840" w:hanging="238"/>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860" w:hanging="258"/>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92" w:lineRule="exact"/>
        <w:rPr>
          <w:sz w:val="20"/>
          <w:szCs w:val="20"/>
          <w:color w:val="auto"/>
        </w:rPr>
      </w:pPr>
    </w:p>
    <w:p>
      <w:pPr>
        <w:ind w:left="600" w:hanging="353"/>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2"/>
              </w:rPr>
              <w:t>Source of Funds</w:t>
            </w:r>
          </w:p>
        </w:tc>
        <w:tc>
          <w:tcPr>
            <w:tcW w:w="4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560" w:type="dxa"/>
            <w:vAlign w:val="bottom"/>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Denmark</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79"/>
              </w:rPr>
              <w:t>7</w:t>
            </w:r>
          </w:p>
        </w:tc>
        <w:tc>
          <w:tcPr>
            <w:tcW w:w="6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Pr>
          <w:p>
            <w:pPr>
              <w:spacing w:after="0"/>
              <w:rPr>
                <w:sz w:val="23"/>
                <w:szCs w:val="23"/>
                <w:color w:val="auto"/>
              </w:rPr>
            </w:pPr>
          </w:p>
        </w:tc>
        <w:tc>
          <w:tcPr>
            <w:tcW w:w="4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79"/>
              </w:rPr>
              <w:t>8</w:t>
            </w:r>
          </w:p>
        </w:tc>
        <w:tc>
          <w:tcPr>
            <w:tcW w:w="64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vMerge w:val="restart"/>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EACH</w:t>
            </w:r>
          </w:p>
        </w:tc>
        <w:tc>
          <w:tcPr>
            <w:tcW w:w="120" w:type="dxa"/>
            <w:vAlign w:val="bottom"/>
          </w:tcPr>
          <w:p>
            <w:pPr>
              <w:spacing w:after="0"/>
              <w:rPr>
                <w:sz w:val="16"/>
                <w:szCs w:val="16"/>
                <w:color w:val="auto"/>
              </w:rPr>
            </w:pPr>
          </w:p>
        </w:tc>
        <w:tc>
          <w:tcPr>
            <w:tcW w:w="420" w:type="dxa"/>
            <w:vAlign w:val="bottom"/>
            <w:tcBorders>
              <w:right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9</w:t>
            </w:r>
          </w:p>
        </w:tc>
        <w:tc>
          <w:tcPr>
            <w:tcW w:w="642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6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642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10</w:t>
            </w:r>
          </w:p>
        </w:tc>
        <w:tc>
          <w:tcPr>
            <w:tcW w:w="6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gridSpan w:val="2"/>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11</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27,890,529 (See item 5)</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12</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560" w:type="dxa"/>
            <w:vAlign w:val="bottom"/>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13</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8"/>
              </w:rPr>
              <w:t>19.77% (See item 5)</w:t>
            </w: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8100" w:type="dxa"/>
            <w:vAlign w:val="bottom"/>
            <w:tcBorders>
              <w:bottom w:val="single" w:sz="8" w:color="auto"/>
            </w:tcBorders>
            <w:gridSpan w:val="4"/>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center"/>
              <w:ind w:left="110"/>
              <w:spacing w:after="0"/>
              <w:rPr>
                <w:sz w:val="20"/>
                <w:szCs w:val="20"/>
                <w:color w:val="auto"/>
              </w:rPr>
            </w:pPr>
            <w:r>
              <w:rPr>
                <w:rFonts w:ascii="Arial" w:cs="Arial" w:eastAsia="Arial" w:hAnsi="Arial"/>
                <w:sz w:val="18"/>
                <w:szCs w:val="18"/>
                <w:color w:val="auto"/>
                <w:w w:val="89"/>
              </w:rPr>
              <w:t>14</w:t>
            </w:r>
          </w:p>
        </w:tc>
        <w:tc>
          <w:tcPr>
            <w:tcW w:w="200" w:type="dxa"/>
            <w:vAlign w:val="bottom"/>
            <w:tcBorders>
              <w:right w:val="single" w:sz="8" w:color="auto"/>
            </w:tcBorders>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HC</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supplements the Schedule 13D filed by the Reporting Persons on October 13, 2022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13D</w:t>
      </w:r>
      <w:r>
        <w:rPr>
          <w:rFonts w:ascii="Arial" w:cs="Arial" w:eastAsia="Arial" w:hAnsi="Arial"/>
          <w:sz w:val="18"/>
          <w:szCs w:val="18"/>
          <w:color w:val="auto"/>
        </w:rPr>
        <w:t>” and, as amended and supplemented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Amendment was triggered solely due to a change in the number of outstanding Ordinary Shares of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Amendment hereby amends and restates the fifth paragraph set forth under Item 4 of the Original Schedule 13D in its entirety as follows:</w:t>
      </w:r>
    </w:p>
    <w:p>
      <w:pPr>
        <w:spacing w:after="0" w:line="23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upon the consummation of the Merger, Claus V. Hemmingsen, a member of the board of trustees of the A.P. Moller Foundation and of the board of directors of APMH, was appointed to the board of directors of the Issuer. In addition, Claus V. Hemmingsen, Martin N. Larsen, chief executive officer and member of the board of directors of APMH Invest and chief financial officer of APMH, and Robert Maersk Uggla, a member of the board of directors of APMH Invest and chief executive officer of APMH, each of whom served as directors of Maersk Drilling prior to the announcement of the Transactions, continued to serve as members of the board of directors of Maersk Drilling until November 15, 2022. Since November 15, 2022, neither Mr. Uggla nor Mr. Larsen has held any position or office or has had any other material relationship with the Issuer or any of its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amends and restates Item 5 of the Original Schedule 13D in its entirety as follows: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(a)-(b) As of August 31, 2023, the Reporting Persons may be deemed to have beneficially owned an aggregate of 27,890,529 Ordinary Shares, representing approximately 19.77% of the total number of outstanding Ordinary Shares (such percentage calculated based on 141,039,571 Ordinary Shares outstanding as of August 31, 2023, as reported by the Issuer in its notification to Nasdaq Copenhagen on August 31, 2023 of changes in its share capital in connection with its share repurchase plan and issue of Ordinary Shares). As of August 31, 2023, APMH Invest was the record and beneficial owner of 27,890,529 Ordinary Shares. Each of APMH, as the sole owner of AMPH Invest, and the A.P. Moller Foundation, as the sole owner of APMH, may be deemed to be the beneficial owner of the Ordinary Shares held by APMH Invest.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2023, none of the Covered Persons identified on Schedule I hereto beneficially owned any Ordinary Shares, except that:</w:t>
      </w:r>
    </w:p>
    <w:p>
      <w:pPr>
        <w:spacing w:after="0" w:line="225" w:lineRule="exact"/>
        <w:rPr>
          <w:sz w:val="20"/>
          <w:szCs w:val="20"/>
          <w:color w:val="auto"/>
        </w:rPr>
      </w:pPr>
    </w:p>
    <w:p>
      <w:pPr>
        <w:ind w:firstLine="656"/>
        <w:spacing w:after="0" w:line="263" w:lineRule="auto"/>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Lars-Erik Brenøe beneficially owned 4,518 Ordinary Shares. Mr. Brenøe beneficially owned 2,800 Maersk Drilling Shares immediately prior to the Exchange Offer and tendered all of such Maersk Drilling Shares in the Exchange Offer. Upon the completion of the Exchange Offer on October 3, 2022, Mr. Brenøe received 4,518 Ordinary Shares in exchange for his Maersk Drilling Shares.</w:t>
      </w:r>
    </w:p>
    <w:p>
      <w:pPr>
        <w:spacing w:after="0" w:line="183" w:lineRule="exact"/>
        <w:rPr>
          <w:rFonts w:ascii="Arial" w:cs="Arial" w:eastAsia="Arial" w:hAnsi="Arial"/>
          <w:sz w:val="18"/>
          <w:szCs w:val="18"/>
          <w:color w:val="auto"/>
        </w:rPr>
      </w:pPr>
    </w:p>
    <w:p>
      <w:pPr>
        <w:ind w:right="20" w:firstLine="656"/>
        <w:spacing w:after="0" w:line="271" w:lineRule="auto"/>
        <w:tabs>
          <w:tab w:leader="none" w:pos="9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Claus V. Hemmingsen beneficially owned (x) 8,752 Ordinary Shares and (y) 2,230 restricted stock units each representing a contingent right to receive one Ordinary Share. Mr. Hemmingsen beneficially owned 5,424 Maersk Drilling Shares immediately prior to the Exchange Offer and tendered all of such Maersk Drilling Shares in the Exchange Offer. Upon the completion of the Exchange Offer on October 3, 2022, Mr. Hemmingsen received 8,752 Ordinary Shares in exchange for his Maersk Drilling Shares. In addition, on October 3, 2022, the Issuer granted Mr. Hemmingsen 2,230 restricted stock units each of which representing a contingent right to receive one Ordinary Share and expected to vest (subject to certain conditions, including Mr. Hemmingsen’s continued employment with the Issuer at such time) on October 3, 2023, and, on February 3, 2023, the Issuer granted Mr. Hemmingsen 4,970 restricted stock units each of which representing a contingent right to receive one Ordinary Share and expected to vest (subject to certain conditions, including Mr. Hemmingsen’s continued employment with the Issuer at such time) on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ind w:right="60" w:firstLine="656"/>
        <w:spacing w:after="0" w:line="259" w:lineRule="auto"/>
        <w:tabs>
          <w:tab w:leader="none" w:pos="9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Martin N. Larsen beneficially owned 432 Ordinary Shares. Mr. Larsen beneficially owned 1,169 Maersk Drilling Shares immediately prior to the Exchange Offer and tendered all of such Maersk Drilling Shares in the Exchange Offer. Upon the completion of the Exchange Offer on October 3, 2022, Mr. Larsen received 1,886 Ordinary Shares in exchange for his Maersk Drilling Shares. Subsequently, Mr. Larsen sold 854 Ordinary Shares on July 13, 2023 and a further 600 Ordinary Shares on July 19, 2023.</w:t>
      </w:r>
    </w:p>
    <w:p>
      <w:pPr>
        <w:spacing w:after="0" w:line="186" w:lineRule="exact"/>
        <w:rPr>
          <w:rFonts w:ascii="Arial" w:cs="Arial" w:eastAsia="Arial" w:hAnsi="Arial"/>
          <w:sz w:val="18"/>
          <w:szCs w:val="18"/>
          <w:color w:val="auto"/>
        </w:rPr>
      </w:pPr>
    </w:p>
    <w:p>
      <w:pPr>
        <w:ind w:right="200" w:firstLine="656"/>
        <w:spacing w:after="0" w:line="311" w:lineRule="auto"/>
        <w:tabs>
          <w:tab w:leader="none" w:pos="9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Alette Mærsk Mc-Kinney Sørensen beneficially owned 151,686 Ordinary Shares. Ms. Sørensen beneficially owned 93,993 Maersk Drilling Shares immediately prior to the Exchange Offer and tendered all of such Maersk Drilling Shares in the Exchange Offer. Upon the completion of the Exchange Offer on October 3, 2022, Ms. Sørensen received 151,686 Ordinary Shares in exchange for her Maersk Drilling Shares.</w:t>
      </w:r>
    </w:p>
    <w:p>
      <w:pPr>
        <w:spacing w:after="0" w:line="148" w:lineRule="exact"/>
        <w:rPr>
          <w:rFonts w:ascii="Arial" w:cs="Arial" w:eastAsia="Arial" w:hAnsi="Arial"/>
          <w:sz w:val="16"/>
          <w:szCs w:val="16"/>
          <w:color w:val="auto"/>
        </w:rPr>
      </w:pPr>
    </w:p>
    <w:p>
      <w:pPr>
        <w:ind w:right="80" w:firstLine="656"/>
        <w:spacing w:after="0" w:line="279" w:lineRule="auto"/>
        <w:tabs>
          <w:tab w:leader="none" w:pos="90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Ane Mærsk Mc-Kinney Uggla beneficially owned 1,478,124 Ordinary Shares. Ms. Uggla beneficially owned 444,824 Maersk Drilling Shares immediately prior to the Exchange Offer and tendered all of such Maersk Drilling Shares in the Exchange Offer. Upon the completion of the Exchange Offer on October 3, 2022, Ms. Uggla received 717,812 Ordinary Shares in exchange for her Maersk Drilling Shares. Subsequently, Ms. Uggla purchased 848,208 Ordinary Shares on February 8, 2023 and sold 87,896 Ordinary Shares on July 21, 2023.</w:t>
      </w:r>
    </w:p>
    <w:p>
      <w:pPr>
        <w:spacing w:after="0" w:line="171" w:lineRule="exact"/>
        <w:rPr>
          <w:rFonts w:ascii="Arial" w:cs="Arial" w:eastAsia="Arial" w:hAnsi="Arial"/>
          <w:sz w:val="17"/>
          <w:szCs w:val="17"/>
          <w:color w:val="auto"/>
        </w:rPr>
      </w:pPr>
    </w:p>
    <w:p>
      <w:pPr>
        <w:ind w:firstLine="656"/>
        <w:spacing w:after="0" w:line="263" w:lineRule="auto"/>
        <w:tabs>
          <w:tab w:leader="none" w:pos="9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Robert Maersk Uggla beneficially owned 7,146 Ordinary Shares. Mr. Uggla beneficially owned 4,430 Maersk Drilling Shares immediately prior to the Exchange Offer and tendered all of such Maersk Drilling Shares in the Exchange Offer. Upon the completion of the Exchange Offer on October 3, 2022, Mr. Uggla received 7,146 Ordinary Shares in exchange for his Maersk Drilling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Each of the Covered Persons expressly disclaims beneficial ownership of any Ordinary Shares held by any of the Reporting Persons.</w:t>
      </w:r>
    </w:p>
    <w:p>
      <w:pPr>
        <w:spacing w:after="0" w:line="225" w:lineRule="exact"/>
        <w:rPr>
          <w:sz w:val="20"/>
          <w:szCs w:val="20"/>
          <w:color w:val="auto"/>
        </w:rPr>
      </w:pPr>
    </w:p>
    <w:p>
      <w:pPr>
        <w:ind w:right="380" w:firstLine="8"/>
        <w:spacing w:after="0" w:line="277"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Reporting Persons has effected and, to the knowledge of the Reporting Persons, without independent verification, none of the Covered Persons identified in Schedule I hereto has effected any transactions in the Ordinary Shares during the past 60 days.</w:t>
      </w:r>
    </w:p>
    <w:p>
      <w:pPr>
        <w:spacing w:after="0" w:line="170" w:lineRule="exact"/>
        <w:rPr>
          <w:rFonts w:ascii="Arial" w:cs="Arial" w:eastAsia="Arial" w:hAnsi="Arial"/>
          <w:sz w:val="18"/>
          <w:szCs w:val="18"/>
          <w:color w:val="auto"/>
        </w:rPr>
      </w:pPr>
    </w:p>
    <w:p>
      <w:pPr>
        <w:ind w:right="520" w:firstLine="8"/>
        <w:spacing w:after="0" w:line="308"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disclosed in this Schedule 13D, no person other than the Reporting Persons has the right to receive or the power to direct the receipt of dividends from, or the proceeds from the sale of, any of the Ordinary Shares beneficially owned by any of the Reporting Persons.</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70" w:lineRule="exact"/>
        <w:rPr>
          <w:sz w:val="20"/>
          <w:szCs w:val="20"/>
          <w:color w:val="auto"/>
        </w:rPr>
      </w:pPr>
    </w:p>
    <w:p>
      <w:pPr>
        <w:ind w:left="1180" w:right="20" w:hanging="1133"/>
        <w:spacing w:after="0" w:line="308" w:lineRule="auto"/>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Business Combination Agreement, dated as of November 10, 2021, by and among Noble Corporation, Noble Finco Limited, Noble Newco Sub Limited and The Drilling Company of 1972 A/S (incorporated by reference to Exhibit 99.1 to the Original Schedule 13D).</w:t>
      </w:r>
    </w:p>
    <w:p>
      <w:pPr>
        <w:spacing w:after="0" w:line="11" w:lineRule="exact"/>
        <w:rPr>
          <w:sz w:val="20"/>
          <w:szCs w:val="20"/>
          <w:color w:val="auto"/>
        </w:rPr>
      </w:pPr>
    </w:p>
    <w:p>
      <w:pPr>
        <w:ind w:left="1180" w:right="260" w:hanging="1133"/>
        <w:spacing w:after="0" w:line="308" w:lineRule="auto"/>
        <w:tabs>
          <w:tab w:leader="none" w:pos="116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7"/>
          <w:szCs w:val="17"/>
          <w:color w:val="auto"/>
        </w:rPr>
        <w:t>Relationship Agreement, dated as of October 3, 2022 by and among Noble Corporation plc, Noble Corporation, APMH Invest A/S, and the Existing Investors named therein (incorporated by reference to Exhibit 99.2 to the Original Schedule 13D).</w:t>
      </w:r>
    </w:p>
    <w:p>
      <w:pPr>
        <w:spacing w:after="0" w:line="11" w:lineRule="exact"/>
        <w:rPr>
          <w:sz w:val="20"/>
          <w:szCs w:val="20"/>
          <w:color w:val="auto"/>
        </w:rPr>
      </w:pPr>
    </w:p>
    <w:p>
      <w:pPr>
        <w:ind w:left="1180" w:right="80" w:hanging="1133"/>
        <w:spacing w:after="0" w:line="277" w:lineRule="auto"/>
        <w:tabs>
          <w:tab w:leader="none" w:pos="1160" w:val="left"/>
        </w:tabs>
        <w:rPr>
          <w:sz w:val="20"/>
          <w:szCs w:val="20"/>
          <w:color w:val="auto"/>
        </w:rPr>
      </w:pPr>
      <w:r>
        <w:rPr>
          <w:rFonts w:ascii="Arial" w:cs="Arial" w:eastAsia="Arial" w:hAnsi="Arial"/>
          <w:sz w:val="18"/>
          <w:szCs w:val="18"/>
          <w:color w:val="auto"/>
        </w:rPr>
        <w:t>Exhibit 99.3</w:t>
        <w:tab/>
        <w:t>Registration Rights Agreement, dated as of October 3, 2022 by and among Noble Corporation plc and APMH Invest A/S (incorporated by reference to Exhibit 99.3 to the Original Schedule 13D).</w:t>
      </w:r>
    </w:p>
    <w:p>
      <w:pPr>
        <w:spacing w:after="0" w:line="35" w:lineRule="exact"/>
        <w:rPr>
          <w:sz w:val="20"/>
          <w:szCs w:val="20"/>
          <w:color w:val="auto"/>
        </w:rPr>
      </w:pPr>
    </w:p>
    <w:p>
      <w:pPr>
        <w:ind w:left="1180" w:right="540" w:hanging="1133"/>
        <w:spacing w:after="0" w:line="277" w:lineRule="auto"/>
        <w:tabs>
          <w:tab w:leader="none" w:pos="1160" w:val="left"/>
        </w:tabs>
        <w:rPr>
          <w:sz w:val="20"/>
          <w:szCs w:val="20"/>
          <w:color w:val="auto"/>
        </w:rPr>
      </w:pPr>
      <w:r>
        <w:rPr>
          <w:rFonts w:ascii="Arial" w:cs="Arial" w:eastAsia="Arial" w:hAnsi="Arial"/>
          <w:sz w:val="18"/>
          <w:szCs w:val="18"/>
          <w:color w:val="auto"/>
        </w:rPr>
        <w:t>Exhibit 99.4</w:t>
        <w:tab/>
        <w:t>Power of Attorney of A.P. Møller og Hustru Chastine Mc-Kinney Møllers Fond til almene Formaal, dated as of September 23, 2022 (incorporated by reference to Exhibit 99.4 to the Original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A.P. MØLLER OG HUSTRU CHASTINE MC-KINNEY</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MØLLERS FOND TIL ALMENE FORMAAL</w:t>
      </w:r>
    </w:p>
    <w:p>
      <w:pPr>
        <w:spacing w:after="0" w:line="200" w:lineRule="exact"/>
        <w:rPr>
          <w:sz w:val="20"/>
          <w:szCs w:val="20"/>
          <w:color w:val="auto"/>
        </w:rPr>
      </w:pPr>
    </w:p>
    <w:p>
      <w:pPr>
        <w:spacing w:after="0" w:line="227"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Martin Larsen</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A.P. MØLLER HOLDING A/S</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Martin Larsen</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APMH INVEST A/S</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Martin Larsen</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ind w:left="260"/>
        <w:spacing w:after="0"/>
        <w:tabs>
          <w:tab w:leader="none" w:pos="57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90" w:lineRule="exact"/>
        <w:rPr>
          <w:sz w:val="20"/>
          <w:szCs w:val="20"/>
          <w:color w:val="auto"/>
        </w:rPr>
      </w:pPr>
    </w:p>
    <w:p>
      <w:pPr>
        <w:ind w:left="1120" w:hanging="1133"/>
        <w:spacing w:after="0" w:line="308" w:lineRule="auto"/>
        <w:tabs>
          <w:tab w:leader="none" w:pos="11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Business Combination Agreement, dated as of November 10, 2021, by and among Noble Corporation, Noble Finco Limited, Noble Newco Sub Limited and The Drilling Company of 1972 A/S (incorporated by reference to Exhibit 99.1 to the Original Schedule 13D).</w:t>
      </w:r>
    </w:p>
    <w:p>
      <w:pPr>
        <w:spacing w:after="0" w:line="11" w:lineRule="exact"/>
        <w:rPr>
          <w:sz w:val="20"/>
          <w:szCs w:val="20"/>
          <w:color w:val="auto"/>
        </w:rPr>
      </w:pPr>
    </w:p>
    <w:p>
      <w:pPr>
        <w:ind w:left="1120" w:right="240" w:hanging="1133"/>
        <w:spacing w:after="0" w:line="308" w:lineRule="auto"/>
        <w:tabs>
          <w:tab w:leader="none" w:pos="110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7"/>
          <w:szCs w:val="17"/>
          <w:color w:val="auto"/>
        </w:rPr>
        <w:t>Relationship Agreement, dated as of October 3, 2022 by and among Noble Corporation plc, Noble Corporation, APMH Invest A/S, and the Existing Investors named therein (incorporated by reference to Exhibit 99.2 to the Original Schedule 13D).</w:t>
      </w:r>
    </w:p>
    <w:p>
      <w:pPr>
        <w:spacing w:after="0" w:line="11" w:lineRule="exact"/>
        <w:rPr>
          <w:sz w:val="20"/>
          <w:szCs w:val="20"/>
          <w:color w:val="auto"/>
        </w:rPr>
      </w:pPr>
    </w:p>
    <w:p>
      <w:pPr>
        <w:ind w:left="1120" w:right="60" w:hanging="1133"/>
        <w:spacing w:after="0" w:line="277" w:lineRule="auto"/>
        <w:tabs>
          <w:tab w:leader="none" w:pos="1100" w:val="left"/>
        </w:tabs>
        <w:rPr>
          <w:sz w:val="20"/>
          <w:szCs w:val="20"/>
          <w:color w:val="auto"/>
        </w:rPr>
      </w:pPr>
      <w:r>
        <w:rPr>
          <w:rFonts w:ascii="Arial" w:cs="Arial" w:eastAsia="Arial" w:hAnsi="Arial"/>
          <w:sz w:val="18"/>
          <w:szCs w:val="18"/>
          <w:color w:val="auto"/>
        </w:rPr>
        <w:t>Exhibit 99.3</w:t>
        <w:tab/>
        <w:t>Registration Rights Agreement, dated as of October 3, 2022 by and among Noble Corporation plc and APMH Invest A/S (incorporated by reference to Exhibit 99.3 to the Original Schedule 13D).</w:t>
      </w:r>
    </w:p>
    <w:p>
      <w:pPr>
        <w:spacing w:after="0" w:line="35" w:lineRule="exact"/>
        <w:rPr>
          <w:sz w:val="20"/>
          <w:szCs w:val="20"/>
          <w:color w:val="auto"/>
        </w:rPr>
      </w:pPr>
    </w:p>
    <w:p>
      <w:pPr>
        <w:ind w:left="1120" w:right="520" w:hanging="1133"/>
        <w:spacing w:after="0" w:line="277" w:lineRule="auto"/>
        <w:tabs>
          <w:tab w:leader="none" w:pos="1100" w:val="left"/>
        </w:tabs>
        <w:rPr>
          <w:sz w:val="20"/>
          <w:szCs w:val="20"/>
          <w:color w:val="auto"/>
        </w:rPr>
      </w:pPr>
      <w:r>
        <w:rPr>
          <w:rFonts w:ascii="Arial" w:cs="Arial" w:eastAsia="Arial" w:hAnsi="Arial"/>
          <w:sz w:val="18"/>
          <w:szCs w:val="18"/>
          <w:color w:val="auto"/>
        </w:rPr>
        <w:t>Exhibit 99.4</w:t>
        <w:tab/>
        <w:t>Power of Attorney of A.P. Møller og Hustru Chastine Mc-Kinney Møllers Fond til almene Formaal, dated as of September 23, 2022 (incorporated by reference to Exhibit 99.4 to the Original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502920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8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lvl w:ilvl="1">
      <w:lvlJc w:val="left"/>
      <w:lvlText w:val="(%2)"/>
      <w:numFmt w:val="lowerLetter"/>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2"/>
      <w:numFmt w:val="bullet"/>
      <w:start w:val="1"/>
    </w:lvl>
    <w:lvl w:ilvl="1">
      <w:lvlJc w:val="left"/>
      <w:lvlText w:val="(%2)"/>
      <w:numFmt w:val="lowerLetter"/>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2023-09-01T15:02:17Z</dcterms:created>
  <dcterms:modified xsi:type="dcterms:W3CDTF">2023-09-01T15:02:17Z</dcterms:modified>
</cp:coreProperties>
</file>