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September 30, 2022</w:t>
      </w:r>
    </w:p>
    <w:p>
      <w:pPr>
        <w:spacing w:after="0" w:line="17" w:lineRule="exact"/>
        <w:rPr>
          <w:sz w:val="24"/>
          <w:szCs w:val="24"/>
          <w:color w:val="auto"/>
        </w:rPr>
      </w:pPr>
    </w:p>
    <w:p>
      <w:pPr>
        <w:ind w:left="9500"/>
        <w:spacing w:after="0"/>
        <w:rPr>
          <w:sz w:val="20"/>
          <w:szCs w:val="20"/>
          <w:color w:val="auto"/>
        </w:rPr>
      </w:pPr>
      <w:r>
        <w:rPr>
          <w:rFonts w:ascii="Times New Roman" w:cs="Times New Roman" w:eastAsia="Times New Roman" w:hAnsi="Times New Roman"/>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67310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109855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4"/>
          <w:szCs w:val="24"/>
          <w:b w:val="1"/>
          <w:bCs w:val="1"/>
          <w:color w:val="auto"/>
        </w:rPr>
        <w:t>FORM S-3</w:t>
      </w:r>
    </w:p>
    <w:p>
      <w:pPr>
        <w:spacing w:after="0" w:line="4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spacing w:after="0" w:line="1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134620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NOBLE CORPORATION plc</w:t>
      </w:r>
    </w:p>
    <w:p>
      <w:pPr>
        <w:spacing w:after="0" w:line="3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6" w:lineRule="exact"/>
        <w:rPr>
          <w:sz w:val="24"/>
          <w:szCs w:val="24"/>
          <w:color w:val="auto"/>
        </w:rPr>
      </w:pPr>
    </w:p>
    <w:tbl>
      <w:tblPr>
        <w:tblLayout w:type="fixed"/>
        <w:tblInd w:w="2080" w:type="dxa"/>
        <w:tblCellMar>
          <w:top w:w="0" w:type="dxa"/>
          <w:left w:w="0" w:type="dxa"/>
          <w:bottom w:w="0" w:type="dxa"/>
          <w:right w:w="0" w:type="dxa"/>
        </w:tblCellMar>
      </w:tblPr>
      <w:tr>
        <w:trPr>
          <w:trHeight w:val="161"/>
        </w:trPr>
        <w:tc>
          <w:tcPr>
            <w:tcW w:w="3700" w:type="dxa"/>
            <w:vAlign w:val="bottom"/>
          </w:tcPr>
          <w:p>
            <w:pPr>
              <w:jc w:val="center"/>
              <w:ind w:right="1994"/>
              <w:spacing w:after="0"/>
              <w:rPr>
                <w:sz w:val="20"/>
                <w:szCs w:val="20"/>
                <w:color w:val="auto"/>
              </w:rPr>
            </w:pPr>
            <w:r>
              <w:rPr>
                <w:rFonts w:ascii="Times New Roman" w:cs="Times New Roman" w:eastAsia="Times New Roman" w:hAnsi="Times New Roman"/>
                <w:sz w:val="14"/>
                <w:szCs w:val="14"/>
                <w:b w:val="1"/>
                <w:bCs w:val="1"/>
                <w:color w:val="auto"/>
              </w:rPr>
              <w:t>England and Wales</w:t>
            </w:r>
          </w:p>
        </w:tc>
        <w:tc>
          <w:tcPr>
            <w:tcW w:w="3300" w:type="dxa"/>
            <w:vAlign w:val="bottom"/>
          </w:tcPr>
          <w:p>
            <w:pPr>
              <w:jc w:val="center"/>
              <w:ind w:left="1994"/>
              <w:spacing w:after="0"/>
              <w:rPr>
                <w:sz w:val="20"/>
                <w:szCs w:val="20"/>
                <w:color w:val="auto"/>
              </w:rPr>
            </w:pPr>
            <w:r>
              <w:rPr>
                <w:rFonts w:ascii="Times New Roman" w:cs="Times New Roman" w:eastAsia="Times New Roman" w:hAnsi="Times New Roman"/>
                <w:sz w:val="14"/>
                <w:szCs w:val="14"/>
                <w:b w:val="1"/>
                <w:bCs w:val="1"/>
                <w:color w:val="auto"/>
              </w:rPr>
              <w:t>98-1644664</w:t>
            </w:r>
          </w:p>
        </w:tc>
      </w:tr>
      <w:tr>
        <w:trPr>
          <w:trHeight w:val="135"/>
        </w:trPr>
        <w:tc>
          <w:tcPr>
            <w:tcW w:w="3700" w:type="dxa"/>
            <w:vAlign w:val="bottom"/>
          </w:tcPr>
          <w:p>
            <w:pPr>
              <w:jc w:val="center"/>
              <w:ind w:right="1994"/>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3300" w:type="dxa"/>
            <w:vAlign w:val="bottom"/>
          </w:tcPr>
          <w:p>
            <w:pPr>
              <w:jc w:val="center"/>
              <w:ind w:left="1994"/>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3700" w:type="dxa"/>
            <w:vAlign w:val="bottom"/>
          </w:tcPr>
          <w:p>
            <w:pPr>
              <w:jc w:val="center"/>
              <w:ind w:right="199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300" w:type="dxa"/>
            <w:vAlign w:val="bottom"/>
          </w:tcPr>
          <w:p>
            <w:pPr>
              <w:jc w:val="center"/>
              <w:ind w:left="1994"/>
              <w:spacing w:after="0"/>
              <w:rPr>
                <w:sz w:val="20"/>
                <w:szCs w:val="20"/>
                <w:color w:val="auto"/>
              </w:rPr>
            </w:pPr>
            <w:r>
              <w:rPr>
                <w:rFonts w:ascii="Times New Roman" w:cs="Times New Roman" w:eastAsia="Times New Roman" w:hAnsi="Times New Roman"/>
                <w:sz w:val="13"/>
                <w:szCs w:val="13"/>
                <w:b w:val="1"/>
                <w:bCs w:val="1"/>
                <w:color w:val="auto"/>
                <w:w w:val="96"/>
              </w:rPr>
              <w:t>Identification Number)</w:t>
            </w:r>
          </w:p>
        </w:tc>
      </w:tr>
    </w:tbl>
    <w:p>
      <w:pPr>
        <w:spacing w:after="0" w:line="4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13135 Dairy Ashford, Suite 800</w:t>
      </w:r>
    </w:p>
    <w:p>
      <w:pPr>
        <w:jc w:val="center"/>
        <w:ind w:right="-199"/>
        <w:spacing w:after="0" w:line="229" w:lineRule="auto"/>
        <w:rPr>
          <w:sz w:val="20"/>
          <w:szCs w:val="20"/>
          <w:color w:val="auto"/>
        </w:rPr>
      </w:pPr>
      <w:r>
        <w:rPr>
          <w:rFonts w:ascii="Times New Roman" w:cs="Times New Roman" w:eastAsia="Times New Roman" w:hAnsi="Times New Roman"/>
          <w:sz w:val="14"/>
          <w:szCs w:val="14"/>
          <w:b w:val="1"/>
          <w:bCs w:val="1"/>
          <w:color w:val="auto"/>
        </w:rPr>
        <w:t>Sugar Land, Texas 77478</w:t>
      </w:r>
    </w:p>
    <w:p>
      <w:pPr>
        <w:jc w:val="center"/>
        <w:ind w:right="-199"/>
        <w:spacing w:after="0" w:line="233" w:lineRule="auto"/>
        <w:rPr>
          <w:sz w:val="20"/>
          <w:szCs w:val="20"/>
          <w:color w:val="auto"/>
        </w:rPr>
      </w:pPr>
      <w:r>
        <w:rPr>
          <w:rFonts w:ascii="Times New Roman" w:cs="Times New Roman" w:eastAsia="Times New Roman" w:hAnsi="Times New Roman"/>
          <w:sz w:val="14"/>
          <w:szCs w:val="14"/>
          <w:b w:val="1"/>
          <w:bCs w:val="1"/>
          <w:color w:val="auto"/>
        </w:rPr>
        <w:t>(281) 276-6100</w:t>
      </w:r>
    </w:p>
    <w:p>
      <w:pPr>
        <w:spacing w:after="0" w:line="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127000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Richard B. Barker</w:t>
      </w:r>
    </w:p>
    <w:p>
      <w:pPr>
        <w:jc w:val="center"/>
        <w:ind w:right="-199"/>
        <w:spacing w:after="0" w:line="229" w:lineRule="auto"/>
        <w:rPr>
          <w:sz w:val="20"/>
          <w:szCs w:val="20"/>
          <w:color w:val="auto"/>
        </w:rPr>
      </w:pPr>
      <w:r>
        <w:rPr>
          <w:rFonts w:ascii="Times New Roman" w:cs="Times New Roman" w:eastAsia="Times New Roman" w:hAnsi="Times New Roman"/>
          <w:sz w:val="14"/>
          <w:szCs w:val="14"/>
          <w:b w:val="1"/>
          <w:bCs w:val="1"/>
          <w:color w:val="auto"/>
        </w:rPr>
        <w:t>Noble Corporation plc</w:t>
      </w:r>
    </w:p>
    <w:p>
      <w:pPr>
        <w:jc w:val="center"/>
        <w:ind w:right="-199"/>
        <w:spacing w:after="0" w:line="221" w:lineRule="auto"/>
        <w:rPr>
          <w:sz w:val="20"/>
          <w:szCs w:val="20"/>
          <w:color w:val="auto"/>
        </w:rPr>
      </w:pPr>
      <w:r>
        <w:rPr>
          <w:rFonts w:ascii="Times New Roman" w:cs="Times New Roman" w:eastAsia="Times New Roman" w:hAnsi="Times New Roman"/>
          <w:sz w:val="14"/>
          <w:szCs w:val="14"/>
          <w:b w:val="1"/>
          <w:bCs w:val="1"/>
          <w:color w:val="auto"/>
        </w:rPr>
        <w:t>13135 Dairy Ashford, Suite 800</w:t>
      </w:r>
    </w:p>
    <w:p>
      <w:pPr>
        <w:jc w:val="center"/>
        <w:ind w:right="-199"/>
        <w:spacing w:after="0" w:line="222" w:lineRule="auto"/>
        <w:rPr>
          <w:sz w:val="20"/>
          <w:szCs w:val="20"/>
          <w:color w:val="auto"/>
        </w:rPr>
      </w:pPr>
      <w:r>
        <w:rPr>
          <w:rFonts w:ascii="Times New Roman" w:cs="Times New Roman" w:eastAsia="Times New Roman" w:hAnsi="Times New Roman"/>
          <w:sz w:val="14"/>
          <w:szCs w:val="14"/>
          <w:b w:val="1"/>
          <w:bCs w:val="1"/>
          <w:color w:val="auto"/>
        </w:rPr>
        <w:t>Sugar Land, Texas 77478</w:t>
      </w:r>
    </w:p>
    <w:p>
      <w:pPr>
        <w:jc w:val="center"/>
        <w:ind w:right="-199"/>
        <w:spacing w:after="0" w:line="233" w:lineRule="auto"/>
        <w:rPr>
          <w:sz w:val="20"/>
          <w:szCs w:val="20"/>
          <w:color w:val="auto"/>
        </w:rPr>
      </w:pPr>
      <w:r>
        <w:rPr>
          <w:rFonts w:ascii="Times New Roman" w:cs="Times New Roman" w:eastAsia="Times New Roman" w:hAnsi="Times New Roman"/>
          <w:sz w:val="14"/>
          <w:szCs w:val="14"/>
          <w:b w:val="1"/>
          <w:bCs w:val="1"/>
          <w:color w:val="auto"/>
        </w:rPr>
        <w:t>(281) 276-6100</w:t>
      </w:r>
    </w:p>
    <w:p>
      <w:pPr>
        <w:jc w:val="center"/>
        <w:ind w:right="-19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118745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4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3"/>
          <w:szCs w:val="13"/>
          <w:b w:val="1"/>
          <w:bCs w:val="1"/>
          <w:i w:val="1"/>
          <w:iCs w:val="1"/>
          <w:color w:val="auto"/>
        </w:rPr>
        <w:t>With a copy to:</w:t>
      </w:r>
    </w:p>
    <w:p>
      <w:pPr>
        <w:spacing w:after="0" w:line="6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3"/>
          <w:szCs w:val="13"/>
          <w:b w:val="1"/>
          <w:bCs w:val="1"/>
          <w:color w:val="auto"/>
        </w:rPr>
        <w:t>David L. Emmons</w:t>
      </w:r>
    </w:p>
    <w:p>
      <w:pPr>
        <w:spacing w:after="0" w:line="1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3"/>
          <w:szCs w:val="13"/>
          <w:b w:val="1"/>
          <w:bCs w:val="1"/>
          <w:color w:val="auto"/>
        </w:rPr>
        <w:t>Clinton W. Rancher</w:t>
      </w:r>
    </w:p>
    <w:p>
      <w:pPr>
        <w:jc w:val="center"/>
        <w:ind w:right="-199"/>
        <w:spacing w:after="0"/>
        <w:rPr>
          <w:sz w:val="20"/>
          <w:szCs w:val="20"/>
          <w:color w:val="auto"/>
        </w:rPr>
      </w:pPr>
      <w:r>
        <w:rPr>
          <w:rFonts w:ascii="Times New Roman" w:cs="Times New Roman" w:eastAsia="Times New Roman" w:hAnsi="Times New Roman"/>
          <w:sz w:val="13"/>
          <w:szCs w:val="13"/>
          <w:b w:val="1"/>
          <w:bCs w:val="1"/>
          <w:color w:val="auto"/>
        </w:rPr>
        <w:t>Lakshmi Ramanathan</w:t>
      </w:r>
    </w:p>
    <w:p>
      <w:pPr>
        <w:jc w:val="center"/>
        <w:ind w:right="-199"/>
        <w:spacing w:after="0"/>
        <w:rPr>
          <w:sz w:val="20"/>
          <w:szCs w:val="20"/>
          <w:color w:val="auto"/>
        </w:rPr>
      </w:pPr>
      <w:r>
        <w:rPr>
          <w:rFonts w:ascii="Times New Roman" w:cs="Times New Roman" w:eastAsia="Times New Roman" w:hAnsi="Times New Roman"/>
          <w:sz w:val="13"/>
          <w:szCs w:val="13"/>
          <w:b w:val="1"/>
          <w:bCs w:val="1"/>
          <w:color w:val="auto"/>
        </w:rPr>
        <w:t>Baker Botts L.L.P.</w:t>
      </w:r>
    </w:p>
    <w:p>
      <w:pPr>
        <w:jc w:val="center"/>
        <w:ind w:right="-199"/>
        <w:spacing w:after="0"/>
        <w:rPr>
          <w:sz w:val="20"/>
          <w:szCs w:val="20"/>
          <w:color w:val="auto"/>
        </w:rPr>
      </w:pPr>
      <w:r>
        <w:rPr>
          <w:rFonts w:ascii="Times New Roman" w:cs="Times New Roman" w:eastAsia="Times New Roman" w:hAnsi="Times New Roman"/>
          <w:sz w:val="13"/>
          <w:szCs w:val="13"/>
          <w:b w:val="1"/>
          <w:bCs w:val="1"/>
          <w:color w:val="auto"/>
        </w:rPr>
        <w:t>910 Louisiana Street</w:t>
      </w:r>
    </w:p>
    <w:p>
      <w:pPr>
        <w:jc w:val="center"/>
        <w:ind w:right="-199"/>
        <w:spacing w:after="0"/>
        <w:rPr>
          <w:sz w:val="20"/>
          <w:szCs w:val="20"/>
          <w:color w:val="auto"/>
        </w:rPr>
      </w:pPr>
      <w:r>
        <w:rPr>
          <w:rFonts w:ascii="Times New Roman" w:cs="Times New Roman" w:eastAsia="Times New Roman" w:hAnsi="Times New Roman"/>
          <w:sz w:val="13"/>
          <w:szCs w:val="13"/>
          <w:b w:val="1"/>
          <w:bCs w:val="1"/>
          <w:color w:val="auto"/>
        </w:rPr>
        <w:t>Houston, Texas 77002</w:t>
      </w:r>
    </w:p>
    <w:p>
      <w:pPr>
        <w:jc w:val="center"/>
        <w:ind w:right="-199"/>
        <w:spacing w:after="0"/>
        <w:rPr>
          <w:sz w:val="20"/>
          <w:szCs w:val="20"/>
          <w:color w:val="auto"/>
        </w:rPr>
      </w:pPr>
      <w:r>
        <w:rPr>
          <w:rFonts w:ascii="Times New Roman" w:cs="Times New Roman" w:eastAsia="Times New Roman" w:hAnsi="Times New Roman"/>
          <w:sz w:val="13"/>
          <w:szCs w:val="13"/>
          <w:b w:val="1"/>
          <w:bCs w:val="1"/>
          <w:color w:val="auto"/>
        </w:rPr>
        <w:t>(713) 229-1234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118745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 xml:space="preserve">Approximate date of commencement of proposed sale to the public: </w:t>
      </w:r>
      <w:r>
        <w:rPr>
          <w:rFonts w:ascii="Times New Roman" w:cs="Times New Roman" w:eastAsia="Times New Roman" w:hAnsi="Times New Roman"/>
          <w:sz w:val="13"/>
          <w:szCs w:val="13"/>
          <w:color w:val="auto"/>
        </w:rPr>
        <w:t>From time to time after the effectiveness of this Registration Statement.</w:t>
      </w:r>
    </w:p>
    <w:p>
      <w:pPr>
        <w:spacing w:after="0" w:line="48" w:lineRule="exact"/>
        <w:rPr>
          <w:sz w:val="24"/>
          <w:szCs w:val="24"/>
          <w:color w:val="auto"/>
        </w:rPr>
      </w:pPr>
    </w:p>
    <w:p>
      <w:pPr>
        <w:ind w:left="120"/>
        <w:spacing w:after="0" w:line="150"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90" w:lineRule="exact"/>
        <w:rPr>
          <w:sz w:val="24"/>
          <w:szCs w:val="24"/>
          <w:color w:val="auto"/>
        </w:rPr>
      </w:pPr>
    </w:p>
    <w:p>
      <w:pPr>
        <w:ind w:left="120" w:right="440"/>
        <w:spacing w:after="0" w:line="169"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42" w:lineRule="exact"/>
        <w:rPr>
          <w:sz w:val="24"/>
          <w:szCs w:val="24"/>
          <w:color w:val="auto"/>
        </w:rPr>
      </w:pPr>
    </w:p>
    <w:p>
      <w:pPr>
        <w:ind w:left="120" w:right="340"/>
        <w:spacing w:after="0" w:line="169"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left="120" w:right="20"/>
        <w:spacing w:after="0" w:line="169"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left="120" w:right="200"/>
        <w:spacing w:after="0" w:line="169"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42" w:lineRule="exact"/>
        <w:rPr>
          <w:sz w:val="24"/>
          <w:szCs w:val="24"/>
          <w:color w:val="auto"/>
        </w:rPr>
      </w:pPr>
    </w:p>
    <w:p>
      <w:pPr>
        <w:ind w:left="120" w:right="220"/>
        <w:spacing w:after="0" w:line="169"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28" w:lineRule="exact"/>
        <w:rPr>
          <w:sz w:val="24"/>
          <w:szCs w:val="24"/>
          <w:color w:val="auto"/>
        </w:rPr>
      </w:pPr>
    </w:p>
    <w:p>
      <w:pPr>
        <w:ind w:left="120" w:right="4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120" w:type="dxa"/>
        <w:tblCellMar>
          <w:top w:w="0" w:type="dxa"/>
          <w:left w:w="0" w:type="dxa"/>
          <w:bottom w:w="0" w:type="dxa"/>
          <w:right w:w="0" w:type="dxa"/>
        </w:tblCellMar>
      </w:tblPr>
      <w:tr>
        <w:trPr>
          <w:trHeight w:val="211"/>
        </w:trPr>
        <w:tc>
          <w:tcPr>
            <w:tcW w:w="15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8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5200" w:type="dxa"/>
            <w:vAlign w:val="bottom"/>
          </w:tcPr>
          <w:p>
            <w:pPr>
              <w:ind w:left="3420"/>
              <w:spacing w:after="0"/>
              <w:rPr>
                <w:sz w:val="20"/>
                <w:szCs w:val="20"/>
                <w:color w:val="auto"/>
              </w:rPr>
            </w:pPr>
            <w:r>
              <w:rPr>
                <w:rFonts w:ascii="Times New Roman" w:cs="Times New Roman" w:eastAsia="Times New Roman" w:hAnsi="Times New Roman"/>
                <w:sz w:val="13"/>
                <w:szCs w:val="13"/>
                <w:color w:val="auto"/>
              </w:rPr>
              <w:t>Accelerated filer</w:t>
            </w:r>
          </w:p>
        </w:tc>
        <w:tc>
          <w:tcPr>
            <w:tcW w:w="4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7"/>
        </w:trPr>
        <w:tc>
          <w:tcPr>
            <w:tcW w:w="15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8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5200" w:type="dxa"/>
            <w:vAlign w:val="bottom"/>
          </w:tcPr>
          <w:p>
            <w:pPr>
              <w:ind w:left="34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4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6"/>
        </w:trPr>
        <w:tc>
          <w:tcPr>
            <w:tcW w:w="15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5200" w:type="dxa"/>
            <w:vAlign w:val="bottom"/>
          </w:tcPr>
          <w:p>
            <w:pPr>
              <w:ind w:left="3420"/>
              <w:spacing w:after="0"/>
              <w:rPr>
                <w:sz w:val="20"/>
                <w:szCs w:val="20"/>
                <w:color w:val="auto"/>
              </w:rPr>
            </w:pPr>
            <w:r>
              <w:rPr>
                <w:rFonts w:ascii="Times New Roman" w:cs="Times New Roman" w:eastAsia="Times New Roman" w:hAnsi="Times New Roman"/>
                <w:sz w:val="13"/>
                <w:szCs w:val="13"/>
                <w:color w:val="auto"/>
              </w:rPr>
              <w:t>Emerging growth company</w:t>
            </w:r>
          </w:p>
        </w:tc>
        <w:tc>
          <w:tcPr>
            <w:tcW w:w="4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8" w:lineRule="exact"/>
        <w:rPr>
          <w:sz w:val="24"/>
          <w:szCs w:val="24"/>
          <w:color w:val="auto"/>
        </w:rPr>
      </w:pPr>
    </w:p>
    <w:p>
      <w:pPr>
        <w:ind w:left="120" w:right="380"/>
        <w:spacing w:after="0" w:line="169"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40"/>
          </w:cols>
          <w:pgMar w:left="320" w:top="226" w:right="5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173990</wp:posOffset>
            </wp:positionV>
            <wp:extent cx="2151380" cy="9944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138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NOBLE CORPORATION plc</w:t>
      </w:r>
    </w:p>
    <w:p>
      <w:pPr>
        <w:spacing w:after="0" w:line="2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18,143,769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relates to the resale, from time to time, by one or more selling shareholders identified in this prospectus or in a subsequent prospectus supplement of up to 18,143,769 A ordinary shares, par value $0.00001 per share (“Ordinary Shares”), of us, including up to 620,538 Ordinary Shares issuable upon the exercise of outstanding Company Warrants (as defined herein) issued pursuant to the Tranche 1 Warrant Agreement and the Tranche 2 Warrant Agreement (each as defined herein) (collectively, the “Warrants”). See “Description of Share Capital” for more information on the Warrants. This prospectus also relates to an indeterminate number of Ordinary Shares that may become issuable upon exercise of the Warrants as a result of anti-dilution adjustments.</w:t>
      </w:r>
    </w:p>
    <w:p>
      <w:pPr>
        <w:spacing w:after="0" w:line="187"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We are registering the offer and sale of the Ordinary Shares pursuant to registration rights we have granted under a registration rights agreement dated as of February 5, 2021 (the “Bankruptcy RRA”) and a registration rights agreement dated as of April 15, 2021 (the “Pacific Drilling Merger RRA”), in each case as further described herein. We have agreed to bear all of the expenses incurred in connection with the registration of the Ordinary Shares. The selling shareholders will pay or assume brokerage commissions and similar charges, if any, incurred in the sale of the Ordinary Shares.</w:t>
      </w:r>
    </w:p>
    <w:p>
      <w:pPr>
        <w:spacing w:after="0" w:line="16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not selling any Ordinary Shares under this prospectus, and we will not receive any proceeds from the sale of the Ordinary Shares by the selling shareholders under this prospectus. Our registration of the Ordinary Shares covered by this prospectus does not mean that the selling shareholders will offer or sell any of the Ordinary Shares. The Ordinary Shares to which this prospectus relates may be offered and sold from time to time directly by the selling shareholders or alternatively through underwriters, broker dealers, or agents. The selling shareholders will determine at what price they may sell the Ordinary Shares offered by this prospectus, and such sales may be made at fixed prices, at prevailing market prices at the time of the sale, at prices related to prevailing market prices or at negotiated prices. See “Plan of Distribution” and “Selling Shareholders.”</w:t>
      </w:r>
    </w:p>
    <w:p>
      <w:pPr>
        <w:spacing w:after="0" w:line="18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by filing amendments or supplements as required. You should read this entire prospectus and any amendments or supplements carefully before you make your investment decision.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Ordinary Shares are listed on the New York Stock Exchange (“NYSE”) under the symbol “NE.”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20" w:right="14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Investing in the Ordinary Shares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5 of this prospectus for a discussion of the risks regarding an investment in the Ordinary Shares.</w:t>
      </w:r>
    </w:p>
    <w:p>
      <w:pPr>
        <w:spacing w:after="0" w:line="159"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 30, 2022.</w:t>
      </w:r>
    </w:p>
    <w:p>
      <w:pPr>
        <w:sectPr>
          <w:pgSz w:w="11900" w:h="16838" w:orient="portrait"/>
          <w:cols w:equalWidth="0" w:num="1">
            <w:col w:w="11060"/>
          </w:cols>
          <w:pgMar w:left="320" w:top="455"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2240" w:type="dxa"/>
            <w:vAlign w:val="bottom"/>
            <w:tcBorders>
              <w:bottom w:val="single" w:sz="8" w:color="0000EE"/>
            </w:tcBorders>
            <w:gridSpan w:val="8"/>
          </w:tcPr>
          <w:p>
            <w:pPr>
              <w:spacing w:after="0" w:line="194"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7420" w:type="dxa"/>
            <w:vAlign w:val="bottom"/>
            <w:gridSpan w:val="10"/>
          </w:tcPr>
          <w:p>
            <w:pPr>
              <w:spacing w:after="0"/>
              <w:rPr>
                <w:sz w:val="16"/>
                <w:szCs w:val="16"/>
                <w:color w:val="auto"/>
              </w:rPr>
            </w:pPr>
          </w:p>
        </w:tc>
        <w:tc>
          <w:tcPr>
            <w:tcW w:w="1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86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IMPORTANT INFORMATION ABOUT U.S. GAAP, NON-GAAP, IFRS AND NON-IFRS FINANCIAL MEASURES</w:t>
            </w:r>
          </w:p>
        </w:tc>
        <w:tc>
          <w:tcPr>
            <w:tcW w:w="100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9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4480" w:type="dxa"/>
            <w:vAlign w:val="bottom"/>
            <w:gridSpan w:val="5"/>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9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ABOUT NOBLE</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8400" w:type="dxa"/>
            <w:vAlign w:val="bottom"/>
            <w:gridSpan w:val="15"/>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63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3320" w:type="dxa"/>
            <w:vAlign w:val="bottom"/>
            <w:gridSpan w:val="3"/>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080" w:type="dxa"/>
            <w:vAlign w:val="bottom"/>
            <w:gridSpan w:val="13"/>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65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PRO FORMA CONDENSED COMBINED FINANCIAL INFORMATION</w:t>
            </w:r>
          </w:p>
        </w:tc>
        <w:tc>
          <w:tcPr>
            <w:tcW w:w="3080" w:type="dxa"/>
            <w:vAlign w:val="bottom"/>
            <w:gridSpan w:val="2"/>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22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SELLING SHAREHOLDERS</w:t>
            </w:r>
          </w:p>
        </w:tc>
        <w:tc>
          <w:tcPr>
            <w:tcW w:w="7440" w:type="dxa"/>
            <w:vAlign w:val="bottom"/>
            <w:gridSpan w:val="11"/>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9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9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48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UK TAX CONSIDERATIONS</w:t>
            </w:r>
          </w:p>
        </w:tc>
        <w:tc>
          <w:tcPr>
            <w:tcW w:w="4800" w:type="dxa"/>
            <w:vAlign w:val="bottom"/>
            <w:gridSpan w:val="6"/>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CERTAIN ERISA CONSIDERATIONS</w:t>
            </w:r>
          </w:p>
        </w:tc>
        <w:tc>
          <w:tcPr>
            <w:tcW w:w="6760" w:type="dxa"/>
            <w:vAlign w:val="bottom"/>
            <w:gridSpan w:val="8"/>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9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7620" w:type="dxa"/>
            <w:vAlign w:val="bottom"/>
            <w:gridSpan w:val="12"/>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9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20"/>
        </w:trPr>
        <w:tc>
          <w:tcPr>
            <w:tcW w:w="760" w:type="dxa"/>
            <w:vAlign w:val="bottom"/>
            <w:shd w:val="clear" w:color="auto" w:fill="0000EE"/>
          </w:tcPr>
          <w:p>
            <w:pPr>
              <w:spacing w:after="0" w:line="20" w:lineRule="exact"/>
              <w:rPr>
                <w:sz w:val="1"/>
                <w:szCs w:val="1"/>
                <w:color w:val="auto"/>
              </w:rPr>
            </w:pPr>
          </w:p>
        </w:tc>
        <w:tc>
          <w:tcPr>
            <w:tcW w:w="5540" w:type="dxa"/>
            <w:vAlign w:val="bottom"/>
            <w:gridSpan w:val="13"/>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63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INDEX TO THE DRILLING COMPANY OF 1972 A/S FINANCIAL STATEMENTS.</w:t>
            </w:r>
          </w:p>
        </w:tc>
        <w:tc>
          <w:tcPr>
            <w:tcW w:w="3360" w:type="dxa"/>
            <w:vAlign w:val="bottom"/>
            <w:gridSpan w:val="4"/>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bl>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Unless we otherwise indicate, or unless the context requires otherwise, references in this prospectus to “Noble,” the “Company,” “we,” “us” and “our” refer collectively to (i) Noble Holding Corporation plc (formerly known as Noble Corporation plc), a public limited company incorporated under the laws of England and Wales (“Legacy Noble”), and its consolidated subsidiaries prior to February 5, 2021, the effective date (the “Effective Date”) of the </w:t>
      </w:r>
      <w:r>
        <w:rPr>
          <w:rFonts w:ascii="Times New Roman" w:cs="Times New Roman" w:eastAsia="Times New Roman" w:hAnsi="Times New Roman"/>
          <w:sz w:val="18"/>
          <w:szCs w:val="18"/>
          <w:i w:val="1"/>
          <w:iCs w:val="1"/>
          <w:color w:val="auto"/>
        </w:rPr>
        <w:t>Joint Plan of Reorganization of Noble Corporation plc and its Debtor Affiliates</w:t>
      </w:r>
      <w:r>
        <w:rPr>
          <w:rFonts w:ascii="Times New Roman" w:cs="Times New Roman" w:eastAsia="Times New Roman" w:hAnsi="Times New Roman"/>
          <w:sz w:val="18"/>
          <w:szCs w:val="18"/>
          <w:color w:val="auto"/>
        </w:rPr>
        <w:t xml:space="preserve"> (as amended, modified or supplemented, the “Plan”) and emergence from the bankruptcy proceedings under chapter 11 of title 11 of the United States Code (the “Bankruptcy Code”), (ii) Noble Corporation, an exempted company incorporated in the Cayman Islands with limited liability (“Noble Cayman”), and its consolidated subsidiaries following the Effective Date and prior to the September 30, 2022, the effective date of the Merger (as defined herein) (the “Merger Effective Date”), and (iii) Noble Corporation plc, a public limited company formed under the laws of England and Wales with registered number 12958050 (f/k/a Noble Finco Limited) (“Topco”), and its consolidated subsidiaries (including Noble Cayman) following the Merger Effective Date, as applicable. As a result of the Merger, Topco became the successor issuer to Noble Cayman pursuant to Rule 12g-3(a) under the Securities Exchange Act of 1934, as amended (the “Exchange Act”). In the section “Description of Share Capital,” references to “Topco,” the “Company,” “we,” “us” and “our” refer only to Topco and not to any of our subsidiaries.</w:t>
      </w:r>
    </w:p>
    <w:p>
      <w:pPr>
        <w:spacing w:after="0" w:line="19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Securities and Exchange Commission (the “SEC”). This prospectus provides you with a general description of us and the securities that may be offered by the selling shareholders. Because each of the selling shareholders may be deemed to be an “underwriter” within the meaning of the Securities Act of 1933, as amended (the “Securities Act”), each time securities are offered by the selling shareholders pursuant to this prospectus, the selling shareholders may be required to provide you with this prospectus and, in certain cases, a prospectus supplement that will contain specific information about the selling shareholders and the terms of the securities being offered. The prospectus supplement may also add to, update or change the information contained in this prospectus. If there is any inconsistency between the information in this prospectus and any prospectus supplement, you should rely on the information in the prospectus supplement. Please carefully read this prospectus and any prospectus supplement, in addition to the information contained in the documents we refer to under the headings “Where You Can Find More Information” and “Incorporation of Certain Information by Reference.”</w:t>
      </w:r>
    </w:p>
    <w:p>
      <w:pPr>
        <w:spacing w:after="0" w:line="18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We have not, and the selling shareholders have not, authorized anyone to provide you with any information or to make any representations other than those contained or incorporated by reference in this prospectus or in any free writing prospectuses we have prepared. We and the selling shareholders take no responsibility for, and can provide no assurance as to the reliability of, any other information that others may give you. We are not, and the selling shareholders are not, making any offer to sell the Ordinary Shares in any jurisdiction where the offer is not permitted. The information contained or incorporated by reference in this prospectus is accurate only as of the date on the cover of this prospectus or, in the case of information incorporated by reference, only as of the date of such information, regardless of the time of delivery of this prospectus or of any sale of the Ordinary Shares. Our business, financial condition, results of operations and prospects may have changed since such dates.</w:t>
      </w:r>
    </w:p>
    <w:p>
      <w:pPr>
        <w:spacing w:after="0" w:line="185"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We have not, and the selling shareholders have not, taken any action to permit this offering or the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 and sale of the Ordinary Shares and the distribution of this prospectus outside the United States.</w:t>
      </w:r>
    </w:p>
    <w:p>
      <w:pPr>
        <w:spacing w:after="0" w:line="176"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contains forward-looking statements that are subject to a number of risks and uncertainties, many of which are beyond our control. See “Risk Factors” and “Cautionary Statement Regarding Forward-Looking Statements.”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IMPORTANT INFORMATION ABOUT U.S. GAAP, NON-GAAP, IFRS AND NON-IFRS FINANCIAL MEASURES</w:t>
      </w:r>
    </w:p>
    <w:p>
      <w:pPr>
        <w:spacing w:after="0" w:line="229"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Noble Cayman’s financial statements included or incorporated by reference herein have been prepared in conformity with accounting principles generally accepted in the United States of America (“U.S. GAAP”) for financial information and pursuant to the rules and regulations of the SEC.</w:t>
      </w:r>
    </w:p>
    <w:p>
      <w:pPr>
        <w:spacing w:after="0" w:line="140"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of The Drilling Company of 1972 A/S, a Danish public limited liability company (“Maersk Drilling”), included or incorporated by reference herein have been prepared in accordance with International Financial Reporting Standards as issued by the International Accounting Standards Board (“IFRS”).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includes or incorporates by reference certain references to financial measures that were not prepared in accordance with U.S. GAAP or IFRS. We believe that the presentation of non-GAAP or non-IFRS results, as applicable, is useful to investors for analyzing their respective business and business trends and comparing performance to prior periods, along with enhancing investors’ ability to view Noble Cayman’s or Maersk Drilling’s results, as applicable, from management’s perspective. The presentation of this additional information should not be considered a substitute for results prepared in accordance with U.S. GAAP or IFRS. The presentation of this non-GAAP or non-IFRS information is not meant to be considered in isolation or as a substitute for Noble Cayman’s or Maersk Drilling’s consolidated financial results prepared in accordance with U.S. GAAP or IFRS, respectively.</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U.S. GAAP informational requirements of the Exchange Act, and in accordance therewith, we file annual, quarterly and current reports, proxy statements and other information with the SEC. These reports and other information filed by us with the SEC are available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and are also available free of charge at our website at </w:t>
      </w:r>
      <w:r>
        <w:rPr>
          <w:rFonts w:ascii="Times New Roman" w:cs="Times New Roman" w:eastAsia="Times New Roman" w:hAnsi="Times New Roman"/>
          <w:sz w:val="18"/>
          <w:szCs w:val="18"/>
          <w:i w:val="1"/>
          <w:iCs w:val="1"/>
          <w:color w:val="auto"/>
        </w:rPr>
        <w:t>http://www.noblecorp.com</w:t>
      </w:r>
      <w:r>
        <w:rPr>
          <w:rFonts w:ascii="Times New Roman" w:cs="Times New Roman" w:eastAsia="Times New Roman" w:hAnsi="Times New Roman"/>
          <w:sz w:val="18"/>
          <w:szCs w:val="18"/>
          <w:color w:val="auto"/>
        </w:rPr>
        <w:t>. The information contained on or linked to or from our website is not part of, and is not incorporated by reference into, this prospectus.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on Form S-3 under the Securities Act to register with the SEC the Ordinary Shares being offered in this prospectus. This prospectus, which constitutes part of the registration statement, does not contain all the information set forth in the registration statement or the exhibits and schedules to the registration statement. For further information about us and the Ordinary Shares, you should refer to the registration statement and the exhibits and schedules filed as part of the registration statement. Statements contained in this prospectus regarding the contents of any contract, agreement or any other document referred to herein are summaries of certain terms thereof and are not necessarily complete, and each such statement is qualified in all respects by reference to the full text of such contract, agreement or other document filed as an exhibit to the registration statement. You can read the registration statement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SEC allows information to be “incorporated by reference” into this prospectus, which means that important information can be disclosed to you by referring you to another document filed separately with the SEC. The information incorporated by reference is deemed to be part of this prospectus, except to the extent superseded by information contained herein or by information contained in documents filed with the SEC after the date of this prospectus. This prospectus incorporates by reference the documents set forth below that we previously filed with the SEC (excluding information deemed to be furnished and not filed with the SEC). These documents contain important information about us and our financial condition:</w:t>
      </w:r>
    </w:p>
    <w:p>
      <w:pPr>
        <w:spacing w:after="0" w:line="89" w:lineRule="exact"/>
        <w:rPr>
          <w:sz w:val="20"/>
          <w:szCs w:val="20"/>
          <w:color w:val="auto"/>
        </w:rPr>
      </w:pPr>
    </w:p>
    <w:p>
      <w:pPr>
        <w:ind w:left="10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Noble Cayman’s Annual Report on </w:t>
      </w:r>
      <w:hyperlink r:id="rId2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2021, filed with the SEC on February 17, 2022, and Items 10 through 14 of Part III of Amendment No. 1 thereto on </w:t>
      </w:r>
      <w:hyperlink r:id="rId28">
        <w:r>
          <w:rPr>
            <w:rFonts w:ascii="Times New Roman" w:cs="Times New Roman" w:eastAsia="Times New Roman" w:hAnsi="Times New Roman"/>
            <w:sz w:val="18"/>
            <w:szCs w:val="18"/>
            <w:u w:val="single" w:color="auto"/>
            <w:color w:val="0000EE"/>
          </w:rPr>
          <w:t>Form 10-K/A</w:t>
        </w:r>
      </w:hyperlink>
      <w:r>
        <w:rPr>
          <w:rFonts w:ascii="Times New Roman" w:cs="Times New Roman" w:eastAsia="Times New Roman" w:hAnsi="Times New Roman"/>
          <w:sz w:val="18"/>
          <w:szCs w:val="18"/>
          <w:color w:val="auto"/>
        </w:rPr>
        <w:t>, filed with the SEC on March 11, 2022;</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Noble Cayman’s Quarterly Reports on Form 10-Q for the quarterly period ended March 31, 2022, filed with the SEC on </w:t>
      </w:r>
      <w:hyperlink r:id="rId29">
        <w:r>
          <w:rPr>
            <w:rFonts w:ascii="Times New Roman" w:cs="Times New Roman" w:eastAsia="Times New Roman" w:hAnsi="Times New Roman"/>
            <w:sz w:val="18"/>
            <w:szCs w:val="18"/>
            <w:u w:val="single" w:color="auto"/>
            <w:color w:val="0000EE"/>
          </w:rPr>
          <w:t>May 3, 2022</w:t>
        </w:r>
      </w:hyperlink>
      <w:r>
        <w:rPr>
          <w:rFonts w:ascii="Times New Roman" w:cs="Times New Roman" w:eastAsia="Times New Roman" w:hAnsi="Times New Roman"/>
          <w:sz w:val="18"/>
          <w:szCs w:val="18"/>
          <w:color w:val="auto"/>
        </w:rPr>
        <w:t xml:space="preserve">, and the quarterly period ended June 30, 2022, filed with the SEC on </w:t>
      </w:r>
      <w:hyperlink r:id="rId30">
        <w:r>
          <w:rPr>
            <w:rFonts w:ascii="Times New Roman" w:cs="Times New Roman" w:eastAsia="Times New Roman" w:hAnsi="Times New Roman"/>
            <w:sz w:val="18"/>
            <w:szCs w:val="18"/>
            <w:u w:val="single" w:color="auto"/>
            <w:color w:val="0000EE"/>
          </w:rPr>
          <w:t>August 9, 2022</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140" w:hanging="424"/>
        <w:spacing w:after="0" w:line="275" w:lineRule="auto"/>
        <w:tabs>
          <w:tab w:leader="none" w:pos="108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Noble Cayman’s Current Reports on Form 8-K filed with the SEC on </w:t>
      </w:r>
      <w:hyperlink r:id="rId31">
        <w:r>
          <w:rPr>
            <w:rFonts w:ascii="Times New Roman" w:cs="Times New Roman" w:eastAsia="Times New Roman" w:hAnsi="Times New Roman"/>
            <w:sz w:val="18"/>
            <w:szCs w:val="18"/>
            <w:u w:val="single" w:color="auto"/>
            <w:color w:val="0000EE"/>
          </w:rPr>
          <w:t>April 16,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(as amended on </w:t>
      </w:r>
      <w:hyperlink r:id="rId32">
        <w:r>
          <w:rPr>
            <w:rFonts w:ascii="Times New Roman" w:cs="Times New Roman" w:eastAsia="Times New Roman" w:hAnsi="Times New Roman"/>
            <w:sz w:val="18"/>
            <w:szCs w:val="18"/>
            <w:u w:val="single" w:color="auto"/>
            <w:color w:val="0000EE"/>
          </w:rPr>
          <w:t>June 23, 2021</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January 14, 2022,</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April 12, 2022, April 29,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10,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23,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August 5,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August 9,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August 31, 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September 1,</w:t>
        </w:r>
      </w:hyperlink>
      <w:r>
        <w:rPr>
          <w:rFonts w:ascii="Times New Roman" w:cs="Times New Roman" w:eastAsia="Times New Roman" w:hAnsi="Times New Roman"/>
          <w:sz w:val="18"/>
          <w:szCs w:val="18"/>
          <w:color w:val="0000EE"/>
        </w:rPr>
        <w:t xml:space="preserve"> </w:t>
      </w:r>
      <w:hyperlink r:id="rId34">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w:t>
        </w:r>
      </w:hyperlink>
    </w:p>
    <w:p>
      <w:pPr>
        <w:spacing w:after="0" w:line="295" w:lineRule="exact"/>
        <w:rPr>
          <w:rFonts w:ascii="Times New Roman" w:cs="Times New Roman" w:eastAsia="Times New Roman" w:hAnsi="Times New Roman"/>
          <w:sz w:val="18"/>
          <w:szCs w:val="18"/>
          <w:color w:val="0000EE"/>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with the SEC on </w:t>
      </w:r>
      <w:hyperlink r:id="rId35">
        <w:r>
          <w:rPr>
            <w:rFonts w:ascii="Times New Roman" w:cs="Times New Roman" w:eastAsia="Times New Roman" w:hAnsi="Times New Roman"/>
            <w:sz w:val="18"/>
            <w:szCs w:val="18"/>
            <w:u w:val="single" w:color="auto"/>
            <w:color w:val="0000EE"/>
          </w:rPr>
          <w:t>September 30,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the proxy statement/prospectus filed pursuant to Rule 424(b) under the Securities Act (File No. 333-261780) on </w:t>
      </w:r>
      <w:hyperlink r:id="rId36">
        <w:r>
          <w:rPr>
            <w:rFonts w:ascii="Times New Roman" w:cs="Times New Roman" w:eastAsia="Times New Roman" w:hAnsi="Times New Roman"/>
            <w:sz w:val="18"/>
            <w:szCs w:val="18"/>
            <w:u w:val="single" w:color="auto"/>
            <w:color w:val="0000EE"/>
          </w:rPr>
          <w:t>April 11, 2022</w:t>
        </w:r>
      </w:hyperlink>
      <w:r>
        <w:rPr>
          <w:rFonts w:ascii="Times New Roman" w:cs="Times New Roman" w:eastAsia="Times New Roman" w:hAnsi="Times New Roman"/>
          <w:sz w:val="18"/>
          <w:szCs w:val="18"/>
          <w:color w:val="auto"/>
        </w:rPr>
        <w:t>, forming part of the Form S-4 Registration Statement (as defined herein), as we may update that description from time to time;</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historical consolidated financial statements of The Drilling Company of 1972 A/S as of December 31, 2021, 2020 and 2019, and for each of the years ended December 31, 2021, 2020 and 2019, included in the Registration Statement on Form S-4, initially filed by Topco on </w:t>
      </w:r>
      <w:hyperlink r:id="rId37">
        <w:r>
          <w:rPr>
            <w:rFonts w:ascii="Times New Roman" w:cs="Times New Roman" w:eastAsia="Times New Roman" w:hAnsi="Times New Roman"/>
            <w:sz w:val="18"/>
            <w:szCs w:val="18"/>
            <w:u w:val="single" w:color="auto"/>
            <w:color w:val="0000EE"/>
          </w:rPr>
          <w:t>December 20,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declared effective on </w:t>
      </w:r>
      <w:hyperlink r:id="rId36">
        <w:r>
          <w:rPr>
            <w:rFonts w:ascii="Times New Roman" w:cs="Times New Roman" w:eastAsia="Times New Roman" w:hAnsi="Times New Roman"/>
            <w:sz w:val="18"/>
            <w:szCs w:val="18"/>
            <w:u w:val="single" w:color="auto"/>
            <w:color w:val="0000EE"/>
          </w:rPr>
          <w:t>April 11,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“Form S-4 Registration Statement”); and</w:t>
      </w:r>
    </w:p>
    <w:p>
      <w:pPr>
        <w:spacing w:after="0" w:line="108"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disclosure under the headings “Risk Factors,” “Business of Topco Before the Business Combination” and “Business of Maersk Drilling and Certain Information About Maersk Drilling” contained in the proxy statement/prospectus filed pursuant to Rule 424(b) under the Securities Act (File No. 333-261780) on </w:t>
      </w:r>
      <w:hyperlink r:id="rId36">
        <w:r>
          <w:rPr>
            <w:rFonts w:ascii="Times New Roman" w:cs="Times New Roman" w:eastAsia="Times New Roman" w:hAnsi="Times New Roman"/>
            <w:sz w:val="18"/>
            <w:szCs w:val="18"/>
            <w:u w:val="single" w:color="auto"/>
            <w:color w:val="0000EE"/>
          </w:rPr>
          <w:t>April 11, 2022</w:t>
        </w:r>
      </w:hyperlink>
      <w:r>
        <w:rPr>
          <w:rFonts w:ascii="Times New Roman" w:cs="Times New Roman" w:eastAsia="Times New Roman" w:hAnsi="Times New Roman"/>
          <w:sz w:val="18"/>
          <w:szCs w:val="18"/>
          <w:color w:val="auto"/>
        </w:rPr>
        <w:t>, forming part of the Form S-4 Registration Statement.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into this prospectus any future filings made by Topco with the SEC under Sections 13(a), 13(c), 14 or 15(d) of the Exchange Act from the date of this prospectus until the completion or termination of the offering of the securities under this prospectus. These documents may include Annual Reports on Form 10-K, Quarterly Reports on Form 10-Q and Current Reports on Form 8-K, as well as proxy statements.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 on Form 8-K.</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You may obtain copies of any of these filings as described below, through the SEC’s Internet website as described above or through our website as described above. Documents incorporated by reference are available from us without charge, excluding exhibits unless an exhibit has been specifically incorporated by reference in this prospectus. You may obtain without charge a copy of documents that are incorporated by reference in this prospectus by requesting them in writing or by telephone at the following address:</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Richard B. Barker</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Noble Corporation plc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13135 Dairy Ashford, Suite 800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Sugar Land, Texas 77478</w:t>
      </w:r>
    </w:p>
    <w:p>
      <w:pPr>
        <w:spacing w:after="0" w:line="9" w:lineRule="exact"/>
        <w:rPr>
          <w:sz w:val="20"/>
          <w:szCs w:val="20"/>
          <w:color w:val="auto"/>
        </w:rPr>
      </w:pPr>
    </w:p>
    <w:p>
      <w:pPr>
        <w:ind w:left="5500" w:hanging="438"/>
        <w:spacing w:after="0"/>
        <w:tabs>
          <w:tab w:leader="none" w:pos="5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276-6100</w:t>
      </w:r>
    </w:p>
    <w:p>
      <w:pPr>
        <w:spacing w:after="0" w:line="13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NOBLE</w:t>
      </w:r>
    </w:p>
    <w:p>
      <w:pPr>
        <w:spacing w:after="0" w:line="229"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Noble is a leading offshore drilling contractor for the oil and gas industry. Noble provides contract drilling services to the international oil and gas industry with its global fleet of mobile offshore drilling units. Noble focuses on a high-specification fleet of floating and jackup rigs and the deployment of its drilling rigs in oil and gas basins around the world. Noble and its predecessors have been engaged in the contract drilling of oil and gas wells since 1921.</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13135 Dairy Ashford, Suite 800, Sugar Land, Texas 77478, and our telephone number at that address is (281) 276-6100. Our website address is </w:t>
      </w:r>
      <w:r>
        <w:rPr>
          <w:rFonts w:ascii="Times New Roman" w:cs="Times New Roman" w:eastAsia="Times New Roman" w:hAnsi="Times New Roman"/>
          <w:sz w:val="18"/>
          <w:szCs w:val="18"/>
          <w:i w:val="1"/>
          <w:iCs w:val="1"/>
          <w:color w:val="auto"/>
        </w:rPr>
        <w:t>http://www.noblecorp.com</w:t>
      </w:r>
      <w:r>
        <w:rPr>
          <w:rFonts w:ascii="Times New Roman" w:cs="Times New Roman" w:eastAsia="Times New Roman" w:hAnsi="Times New Roman"/>
          <w:sz w:val="18"/>
          <w:szCs w:val="18"/>
          <w:color w:val="auto"/>
        </w:rPr>
        <w:t>. The information contained on or linked to or from our website is not part of, and is not incorporated by reference into, this prospectus or the registration statement of which this prospectus forms a part, and you should not consider such information part of this prospectus or rely on any such information in making your decision whether to purchase the Ordinary Shares.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Investing in the Ordinary Shares involves significant risks. Before making an investment decision, you should carefully consider the risks described in this prospectus and the risks described under “Risk Factors” and elsewhere in any prospectus supplement, our most recent Annual Report on Form 10-K, subsequent Quarterly Reports on Form 10-Q and other reports and documents we file with the SEC after the date of this prospectus that are incorporated by reference herein, together with all of the other information included in this prospectus, any prospectus supplement and the documents incorporated by reference herein. If any of the risks discussed in this prospectus or the documents incorporated by reference herein occur, our business, prospects, liquidity, financial condition and results of operations could be materially impaired, in which case the price of the Ordinary Shares could decline significantly, and you could lose all or part of your investment. Some statements included or incorporated by reference in this prospectus constitute forward-looking statements. See “Cautionary Statement Regarding Forward-Looking Statements.”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 xml:space="preserve">This prospectus includes or incorporates by reference “forward-looking statements” within the meaning of Section 27A of the Securities Act and Section 21E of the Exchange Act. All statements other than statements of historical facts included or incorporated in this prospectus, including those regarding the impact of our emergence from bankruptcy on our business and relationships, the global novel strain of coronavirus (“COVID-19”) pandemic and agreements regarding production levels among members of the Organization of Petroleum Exporting Countries (“OPEC”) and other oil and gas producing nations (together with OPEC, “OPEC+”), and any expectations we may have with respect thereto, and those regarding rig demand, peak oil, the offshore drilling market, oil prices, contract backlog, fleet status, our future financial position, business strategy, impairments, repayment of debt, credit ratings, liquidity, borrowings under any credit facilities or other instruments, sources of funds, future capital expenditures, contract commitments, dayrates, contract commencements, extension or renewals, contract tenders, the outcome of any dispute, litigation, audit or investigation, plans and objectives of management for future operations, foreign currency requirements, results of joint ventures, indemnity and other contract claims, reactivation, refurbishment, conversion and upgrade of rigs, rig acquisitions and dispositions, industry conditions, access to financing, impact of competition, governmental regulations and permitting, availability of labor, worldwide economic conditions, taxes and tax rates, indebtedness covenant compliance, dividends and distributable reserves, timing, benefits or results of acquisitions or dispositions (including the Business Combination (as defined herein) and the proposed sale by Noble Cayman and certain of its subsidiaries of five jackup rigs known as the </w:t>
      </w:r>
      <w:r>
        <w:rPr>
          <w:rFonts w:ascii="Times New Roman" w:cs="Times New Roman" w:eastAsia="Times New Roman" w:hAnsi="Times New Roman"/>
          <w:sz w:val="18"/>
          <w:szCs w:val="18"/>
          <w:i w:val="1"/>
          <w:iCs w:val="1"/>
          <w:color w:val="auto"/>
        </w:rPr>
        <w:t>Noble Hans Deul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Noble Houston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Colbert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Noble Lloyd Noble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Noble Sam Hartley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Noble Sam Turner </w:t>
      </w:r>
      <w:r>
        <w:rPr>
          <w:rFonts w:ascii="Times New Roman" w:cs="Times New Roman" w:eastAsia="Times New Roman" w:hAnsi="Times New Roman"/>
          <w:sz w:val="18"/>
          <w:szCs w:val="18"/>
          <w:color w:val="auto"/>
        </w:rPr>
        <w:t>and all related support and infrastructure to a subsidiary of Shelf Drilling, Ltd.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 Divestiture”) and our plans, objectives, expectations and intentions related to the Business Combination and the Rig Divestiture), and timing for compliance with any new regulations, are forward-looking statements. When used in this prospectus or in the documents incorporated by reference, the words “anticipate,” “believe,” “continue,” “could,” “estimate,” “expect,” “intend,” “may,” “might,” “plan,” “possible,” “potential,” “predict,” “project,” “should,” “would,” “shall,” “will” and similar expressions are intended to be among the statements that identify forward-looking statements. Although we believe that the expectations reflected in such forward-looking statements are reasonable, we cannot assure you that such expectations will prove to be correct. These forward-looking statements speak only as of the date of the document in which they appear and we undertake no obligation to revise or update any forward-looking statement for any reason, except as required by law. We have identified factors, including but not limited to risks and uncertainties relating to the Business Combination with Maersk Drilling and the Rig Divestiture (including the risk that the Business Combination and the Rig Divestiture may not be completed in a timely manner or at all, the failure to satisfy the conditions to the consummation of the Business Combination, the occurrence of any event, change or other circumstance that could give rise to the termination of the Business Combination Agreement (as defined herein), the effect of the announcement or pendency of the Business Combination on Noble’s or Maersk Drilling’s business relationships, performance and business generally, the risk that the proposed Business Combination disrupts current plans of Noble or Maersk Drilling and potential difficulties in Noble’s or Maersk Drilling’s employee retention as a result of the proposed Business Combination, the outcome of any legal proceedings that may be instituted against Noble related to the Business Combination Agreement or the proposed Business Combination, volatility in the price of the securities of Topco due to a variety of factors, including changes in the competitive markets in which Noble plans to operate, variations in performance across competitors, changes in laws and regulations affecting Noble’s business and changes in the combined capital structure, the ability to implement business plans, forecasts, and other expectations (including with respect to synergies and financial and operational metrics, such as EBITDA and free cash flow) after the completion of the proposed Business Combination, and to identify and realize additional opportunities, the failure to realize anticipated benefits of the proposed Business Combination, the potential impact of consummation of the proposed Business Combination on relationships with third parties, and risks associated with assumptions that parties make in connection with the parties’ critical accounting estimates and other judgments), the effects of public health threats, pandemics and epidemics, such as the ongoing outbreak of COVID-19, and the adverse impact thereof on our business, financial condition and results of operations (including but not limited to our</w:t>
      </w:r>
    </w:p>
    <w:p>
      <w:pPr>
        <w:spacing w:after="0" w:line="1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growth, operating costs, supply chain, availability of labor, logistical capabilities, customer demand for our services and industry demand generally, our liquidity, the price of our securities and trading markets with respect thereto, our ability to access capital markets, and the global economy and financial markets generally), the effects of actions by or disputes among OPEC+ members with respect to production levels or other matters related to the price of oil, market conditions, cost inflation, factors affecting the level of activity in the oil and gas industry, the conflict in Ukraine, supply and demand of drilling rigs, factors affecting the duration of contracts, the actual amount of downtime, factors that reduce applicable dayrates, operating hazards and delays, risks associated with operations outside the United States, actions by regulatory authorities, credit rating agencies, customers, joint venture partners, contractors, lenders and other third parties, legislation and regulations affecting drilling operations, compliance with or changes in environmental, health, safety, tax and other regulations or requirements or initiatives (including those addressing the impact of global climate change or air emissions), violations of anti-corruption laws, shipyard risk and timing, delays in mobilization of rigs, hurricanes and other weather conditions, and the future price of oil and gas, that could cause actual plans or results to differ materially from those included in any forward-looking statements. Actual results could differ materially from those expressed as a result of various factors. These factors include those referenced or described under “Risk Factors” in this prospectus and in our most recent Annual Report on Form 10-K and Quarterly Reports on Form 10-Q, or in our other filings with the SEC. We cannot control such risk factors and other uncertainties, and in many cases, we cannot predict the risks and uncertainties that could cause our actual results to differ materially from those indicated by the forward-looking statements. You should consider these risks and uncertainties when you are evaluating an investment in the Ordinary Shares.</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Ordinary Shares offered hereby are being registered for the account of the selling shareholders identified in this prospectus or in a subsequent prospectus supplement. See “Selling Shareholders.” All net proceeds from the sale of the Ordinary Shares will go to the selling shareholders. We will not receive any proceeds from the sale of the Ordinary Shares by the selling shareholders pursuant to this prospectus. The selling shareholders will pay any underwriting fees, discounts or commissions and transfer taxes relating to the sale of the Ordinary Shares. We will pay all other costs, fees and expenses incurred in effecting the registration of the Ordinary Shares covered by this prospectus, including, without limitation, the SEC registration fee with respect to the Ordinary Shares covered by this prospectus, reasonable fees and expenses of our counsel, auditors and accountants and reasonable fees and expenses of underwriters to the extent customarily paid by issuers or sellers of securities.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55"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of Noble Corporation plc, a private limited company formed under the laws of England and Wales (“Topco”), and the accompanying footnotes (the “Pro Forma Financial Information”) reflects the impact of the following transactions:</w:t>
      </w:r>
    </w:p>
    <w:p>
      <w:pPr>
        <w:spacing w:after="0" w:line="79" w:lineRule="exact"/>
        <w:rPr>
          <w:sz w:val="20"/>
          <w:szCs w:val="20"/>
          <w:color w:val="auto"/>
        </w:rPr>
      </w:pPr>
    </w:p>
    <w:p>
      <w:pPr>
        <w:ind w:left="1080" w:hanging="424"/>
        <w:spacing w:after="0" w:line="25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Combination: </w:t>
      </w:r>
      <w:r>
        <w:rPr>
          <w:rFonts w:ascii="Times New Roman" w:cs="Times New Roman" w:eastAsia="Times New Roman" w:hAnsi="Times New Roman"/>
          <w:sz w:val="18"/>
          <w:szCs w:val="18"/>
          <w:color w:val="auto"/>
        </w:rPr>
        <w:t>Pursuant to the business combination agreement, dated November 10, 2021 (as amended, the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Agreement”), by and among Noble Corporation, an exempted company incorporated in the Cayman Islands with limited liability (solely for the purposes of this section, “Old Noble”), Topco, Noble Newco Sub Limited, a Cayman Islands exempted company and a direct, wholly owned subsidiary of Topco (“Merger Sub”), and The Drilling Company of 1972 A/S, a Danish public limited liability company (“Maersk Drilling”), among other things, (i) on September 30, 2022 (the “Merger Effective Date”) (x) Old Noble merged with and into Merger Sub (the “Merger”), with Merger Sub surviving the Merger as a wholly owned subsidiary of Topco, and (y) each ordinary share, par value $0.00001 per share, of Old Noble (solely for the purposes of this section, collectively, the “Noble Shares”), issued and outstanding prior to the effective time of the Merger (the “Merger Effective Time”), was converted into one newly and validly issued, fully paid and non-assessable A ordinary share, par value $0.00001 per share, of Topco (solely for the purposes of this section, the “Topco Shares”), and (ii) on October 3, 2022 (the “Closing Date”), Topco will complete a voluntary tender exchange offer to Maersk Drilling’s shareholders (the “Offer” and, together with the Merger and the other transactions contemplated by the Business Combination Agreement, the “Business Combination”) and upon consummation of the Offer, because Topco will have acquired more than 90% of the issued and outstanding shares of Maersk Drilling, nominal value Danish krone (“DKK”) 10 per share (“Maersk Drilling Shares”), Topco will redeem all remaining Maersk Drilling Shares not exchanged in the Offer (the “Minority Shares”) for, at the election of the holder, either Topco Shares or cash (or, for those holders that do not make an election, only cash), under Danish law by way of a compulsory purchase. Topco, Old Noble and their subsidiaries collectively are referred to as “Noble.” The Business Combination is accounted for as a business combination pursuant to Accounting Standards Codification Topic 805, Business Combinations (“ASC 805”), where Noble is the accounting acquirer. Refer to Note 2 of the Pro Forma Financial Information for more information on the terms of the Business Combination Agreement, the purchase price consideration provided in connection with the Business Combination, and Noble’s determination of the accounting acquirer.</w:t>
      </w:r>
    </w:p>
    <w:p>
      <w:pPr>
        <w:spacing w:after="0" w:line="94"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Noble 2022 Rig Disposal: </w:t>
      </w:r>
      <w:r>
        <w:rPr>
          <w:rFonts w:ascii="Times New Roman" w:cs="Times New Roman" w:eastAsia="Times New Roman" w:hAnsi="Times New Roman"/>
          <w:sz w:val="18"/>
          <w:szCs w:val="18"/>
          <w:color w:val="auto"/>
        </w:rPr>
        <w:t>On April 22, 2022, the UK Competition and Markets Authority (the “UK CMA”) announced its Phase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decision, pursuant to which it concluded that the Business Combination gives rise to a realistic prospect of a substantial lessening of competition in relation to the supply of jack-up rigs in NW Europe and that a remedy to address such effect would be required to avoid a reference to a Phase 2 review under the UK CMA regime. On April 29, 2022, Noble and Maersk Drilling submitted proposals (the “Remedy Proposals”) to the UK CMA to address such effect identified in the UK CMA’s decision of April 22, 2022. Each of the Remedy Proposals was designed to replicate the competitive constraint provided by Noble in respect of jack-up rigs in NW Europe by the divestment of certain jack-up rigs to a suitable purchaser. On May 9, 2022, the UK CMA published its decision that there are reasonable grounds for believing that one of these Remedy Proposals might be accepted by the UK CMA. This one Remedy Proposal comprises the divestment of the rigs </w:t>
      </w:r>
      <w:r>
        <w:rPr>
          <w:rFonts w:ascii="Times New Roman" w:cs="Times New Roman" w:eastAsia="Times New Roman" w:hAnsi="Times New Roman"/>
          <w:sz w:val="18"/>
          <w:szCs w:val="18"/>
          <w:i w:val="1"/>
          <w:iCs w:val="1"/>
          <w:color w:val="auto"/>
        </w:rPr>
        <w:t>Noble Hans Deul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Noble Sam Hartley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Noble Sam Turner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Noble Houston Colbert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Noble Lloyd Noble</w:t>
      </w:r>
      <w:r>
        <w:rPr>
          <w:rFonts w:ascii="Times New Roman" w:cs="Times New Roman" w:eastAsia="Times New Roman" w:hAnsi="Times New Roman"/>
          <w:sz w:val="18"/>
          <w:szCs w:val="18"/>
          <w:color w:val="auto"/>
        </w:rPr>
        <w:t xml:space="preserve"> (the “NLN Rig” and, collectively, the “Remedy Rigs”), including all of the related support and infrastructure that the purchaser will need to run the Remedy Rigs as an effective standalone business. Relevant off-shore and on-shore staff are expected to transfer with the Remedy Rigs (the “Noble 2022 Rig Disposal”).</w:t>
      </w:r>
    </w:p>
    <w:p>
      <w:pPr>
        <w:spacing w:after="0" w:line="83" w:lineRule="exact"/>
        <w:rPr>
          <w:rFonts w:ascii="Times New Roman" w:cs="Times New Roman" w:eastAsia="Times New Roman" w:hAnsi="Times New Roman"/>
          <w:sz w:val="18"/>
          <w:szCs w:val="18"/>
          <w:color w:val="auto"/>
        </w:rPr>
      </w:pPr>
    </w:p>
    <w:p>
      <w:pPr>
        <w:ind w:left="11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23, 2022, Noble announced that it had entered into an Asset Purchase Agreement (as amended, the “Asset Purchase Agreement”) with a potential purchaser, Shelf Drilling, Ltd. (“Shelf</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54" w:lineRule="auto"/>
        <w:rPr>
          <w:sz w:val="20"/>
          <w:szCs w:val="20"/>
          <w:color w:val="auto"/>
        </w:rPr>
      </w:pPr>
      <w:r>
        <w:rPr>
          <w:rFonts w:ascii="Times New Roman" w:cs="Times New Roman" w:eastAsia="Times New Roman" w:hAnsi="Times New Roman"/>
          <w:sz w:val="18"/>
          <w:szCs w:val="18"/>
          <w:color w:val="auto"/>
        </w:rPr>
        <w:t>Drilling”) and one of its subsidiaries (the “Shelf Buyer”), regarding the sale of the Remedy Rigs under the Remedy Proposal described above, conditional upon, among other things, the UK CMA formally approving Shelf Drilling as a suitable purchaser and also formally accepting the Remedy Proposal. On the Completion (as defined in the Asset Purchase Agreement), Noble Drilling Norway AS (“Noble Norway”) and a member of the Shelf Group, which will be the owner of the NLN Rig, will enter into a charter agreement (the “NLN Charter Agreement”), pursuant to which Noble Norway will charter the NLN Rig from the Shelf Group during the period from the Completion until the date of the NLN Completion (as defined in the Asset Purchase Agreement) in order to allow Noble Norway to complete its current obligations under the NLN Drilling Agreement (as defined in the Asset Purchase Agreement) with the NLN Customer (as defined in the Asset Purchase Agreement). At the end of the charter period, Noble Norway will redeliver the NLN Rig to the Shelf Group.</w:t>
      </w:r>
    </w:p>
    <w:p>
      <w:pPr>
        <w:spacing w:after="0" w:line="80" w:lineRule="exact"/>
        <w:rPr>
          <w:sz w:val="20"/>
          <w:szCs w:val="20"/>
          <w:color w:val="auto"/>
        </w:rPr>
      </w:pPr>
    </w:p>
    <w:p>
      <w:pPr>
        <w:ind w:left="1100" w:right="80"/>
        <w:spacing w:after="0" w:line="261" w:lineRule="auto"/>
        <w:rPr>
          <w:sz w:val="20"/>
          <w:szCs w:val="20"/>
          <w:color w:val="auto"/>
        </w:rPr>
      </w:pPr>
      <w:r>
        <w:rPr>
          <w:rFonts w:ascii="Times New Roman" w:cs="Times New Roman" w:eastAsia="Times New Roman" w:hAnsi="Times New Roman"/>
          <w:sz w:val="18"/>
          <w:szCs w:val="18"/>
          <w:color w:val="auto"/>
        </w:rPr>
        <w:t>On September 1, 2022, the UK CMA issued its formal decision and accepted the Remedy Proposal and Shelf Drilling as a suitable purchaser. The closing of the Noble 2022 Rig Disposal is expected to occur in early October following the closing of the Business Combination. Until such time, the closing of the Noble 2022 Rig Disposal remains subject to the few remaining conditions that have been previously disclosed, including the completion of the Business Combination.</w:t>
      </w:r>
    </w:p>
    <w:p>
      <w:pPr>
        <w:spacing w:after="0" w:line="180"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Pro Forma Financial Information also reflects the impact of the following transactions that have been completed since January 1, 2021 but have not been included in the results of operations for the entire periods presented for the pro forma condensed combined statements of operations (collectively, the “Completed Transactions”):</w:t>
      </w:r>
    </w:p>
    <w:p>
      <w:pPr>
        <w:spacing w:after="0" w:line="79" w:lineRule="exact"/>
        <w:rPr>
          <w:sz w:val="20"/>
          <w:szCs w:val="20"/>
          <w:color w:val="auto"/>
        </w:rPr>
      </w:pPr>
    </w:p>
    <w:p>
      <w:pPr>
        <w:ind w:left="1080" w:right="120" w:hanging="424"/>
        <w:spacing w:after="0" w:line="315" w:lineRule="auto"/>
        <w:tabs>
          <w:tab w:leader="none" w:pos="10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Noble 2021 Rig Disposal: </w:t>
      </w:r>
      <w:r>
        <w:rPr>
          <w:rFonts w:ascii="Times New Roman" w:cs="Times New Roman" w:eastAsia="Times New Roman" w:hAnsi="Times New Roman"/>
          <w:sz w:val="17"/>
          <w:szCs w:val="17"/>
          <w:color w:val="auto"/>
        </w:rPr>
        <w:t>On November 3, 2021, Noble completed the sales of jackup rigs</w:t>
      </w:r>
      <w:r>
        <w:rPr>
          <w:rFonts w:ascii="Times New Roman" w:cs="Times New Roman" w:eastAsia="Times New Roman" w:hAnsi="Times New Roman"/>
          <w:sz w:val="17"/>
          <w:szCs w:val="17"/>
          <w:i w:val="1"/>
          <w:iCs w:val="1"/>
          <w:color w:val="auto"/>
        </w:rPr>
        <w:t xml:space="preserve"> Noble Roger Lewis, Noble Scott Marks, Noble Joe Knight,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Noble Johnny Whitstine </w:t>
      </w:r>
      <w:r>
        <w:rPr>
          <w:rFonts w:ascii="Times New Roman" w:cs="Times New Roman" w:eastAsia="Times New Roman" w:hAnsi="Times New Roman"/>
          <w:sz w:val="17"/>
          <w:szCs w:val="17"/>
          <w:color w:val="auto"/>
        </w:rPr>
        <w:t>in Saudi Arabia to ADES International Holding Limited (the “Noble 2021 Rig Disposal”).</w:t>
      </w:r>
    </w:p>
    <w:p>
      <w:pPr>
        <w:spacing w:after="0" w:line="40" w:lineRule="exact"/>
        <w:rPr>
          <w:rFonts w:ascii="Times New Roman" w:cs="Times New Roman" w:eastAsia="Times New Roman" w:hAnsi="Times New Roman"/>
          <w:sz w:val="17"/>
          <w:szCs w:val="17"/>
          <w:color w:val="auto"/>
        </w:rPr>
      </w:pPr>
    </w:p>
    <w:p>
      <w:pPr>
        <w:ind w:left="1080" w:right="20" w:hanging="424"/>
        <w:spacing w:after="0" w:line="284"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Maersk Drilling Rig Disposal: </w:t>
      </w:r>
      <w:r>
        <w:rPr>
          <w:rFonts w:ascii="Times New Roman" w:cs="Times New Roman" w:eastAsia="Times New Roman" w:hAnsi="Times New Roman"/>
          <w:sz w:val="18"/>
          <w:szCs w:val="18"/>
          <w:color w:val="auto"/>
        </w:rPr>
        <w:t>On October 27, 2021, Maersk Drilling completed the divesture of the combined drilling and production unit</w:t>
      </w:r>
      <w:r>
        <w:rPr>
          <w:rFonts w:ascii="Times New Roman" w:cs="Times New Roman" w:eastAsia="Times New Roman" w:hAnsi="Times New Roman"/>
          <w:sz w:val="18"/>
          <w:szCs w:val="18"/>
          <w:i w:val="1"/>
          <w:iCs w:val="1"/>
          <w:color w:val="auto"/>
        </w:rPr>
        <w:t xml:space="preserve"> Maersk Inspirer </w:t>
      </w:r>
      <w:r>
        <w:rPr>
          <w:rFonts w:ascii="Times New Roman" w:cs="Times New Roman" w:eastAsia="Times New Roman" w:hAnsi="Times New Roman"/>
          <w:sz w:val="18"/>
          <w:szCs w:val="18"/>
          <w:color w:val="auto"/>
        </w:rPr>
        <w:t>in Norway to Havila Sirius (the “Maersk Drilling Rig Disposal”).</w:t>
      </w:r>
    </w:p>
    <w:p>
      <w:pPr>
        <w:spacing w:after="0" w:line="65"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Pacific Drilling Merger: On April 15, 2021, Noble completed the acquisition of Pacific Drilling Company LLC (solely for the purposes of this section, “Pacific”; and the acquisition, the “Pacific Drilling Merger”). The Pacific Drilling Merger was accounted for as a business combination pursuant to ASC 805, where Noble was the accounting acquirer.</w:t>
      </w:r>
    </w:p>
    <w:p>
      <w:pPr>
        <w:spacing w:after="0" w:line="79" w:lineRule="exact"/>
        <w:rPr>
          <w:rFonts w:ascii="Times New Roman" w:cs="Times New Roman" w:eastAsia="Times New Roman" w:hAnsi="Times New Roman"/>
          <w:sz w:val="18"/>
          <w:szCs w:val="18"/>
          <w:color w:val="auto"/>
        </w:rPr>
      </w:pPr>
    </w:p>
    <w:p>
      <w:pPr>
        <w:ind w:left="1080" w:right="260" w:hanging="424"/>
        <w:spacing w:after="0" w:line="284"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Noble Reorganization: </w:t>
      </w:r>
      <w:r>
        <w:rPr>
          <w:rFonts w:ascii="Times New Roman" w:cs="Times New Roman" w:eastAsia="Times New Roman" w:hAnsi="Times New Roman"/>
          <w:sz w:val="18"/>
          <w:szCs w:val="18"/>
          <w:color w:val="auto"/>
        </w:rPr>
        <w:t>On February 5, 2021, Noble successfully consummated its plan of reorganization (solely for the purposes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the “Noble Plan”) and emerged from bankruptcy reorganization under Chapter 11 (the “Noble Reorganization”).</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 Forma Financial Information has been prepared under the following assumptions:</w:t>
      </w:r>
    </w:p>
    <w:p>
      <w:pPr>
        <w:spacing w:after="0" w:line="131" w:lineRule="exact"/>
        <w:rPr>
          <w:sz w:val="20"/>
          <w:szCs w:val="20"/>
          <w:color w:val="auto"/>
        </w:rPr>
      </w:pPr>
    </w:p>
    <w:p>
      <w:pPr>
        <w:ind w:left="1080" w:right="8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statements of operations for the six months ended June 30, 2022 and for the twelve months ended December 31, 2021 assume that the Business Combination, the Noble 2022 Rig Disposal, and the Completed Transactions had occurred on January 1, 2021.</w:t>
      </w:r>
    </w:p>
    <w:p>
      <w:pPr>
        <w:spacing w:after="0" w:line="81" w:lineRule="exact"/>
        <w:rPr>
          <w:rFonts w:ascii="Times New Roman" w:cs="Times New Roman" w:eastAsia="Times New Roman" w:hAnsi="Times New Roman"/>
          <w:sz w:val="18"/>
          <w:szCs w:val="18"/>
          <w:color w:val="auto"/>
        </w:rPr>
      </w:pPr>
    </w:p>
    <w:p>
      <w:pPr>
        <w:ind w:left="1080" w:right="28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balance sheet as of June 30, 2022 assumes that the Business Combination and the Noble 2022 Rig Disposal had occurred on June 30, 2022. The impacts from the Completed Transactions have already been reflected in the historical consolidated balance sheets of either Noble or Maersk Drilling as of June 30, 2022; therefore, no pro forma adjustments were made for these transactions in the unaudited pro forma condensed combined balance sheet as of June 30, 2022.</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Pro Forma Financial Information does not represent what the actual consolidated results of operations or the consolidated financial position of Topco would have been had the Business Combination, the Noble 2022 Rig Disposal, and the Completed Transactions occurred on the dates assumed, nor are they necessarily indicative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of future consolidated results of operations or consolidated financial position. The assumptions made by Noble underlying the pro forma adjustments are described in the accompanying notes to these unaudited pro forma condensed combined financial statements. Adjustments are based on information available to Noble’s management during the preparation of the Pro Forma Financial Information and assumptions that Noble’s management believes are reasonable and supportable. The pro forma adjustments, which are described in the accompanying notes, may be revised by Noble as additional information becomes available and is evaluated. Therefore, it is likely that the actual adjustments will differ from the pro forma adjustments, and it is possible the differences may be material.</w:t>
      </w:r>
    </w:p>
    <w:p>
      <w:pPr>
        <w:spacing w:after="0" w:line="187"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Noble’s management has not presented the effects of anticipated costs or savings associated with certain restructuring, severance, termination-related benefits, or other integration activities resulting from the Business Combination as the specificity of the timing and nature of such items is still under evaluation as of the date of this prospectus.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 Forma Financial Information should be read in conjunction with the following:</w:t>
      </w:r>
    </w:p>
    <w:p>
      <w:pPr>
        <w:spacing w:after="0" w:line="131" w:lineRule="exact"/>
        <w:rPr>
          <w:sz w:val="20"/>
          <w:szCs w:val="20"/>
          <w:color w:val="auto"/>
        </w:rPr>
      </w:pPr>
    </w:p>
    <w:p>
      <w:pPr>
        <w:jc w:val="both"/>
        <w:ind w:left="1080" w:right="24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and notes included in Old Noble’s Annual Report on Form 10-K for the year ended December 31, 2021, filed with the SEC on February 17, 2022, and Amendment No. 1 thereto on Form 10-K/A, filed with the SEC on March 11, 2022 (together, the “2021 Form 10-K”).</w:t>
      </w:r>
    </w:p>
    <w:p>
      <w:pPr>
        <w:spacing w:after="0" w:line="81"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financial statements and notes included in Old Noble’s Quarterly Report on Form 10-Q for the quarterly period ended June 30, 2022, filed with the SEC on August 9, 2022.</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Maersk Drilling consolidated financial statements and notes for the year ended December 31, 2021 included in the Form S-4 Registration Statement and the interim period ended June 30, 2022 included elsewhere in this prospectus.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Pacific condensed consolidated financial statements and notes for the interim period ended March 31, 2021 included in Old Noble’s Current Report on Form 8-K/A, filed with the SEC on June 23, 2021.</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Six Months Ended June 30, 2022</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3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Maersk Drilling Historical</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Business</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3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208"/>
              <w:spacing w:after="0" w:line="135" w:lineRule="exact"/>
              <w:rPr>
                <w:sz w:val="20"/>
                <w:szCs w:val="20"/>
                <w:color w:val="auto"/>
              </w:rPr>
            </w:pPr>
            <w:r>
              <w:rPr>
                <w:rFonts w:ascii="Times New Roman" w:cs="Times New Roman" w:eastAsia="Times New Roman" w:hAnsi="Times New Roman"/>
                <w:sz w:val="13"/>
                <w:szCs w:val="13"/>
                <w:b w:val="1"/>
                <w:bCs w:val="1"/>
                <w:color w:val="auto"/>
                <w:w w:val="93"/>
              </w:rPr>
              <w:t>Maersk</w:t>
            </w:r>
          </w:p>
        </w:tc>
        <w:tc>
          <w:tcPr>
            <w:tcW w:w="80" w:type="dxa"/>
            <w:vAlign w:val="bottom"/>
          </w:tcPr>
          <w:p>
            <w:pPr>
              <w:spacing w:after="0"/>
              <w:rPr>
                <w:sz w:val="11"/>
                <w:szCs w:val="11"/>
                <w:color w:val="auto"/>
              </w:rPr>
            </w:pPr>
          </w:p>
        </w:tc>
        <w:tc>
          <w:tcPr>
            <w:tcW w:w="880" w:type="dxa"/>
            <w:vAlign w:val="bottom"/>
            <w:gridSpan w:val="2"/>
          </w:tcPr>
          <w:p>
            <w:pPr>
              <w:jc w:val="center"/>
              <w:ind w:right="148"/>
              <w:spacing w:after="0" w:line="135" w:lineRule="exact"/>
              <w:rPr>
                <w:sz w:val="20"/>
                <w:szCs w:val="20"/>
                <w:color w:val="auto"/>
              </w:rPr>
            </w:pPr>
            <w:r>
              <w:rPr>
                <w:rFonts w:ascii="Times New Roman" w:cs="Times New Roman" w:eastAsia="Times New Roman" w:hAnsi="Times New Roman"/>
                <w:sz w:val="13"/>
                <w:szCs w:val="13"/>
                <w:b w:val="1"/>
                <w:bCs w:val="1"/>
                <w:color w:val="auto"/>
                <w:w w:val="98"/>
              </w:rPr>
              <w:t>Maersk</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28"/>
              <w:spacing w:after="0" w:line="135" w:lineRule="exact"/>
              <w:rPr>
                <w:sz w:val="20"/>
                <w:szCs w:val="20"/>
                <w:color w:val="auto"/>
              </w:rPr>
            </w:pPr>
            <w:r>
              <w:rPr>
                <w:rFonts w:ascii="Times New Roman" w:cs="Times New Roman" w:eastAsia="Times New Roman" w:hAnsi="Times New Roman"/>
                <w:sz w:val="13"/>
                <w:szCs w:val="13"/>
                <w:b w:val="1"/>
                <w:bCs w:val="1"/>
                <w:color w:val="auto"/>
                <w:w w:val="93"/>
              </w:rPr>
              <w:t>Maersk</w:t>
            </w:r>
          </w:p>
        </w:tc>
        <w:tc>
          <w:tcPr>
            <w:tcW w:w="80" w:type="dxa"/>
            <w:vAlign w:val="bottom"/>
          </w:tcPr>
          <w:p>
            <w:pPr>
              <w:spacing w:after="0"/>
              <w:rPr>
                <w:sz w:val="11"/>
                <w:szCs w:val="11"/>
                <w:color w:val="auto"/>
              </w:rPr>
            </w:pPr>
          </w:p>
        </w:tc>
        <w:tc>
          <w:tcPr>
            <w:tcW w:w="86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Combination</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228"/>
              <w:spacing w:after="0" w:line="135" w:lineRule="exact"/>
              <w:rPr>
                <w:sz w:val="20"/>
                <w:szCs w:val="20"/>
                <w:color w:val="auto"/>
              </w:rPr>
            </w:pPr>
            <w:r>
              <w:rPr>
                <w:rFonts w:ascii="Times New Roman" w:cs="Times New Roman" w:eastAsia="Times New Roman" w:hAnsi="Times New Roman"/>
                <w:sz w:val="13"/>
                <w:szCs w:val="13"/>
                <w:b w:val="1"/>
                <w:bCs w:val="1"/>
                <w:color w:val="auto"/>
                <w:w w:val="96"/>
              </w:rPr>
              <w:t>Drilling</w:t>
            </w:r>
          </w:p>
        </w:tc>
        <w:tc>
          <w:tcPr>
            <w:tcW w:w="80" w:type="dxa"/>
            <w:vAlign w:val="bottom"/>
          </w:tcPr>
          <w:p>
            <w:pPr>
              <w:spacing w:after="0"/>
              <w:rPr>
                <w:sz w:val="11"/>
                <w:szCs w:val="11"/>
                <w:color w:val="auto"/>
              </w:rPr>
            </w:pPr>
          </w:p>
        </w:tc>
        <w:tc>
          <w:tcPr>
            <w:tcW w:w="880" w:type="dxa"/>
            <w:vAlign w:val="bottom"/>
            <w:gridSpan w:val="2"/>
          </w:tcPr>
          <w:p>
            <w:pPr>
              <w:jc w:val="center"/>
              <w:ind w:right="108"/>
              <w:spacing w:after="0" w:line="135" w:lineRule="exact"/>
              <w:rPr>
                <w:sz w:val="20"/>
                <w:szCs w:val="20"/>
                <w:color w:val="auto"/>
              </w:rPr>
            </w:pPr>
            <w:r>
              <w:rPr>
                <w:rFonts w:ascii="Times New Roman" w:cs="Times New Roman" w:eastAsia="Times New Roman" w:hAnsi="Times New Roman"/>
                <w:sz w:val="13"/>
                <w:szCs w:val="13"/>
                <w:b w:val="1"/>
                <w:bCs w:val="1"/>
                <w:color w:val="auto"/>
                <w:w w:val="96"/>
              </w:rPr>
              <w:t>Drilling</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48"/>
              <w:spacing w:after="0" w:line="135" w:lineRule="exact"/>
              <w:rPr>
                <w:sz w:val="20"/>
                <w:szCs w:val="20"/>
                <w:color w:val="auto"/>
              </w:rPr>
            </w:pPr>
            <w:r>
              <w:rPr>
                <w:rFonts w:ascii="Times New Roman" w:cs="Times New Roman" w:eastAsia="Times New Roman" w:hAnsi="Times New Roman"/>
                <w:sz w:val="13"/>
                <w:szCs w:val="13"/>
                <w:b w:val="1"/>
                <w:bCs w:val="1"/>
                <w:color w:val="auto"/>
                <w:w w:val="96"/>
              </w:rPr>
              <w:t>Drilling</w:t>
            </w:r>
          </w:p>
        </w:tc>
        <w:tc>
          <w:tcPr>
            <w:tcW w:w="80" w:type="dxa"/>
            <w:vAlign w:val="bottom"/>
          </w:tcPr>
          <w:p>
            <w:pPr>
              <w:spacing w:after="0"/>
              <w:rPr>
                <w:sz w:val="11"/>
                <w:szCs w:val="11"/>
                <w:color w:val="auto"/>
              </w:rPr>
            </w:pPr>
          </w:p>
        </w:tc>
        <w:tc>
          <w:tcPr>
            <w:tcW w:w="86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Transaction</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Noble</w:t>
            </w:r>
          </w:p>
        </w:tc>
        <w:tc>
          <w:tcPr>
            <w:tcW w:w="800" w:type="dxa"/>
            <w:vAlign w:val="bottom"/>
            <w:gridSpan w:val="3"/>
          </w:tcPr>
          <w:p>
            <w:pPr>
              <w:jc w:val="center"/>
              <w:ind w:right="128"/>
              <w:spacing w:after="0" w:line="135" w:lineRule="exact"/>
              <w:rPr>
                <w:sz w:val="20"/>
                <w:szCs w:val="20"/>
                <w:color w:val="auto"/>
              </w:rPr>
            </w:pPr>
            <w:r>
              <w:rPr>
                <w:rFonts w:ascii="Times New Roman" w:cs="Times New Roman" w:eastAsia="Times New Roman" w:hAnsi="Times New Roman"/>
                <w:sz w:val="13"/>
                <w:szCs w:val="13"/>
                <w:b w:val="1"/>
                <w:bCs w:val="1"/>
                <w:color w:val="auto"/>
                <w:w w:val="94"/>
              </w:rPr>
              <w:t>Historical</w:t>
            </w:r>
          </w:p>
        </w:tc>
        <w:tc>
          <w:tcPr>
            <w:tcW w:w="960" w:type="dxa"/>
            <w:vAlign w:val="bottom"/>
            <w:gridSpan w:val="3"/>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w w:val="97"/>
              </w:rPr>
              <w:t>IFRS-to-GAAP</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28"/>
              <w:spacing w:after="0" w:line="135" w:lineRule="exact"/>
              <w:rPr>
                <w:sz w:val="20"/>
                <w:szCs w:val="20"/>
                <w:color w:val="auto"/>
              </w:rPr>
            </w:pPr>
            <w:r>
              <w:rPr>
                <w:rFonts w:ascii="Times New Roman" w:cs="Times New Roman" w:eastAsia="Times New Roman" w:hAnsi="Times New Roman"/>
                <w:sz w:val="13"/>
                <w:szCs w:val="13"/>
                <w:b w:val="1"/>
                <w:bCs w:val="1"/>
                <w:color w:val="auto"/>
                <w:w w:val="94"/>
              </w:rPr>
              <w:t>Historical</w:t>
            </w:r>
          </w:p>
        </w:tc>
        <w:tc>
          <w:tcPr>
            <w:tcW w:w="80" w:type="dxa"/>
            <w:vAlign w:val="bottom"/>
          </w:tcPr>
          <w:p>
            <w:pPr>
              <w:spacing w:after="0"/>
              <w:rPr>
                <w:sz w:val="11"/>
                <w:szCs w:val="11"/>
                <w:color w:val="auto"/>
              </w:rPr>
            </w:pPr>
          </w:p>
        </w:tc>
        <w:tc>
          <w:tcPr>
            <w:tcW w:w="86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79"/>
              <w:spacing w:after="0" w:line="135" w:lineRule="exact"/>
              <w:rPr>
                <w:sz w:val="20"/>
                <w:szCs w:val="20"/>
                <w:color w:val="auto"/>
              </w:rPr>
            </w:pPr>
            <w:r>
              <w:rPr>
                <w:rFonts w:ascii="Times New Roman" w:cs="Times New Roman" w:eastAsia="Times New Roman" w:hAnsi="Times New Roman"/>
                <w:sz w:val="13"/>
                <w:szCs w:val="13"/>
                <w:b w:val="1"/>
                <w:bCs w:val="1"/>
                <w:color w:val="auto"/>
                <w:w w:val="92"/>
              </w:rPr>
              <w:t>Topco</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80" w:type="dxa"/>
            <w:vAlign w:val="bottom"/>
          </w:tcPr>
          <w:p>
            <w:pPr>
              <w:spacing w:after="0"/>
              <w:rPr>
                <w:sz w:val="11"/>
                <w:szCs w:val="11"/>
                <w:color w:val="auto"/>
              </w:rPr>
            </w:pPr>
          </w:p>
        </w:tc>
        <w:tc>
          <w:tcPr>
            <w:tcW w:w="720" w:type="dxa"/>
            <w:vAlign w:val="bottom"/>
            <w:gridSpan w:val="2"/>
          </w:tcPr>
          <w:p>
            <w:pPr>
              <w:jc w:val="center"/>
              <w:ind w:right="208"/>
              <w:spacing w:after="0" w:line="135" w:lineRule="exact"/>
              <w:rPr>
                <w:sz w:val="20"/>
                <w:szCs w:val="20"/>
                <w:color w:val="auto"/>
              </w:rPr>
            </w:pPr>
            <w:r>
              <w:rPr>
                <w:rFonts w:ascii="Times New Roman" w:cs="Times New Roman" w:eastAsia="Times New Roman" w:hAnsi="Times New Roman"/>
                <w:sz w:val="13"/>
                <w:szCs w:val="13"/>
                <w:b w:val="1"/>
                <w:bCs w:val="1"/>
                <w:color w:val="auto"/>
                <w:w w:val="93"/>
              </w:rPr>
              <w:t>(IFRS)</w:t>
            </w:r>
          </w:p>
        </w:tc>
        <w:tc>
          <w:tcPr>
            <w:tcW w:w="80" w:type="dxa"/>
            <w:vAlign w:val="bottom"/>
          </w:tcPr>
          <w:p>
            <w:pPr>
              <w:spacing w:after="0"/>
              <w:rPr>
                <w:sz w:val="11"/>
                <w:szCs w:val="11"/>
                <w:color w:val="auto"/>
              </w:rPr>
            </w:pPr>
          </w:p>
        </w:tc>
        <w:tc>
          <w:tcPr>
            <w:tcW w:w="880" w:type="dxa"/>
            <w:vAlign w:val="bottom"/>
            <w:gridSpan w:val="2"/>
          </w:tcPr>
          <w:p>
            <w:pPr>
              <w:jc w:val="center"/>
              <w:ind w:right="128"/>
              <w:spacing w:after="0" w:line="135" w:lineRule="exact"/>
              <w:rPr>
                <w:sz w:val="20"/>
                <w:szCs w:val="20"/>
                <w:color w:val="auto"/>
              </w:rPr>
            </w:pPr>
            <w:r>
              <w:rPr>
                <w:rFonts w:ascii="Times New Roman" w:cs="Times New Roman" w:eastAsia="Times New Roman" w:hAnsi="Times New Roman"/>
                <w:sz w:val="13"/>
                <w:szCs w:val="13"/>
                <w:b w:val="1"/>
                <w:bCs w:val="1"/>
                <w:color w:val="auto"/>
                <w:w w:val="96"/>
              </w:rPr>
              <w:t>Adjustments</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28"/>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Adjusted</w:t>
            </w:r>
          </w:p>
        </w:tc>
        <w:tc>
          <w:tcPr>
            <w:tcW w:w="80" w:type="dxa"/>
            <w:vAlign w:val="bottom"/>
          </w:tcPr>
          <w:p>
            <w:pPr>
              <w:spacing w:after="0"/>
              <w:rPr>
                <w:sz w:val="11"/>
                <w:szCs w:val="11"/>
                <w:color w:val="auto"/>
              </w:rPr>
            </w:pPr>
          </w:p>
        </w:tc>
        <w:tc>
          <w:tcPr>
            <w:tcW w:w="86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Adjustments</w:t>
            </w:r>
          </w:p>
        </w:tc>
        <w:tc>
          <w:tcPr>
            <w:tcW w:w="540" w:type="dxa"/>
            <w:vAlign w:val="bottom"/>
          </w:tcPr>
          <w:p>
            <w:pPr>
              <w:spacing w:after="0"/>
              <w:rPr>
                <w:sz w:val="11"/>
                <w:szCs w:val="11"/>
                <w:color w:val="auto"/>
              </w:rPr>
            </w:pPr>
          </w:p>
        </w:tc>
        <w:tc>
          <w:tcPr>
            <w:tcW w:w="820" w:type="dxa"/>
            <w:vAlign w:val="bottom"/>
            <w:gridSpan w:val="3"/>
          </w:tcPr>
          <w:p>
            <w:pPr>
              <w:jc w:val="center"/>
              <w:ind w:right="99"/>
              <w:spacing w:after="0" w:line="135" w:lineRule="exact"/>
              <w:rPr>
                <w:sz w:val="20"/>
                <w:szCs w:val="20"/>
                <w:color w:val="auto"/>
              </w:rPr>
            </w:pPr>
            <w:r>
              <w:rPr>
                <w:rFonts w:ascii="Times New Roman" w:cs="Times New Roman" w:eastAsia="Times New Roman" w:hAnsi="Times New Roman"/>
                <w:sz w:val="13"/>
                <w:szCs w:val="13"/>
                <w:b w:val="1"/>
                <w:bCs w:val="1"/>
                <w:color w:val="auto"/>
                <w:w w:val="98"/>
              </w:rPr>
              <w:t>Pro Forma</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4"/>
              </w:rPr>
              <w:t>(Note 7)</w:t>
            </w:r>
          </w:p>
        </w:tc>
        <w:tc>
          <w:tcPr>
            <w:tcW w:w="80" w:type="dxa"/>
            <w:vAlign w:val="bottom"/>
          </w:tcPr>
          <w:p>
            <w:pPr>
              <w:spacing w:after="0"/>
              <w:rPr>
                <w:sz w:val="13"/>
                <w:szCs w:val="13"/>
                <w:color w:val="auto"/>
              </w:rPr>
            </w:pPr>
          </w:p>
        </w:tc>
        <w:tc>
          <w:tcPr>
            <w:tcW w:w="720" w:type="dxa"/>
            <w:vAlign w:val="bottom"/>
            <w:gridSpan w:val="2"/>
          </w:tcPr>
          <w:p>
            <w:pPr>
              <w:jc w:val="center"/>
              <w:ind w:right="208"/>
              <w:spacing w:after="0"/>
              <w:rPr>
                <w:sz w:val="20"/>
                <w:szCs w:val="20"/>
                <w:color w:val="auto"/>
              </w:rPr>
            </w:pPr>
            <w:r>
              <w:rPr>
                <w:rFonts w:ascii="Times New Roman" w:cs="Times New Roman" w:eastAsia="Times New Roman" w:hAnsi="Times New Roman"/>
                <w:sz w:val="13"/>
                <w:szCs w:val="13"/>
                <w:b w:val="1"/>
                <w:bCs w:val="1"/>
                <w:color w:val="auto"/>
                <w:w w:val="98"/>
              </w:rPr>
              <w:t>(Note 4)</w:t>
            </w:r>
          </w:p>
        </w:tc>
        <w:tc>
          <w:tcPr>
            <w:tcW w:w="80" w:type="dxa"/>
            <w:vAlign w:val="bottom"/>
          </w:tcPr>
          <w:p>
            <w:pPr>
              <w:spacing w:after="0"/>
              <w:rPr>
                <w:sz w:val="13"/>
                <w:szCs w:val="13"/>
                <w:color w:val="auto"/>
              </w:rPr>
            </w:pPr>
          </w:p>
        </w:tc>
        <w:tc>
          <w:tcPr>
            <w:tcW w:w="880" w:type="dxa"/>
            <w:vAlign w:val="bottom"/>
            <w:gridSpan w:val="2"/>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w w:val="98"/>
              </w:rPr>
              <w:t>(Note 6)</w:t>
            </w:r>
          </w:p>
        </w:tc>
        <w:tc>
          <w:tcPr>
            <w:tcW w:w="820" w:type="dxa"/>
            <w:vAlign w:val="bottom"/>
          </w:tcPr>
          <w:p>
            <w:pPr>
              <w:spacing w:after="0"/>
              <w:rPr>
                <w:sz w:val="13"/>
                <w:szCs w:val="13"/>
                <w:color w:val="auto"/>
              </w:rPr>
            </w:pPr>
          </w:p>
        </w:tc>
        <w:tc>
          <w:tcPr>
            <w:tcW w:w="840" w:type="dxa"/>
            <w:vAlign w:val="bottom"/>
            <w:gridSpan w:val="3"/>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4"/>
              </w:rPr>
              <w:t>(U.S. GAAP)</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(Note 3)</w:t>
            </w:r>
          </w:p>
        </w:tc>
        <w:tc>
          <w:tcPr>
            <w:tcW w:w="540" w:type="dxa"/>
            <w:vAlign w:val="bottom"/>
          </w:tcPr>
          <w:p>
            <w:pPr>
              <w:spacing w:after="0"/>
              <w:rPr>
                <w:sz w:val="13"/>
                <w:szCs w:val="13"/>
                <w:color w:val="auto"/>
              </w:rPr>
            </w:pPr>
          </w:p>
        </w:tc>
        <w:tc>
          <w:tcPr>
            <w:tcW w:w="820" w:type="dxa"/>
            <w:vAlign w:val="bottom"/>
            <w:gridSpan w:val="3"/>
          </w:tcPr>
          <w:p>
            <w:pPr>
              <w:jc w:val="center"/>
              <w:ind w:right="99"/>
              <w:spacing w:after="0"/>
              <w:rPr>
                <w:sz w:val="20"/>
                <w:szCs w:val="20"/>
                <w:color w:val="auto"/>
              </w:rPr>
            </w:pPr>
            <w:r>
              <w:rPr>
                <w:rFonts w:ascii="Times New Roman" w:cs="Times New Roman" w:eastAsia="Times New Roman" w:hAnsi="Times New Roman"/>
                <w:sz w:val="13"/>
                <w:szCs w:val="13"/>
                <w:b w:val="1"/>
                <w:bCs w:val="1"/>
                <w:color w:val="auto"/>
                <w:w w:val="96"/>
              </w:rPr>
              <w:t>Combined</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3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Operating revenues</w:t>
            </w:r>
          </w:p>
        </w:tc>
        <w:tc>
          <w:tcPr>
            <w:tcW w:w="7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Contract drilling services</w:t>
            </w:r>
          </w:p>
        </w:tc>
        <w:tc>
          <w:tcPr>
            <w:tcW w:w="780" w:type="dxa"/>
            <w:vAlign w:val="bottom"/>
            <w:gridSpan w:val="2"/>
          </w:tcPr>
          <w:p>
            <w:pPr>
              <w:ind w:left="7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433,383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520,180</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520,180</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953,563</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Reimbursables and other</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23,921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12,298</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12,298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36,219</w:t>
            </w: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457,304</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532,478</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ind w:left="5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532,478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ind w:left="4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989,782</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costs and expense</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Contract drilling services</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315,558</w:t>
            </w:r>
          </w:p>
        </w:tc>
        <w:tc>
          <w:tcPr>
            <w:tcW w:w="80" w:type="dxa"/>
            <w:vAlign w:val="bottom"/>
          </w:tcPr>
          <w:p>
            <w:pPr>
              <w:spacing w:after="0"/>
              <w:rPr>
                <w:sz w:val="14"/>
                <w:szCs w:val="14"/>
                <w:color w:val="auto"/>
              </w:rPr>
            </w:pPr>
          </w:p>
        </w:tc>
        <w:tc>
          <w:tcPr>
            <w:tcW w:w="7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391,634</w:t>
            </w:r>
          </w:p>
        </w:tc>
        <w:tc>
          <w:tcPr>
            <w:tcW w:w="80" w:type="dxa"/>
            <w:vAlign w:val="bottom"/>
          </w:tcPr>
          <w:p>
            <w:pPr>
              <w:spacing w:after="0"/>
              <w:rPr>
                <w:sz w:val="14"/>
                <w:szCs w:val="14"/>
                <w:color w:val="auto"/>
              </w:rPr>
            </w:pPr>
          </w:p>
        </w:tc>
        <w:tc>
          <w:tcPr>
            <w:tcW w:w="8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4,959</w:t>
            </w:r>
          </w:p>
        </w:tc>
        <w:tc>
          <w:tcPr>
            <w:tcW w:w="8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 (D)</w:t>
            </w:r>
          </w:p>
        </w:tc>
        <w:tc>
          <w:tcPr>
            <w:tcW w:w="80" w:type="dxa"/>
            <w:vAlign w:val="bottom"/>
          </w:tcPr>
          <w:p>
            <w:pPr>
              <w:spacing w:after="0"/>
              <w:rPr>
                <w:sz w:val="14"/>
                <w:szCs w:val="14"/>
                <w:color w:val="auto"/>
              </w:rPr>
            </w:pPr>
          </w:p>
        </w:tc>
        <w:tc>
          <w:tcPr>
            <w:tcW w:w="7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396,593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592</w:t>
            </w:r>
          </w:p>
        </w:tc>
        <w:tc>
          <w:tcPr>
            <w:tcW w:w="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(EE)</w:t>
            </w:r>
          </w:p>
        </w:tc>
        <w:tc>
          <w:tcPr>
            <w:tcW w:w="80" w:type="dxa"/>
            <w:vAlign w:val="bottom"/>
          </w:tcPr>
          <w:p>
            <w:pPr>
              <w:spacing w:after="0"/>
              <w:rPr>
                <w:sz w:val="14"/>
                <w:szCs w:val="14"/>
                <w:color w:val="auto"/>
              </w:rPr>
            </w:pPr>
          </w:p>
        </w:tc>
        <w:tc>
          <w:tcPr>
            <w:tcW w:w="74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712,743</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Reimbursables</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20,319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6,776</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6,776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27,095</w:t>
            </w: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40,334</w:t>
            </w:r>
          </w:p>
        </w:tc>
        <w:tc>
          <w:tcPr>
            <w:tcW w:w="80" w:type="dxa"/>
            <w:vAlign w:val="bottom"/>
          </w:tcPr>
          <w:p>
            <w:pPr>
              <w:spacing w:after="0"/>
              <w:rPr>
                <w:sz w:val="14"/>
                <w:szCs w:val="14"/>
                <w:color w:val="auto"/>
              </w:rPr>
            </w:pPr>
          </w:p>
        </w:tc>
        <w:tc>
          <w:tcPr>
            <w:tcW w:w="7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97,831</w:t>
            </w:r>
          </w:p>
        </w:tc>
        <w:tc>
          <w:tcPr>
            <w:tcW w:w="80" w:type="dxa"/>
            <w:vAlign w:val="bottom"/>
          </w:tcPr>
          <w:p>
            <w:pPr>
              <w:spacing w:after="0"/>
              <w:rPr>
                <w:sz w:val="14"/>
                <w:szCs w:val="14"/>
                <w:color w:val="auto"/>
              </w:rPr>
            </w:pPr>
          </w:p>
        </w:tc>
        <w:tc>
          <w:tcPr>
            <w:tcW w:w="8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105,500</w:t>
            </w:r>
          </w:p>
        </w:tc>
        <w:tc>
          <w:tcPr>
            <w:tcW w:w="8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 (E)</w:t>
            </w:r>
          </w:p>
        </w:tc>
        <w:tc>
          <w:tcPr>
            <w:tcW w:w="80" w:type="dxa"/>
            <w:vAlign w:val="bottom"/>
          </w:tcPr>
          <w:p>
            <w:pPr>
              <w:spacing w:after="0"/>
              <w:rPr>
                <w:sz w:val="14"/>
                <w:szCs w:val="14"/>
                <w:color w:val="auto"/>
              </w:rPr>
            </w:pPr>
          </w:p>
        </w:tc>
        <w:tc>
          <w:tcPr>
            <w:tcW w:w="7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203,331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(130,562)</w:t>
            </w:r>
          </w:p>
        </w:tc>
        <w:tc>
          <w:tcPr>
            <w:tcW w:w="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(AA)</w:t>
            </w:r>
          </w:p>
        </w:tc>
        <w:tc>
          <w:tcPr>
            <w:tcW w:w="80" w:type="dxa"/>
            <w:vAlign w:val="bottom"/>
          </w:tcPr>
          <w:p>
            <w:pPr>
              <w:spacing w:after="0"/>
              <w:rPr>
                <w:sz w:val="14"/>
                <w:szCs w:val="14"/>
                <w:color w:val="auto"/>
              </w:rPr>
            </w:pPr>
          </w:p>
        </w:tc>
        <w:tc>
          <w:tcPr>
            <w:tcW w:w="74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113,103</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34,211</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39,245</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1,364</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40,609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74,820</w:t>
            </w: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Merger and integration costs</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18,578</w:t>
            </w:r>
          </w:p>
        </w:tc>
        <w:tc>
          <w:tcPr>
            <w:tcW w:w="80" w:type="dxa"/>
            <w:vAlign w:val="bottom"/>
          </w:tcPr>
          <w:p>
            <w:pPr>
              <w:spacing w:after="0"/>
              <w:rPr>
                <w:sz w:val="14"/>
                <w:szCs w:val="14"/>
                <w:color w:val="auto"/>
              </w:rPr>
            </w:pPr>
          </w:p>
        </w:tc>
        <w:tc>
          <w:tcPr>
            <w:tcW w:w="7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8,619</w:t>
            </w:r>
          </w:p>
        </w:tc>
        <w:tc>
          <w:tcPr>
            <w:tcW w:w="8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w:t>
            </w:r>
          </w:p>
        </w:tc>
        <w:tc>
          <w:tcPr>
            <w:tcW w:w="80" w:type="dxa"/>
            <w:vAlign w:val="bottom"/>
          </w:tcPr>
          <w:p>
            <w:pPr>
              <w:spacing w:after="0"/>
              <w:rPr>
                <w:sz w:val="14"/>
                <w:szCs w:val="14"/>
                <w:color w:val="auto"/>
              </w:rPr>
            </w:pPr>
          </w:p>
        </w:tc>
        <w:tc>
          <w:tcPr>
            <w:tcW w:w="7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8,619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27,197</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Gain on sale of operating assets, net</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(3,459)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(3,543)</w:t>
            </w: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Hurricane losses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2,805</w:t>
            </w:r>
          </w:p>
        </w:tc>
        <w:tc>
          <w:tcPr>
            <w:tcW w:w="80" w:type="dxa"/>
            <w:vAlign w:val="bottom"/>
          </w:tcPr>
          <w:p>
            <w:pPr>
              <w:spacing w:after="0"/>
              <w:rPr>
                <w:sz w:val="12"/>
                <w:szCs w:val="12"/>
                <w:color w:val="auto"/>
              </w:rPr>
            </w:pPr>
          </w:p>
        </w:tc>
        <w:tc>
          <w:tcPr>
            <w:tcW w:w="72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2,805</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items</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11,150</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impairment</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117,956</w:t>
            </w:r>
          </w:p>
        </w:tc>
        <w:tc>
          <w:tcPr>
            <w:tcW w:w="80" w:type="dxa"/>
            <w:vAlign w:val="bottom"/>
          </w:tcPr>
          <w:p>
            <w:pPr>
              <w:spacing w:after="0"/>
              <w:rPr>
                <w:sz w:val="14"/>
                <w:szCs w:val="14"/>
                <w:color w:val="auto"/>
              </w:rPr>
            </w:pPr>
          </w:p>
        </w:tc>
        <w:tc>
          <w:tcPr>
            <w:tcW w:w="8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74,639</w:t>
            </w:r>
          </w:p>
        </w:tc>
        <w:tc>
          <w:tcPr>
            <w:tcW w:w="8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w:t>
            </w:r>
          </w:p>
        </w:tc>
        <w:tc>
          <w:tcPr>
            <w:tcW w:w="80" w:type="dxa"/>
            <w:vAlign w:val="bottom"/>
          </w:tcPr>
          <w:p>
            <w:pPr>
              <w:spacing w:after="0"/>
              <w:rPr>
                <w:sz w:val="14"/>
                <w:szCs w:val="14"/>
                <w:color w:val="auto"/>
              </w:rPr>
            </w:pPr>
          </w:p>
        </w:tc>
        <w:tc>
          <w:tcPr>
            <w:tcW w:w="7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192,595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192,595</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428,346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664,508</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183,931</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848,439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(129,970)</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1,146,815</w:t>
            </w: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3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Operating income (loss)</w:t>
            </w:r>
          </w:p>
        </w:tc>
        <w:tc>
          <w:tcPr>
            <w:tcW w:w="7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28,958</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1"/>
              </w:rPr>
              <w:t>(132,030)</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(183,931)</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(315,961)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ind w:left="140"/>
              <w:spacing w:after="0" w:line="155" w:lineRule="exact"/>
              <w:rPr>
                <w:sz w:val="20"/>
                <w:szCs w:val="20"/>
                <w:color w:val="auto"/>
              </w:rPr>
            </w:pPr>
            <w:r>
              <w:rPr>
                <w:rFonts w:ascii="Times New Roman" w:cs="Times New Roman" w:eastAsia="Times New Roman" w:hAnsi="Times New Roman"/>
                <w:sz w:val="14"/>
                <w:szCs w:val="14"/>
                <w:color w:val="auto"/>
                <w:w w:val="96"/>
              </w:rPr>
              <w:t>129,970</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(157,033)</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income (expense)</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net of amounts capitalized</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(15,395)</w:t>
            </w:r>
          </w:p>
        </w:tc>
        <w:tc>
          <w:tcPr>
            <w:tcW w:w="80" w:type="dxa"/>
            <w:vAlign w:val="bottom"/>
          </w:tcPr>
          <w:p>
            <w:pPr>
              <w:spacing w:after="0"/>
              <w:rPr>
                <w:sz w:val="14"/>
                <w:szCs w:val="14"/>
                <w:color w:val="auto"/>
              </w:rPr>
            </w:pPr>
          </w:p>
        </w:tc>
        <w:tc>
          <w:tcPr>
            <w:tcW w:w="7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(18,081)</w:t>
            </w:r>
          </w:p>
        </w:tc>
        <w:tc>
          <w:tcPr>
            <w:tcW w:w="80" w:type="dxa"/>
            <w:vAlign w:val="bottom"/>
          </w:tcPr>
          <w:p>
            <w:pPr>
              <w:spacing w:after="0"/>
              <w:rPr>
                <w:sz w:val="14"/>
                <w:szCs w:val="14"/>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422</w:t>
            </w:r>
          </w:p>
        </w:tc>
        <w:tc>
          <w:tcPr>
            <w:tcW w:w="8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w:t>
            </w:r>
          </w:p>
        </w:tc>
        <w:tc>
          <w:tcPr>
            <w:tcW w:w="80" w:type="dxa"/>
            <w:vAlign w:val="bottom"/>
          </w:tcPr>
          <w:p>
            <w:pPr>
              <w:spacing w:after="0"/>
              <w:rPr>
                <w:sz w:val="14"/>
                <w:szCs w:val="14"/>
                <w:color w:val="auto"/>
              </w:rPr>
            </w:pPr>
          </w:p>
        </w:tc>
        <w:tc>
          <w:tcPr>
            <w:tcW w:w="7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(17,659)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2,865</w:t>
            </w:r>
          </w:p>
        </w:tc>
        <w:tc>
          <w:tcPr>
            <w:tcW w:w="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(DD)</w:t>
            </w:r>
          </w:p>
        </w:tc>
        <w:tc>
          <w:tcPr>
            <w:tcW w:w="80" w:type="dxa"/>
            <w:vAlign w:val="bottom"/>
          </w:tcPr>
          <w:p>
            <w:pPr>
              <w:spacing w:after="0"/>
              <w:rPr>
                <w:sz w:val="14"/>
                <w:szCs w:val="14"/>
                <w:color w:val="auto"/>
              </w:rPr>
            </w:pPr>
          </w:p>
        </w:tc>
        <w:tc>
          <w:tcPr>
            <w:tcW w:w="7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(30,189)</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income and other, net</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1,531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(10,556)</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(10,556)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(9,025)</w:t>
            </w: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Gain on extinguishment of debt, net</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Gain on bargain purchase</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3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7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15,094</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1"/>
              </w:rPr>
              <w:t>(160,667)</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(183,509)</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(344,176)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ind w:left="140"/>
              <w:spacing w:after="0" w:line="155" w:lineRule="exact"/>
              <w:rPr>
                <w:sz w:val="20"/>
                <w:szCs w:val="20"/>
                <w:color w:val="auto"/>
              </w:rPr>
            </w:pPr>
            <w:r>
              <w:rPr>
                <w:rFonts w:ascii="Times New Roman" w:cs="Times New Roman" w:eastAsia="Times New Roman" w:hAnsi="Times New Roman"/>
                <w:sz w:val="14"/>
                <w:szCs w:val="14"/>
                <w:color w:val="auto"/>
                <w:w w:val="96"/>
              </w:rPr>
              <w:t>132,835</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(196,247)</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 benefit (provision)</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949</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(11,772)</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4,406</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(7,366)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5,714</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(EE)</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(703)</w:t>
            </w: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income (loss)</w:t>
            </w:r>
          </w:p>
        </w:tc>
        <w:tc>
          <w:tcPr>
            <w:tcW w:w="7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16,043</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(172,439</w:t>
            </w:r>
          </w:p>
        </w:tc>
        <w:tc>
          <w:tcPr>
            <w:tcW w:w="20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(179,103</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(351,542</w:t>
            </w:r>
          </w:p>
        </w:tc>
        <w:tc>
          <w:tcPr>
            <w:tcW w:w="14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ind w:left="140"/>
              <w:spacing w:after="0" w:line="155" w:lineRule="exact"/>
              <w:rPr>
                <w:sz w:val="20"/>
                <w:szCs w:val="20"/>
                <w:color w:val="auto"/>
              </w:rPr>
            </w:pPr>
            <w:r>
              <w:rPr>
                <w:rFonts w:ascii="Times New Roman" w:cs="Times New Roman" w:eastAsia="Times New Roman" w:hAnsi="Times New Roman"/>
                <w:sz w:val="14"/>
                <w:szCs w:val="14"/>
                <w:color w:val="auto"/>
                <w:w w:val="96"/>
              </w:rPr>
              <w:t>138,549</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(196,950</w:t>
            </w:r>
          </w:p>
        </w:tc>
        <w:tc>
          <w:tcPr>
            <w:tcW w:w="14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6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Basic net income (loss) per share</w:t>
            </w:r>
          </w:p>
        </w:tc>
        <w:tc>
          <w:tcPr>
            <w:tcW w:w="780" w:type="dxa"/>
            <w:vAlign w:val="bottom"/>
            <w:gridSpan w:val="2"/>
            <w:shd w:val="clear" w:color="auto" w:fill="CCEEFF"/>
          </w:tcPr>
          <w:p>
            <w:pPr>
              <w:ind w:left="700"/>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200"/>
              <w:spacing w:after="0" w:line="143" w:lineRule="exact"/>
              <w:rPr>
                <w:sz w:val="20"/>
                <w:szCs w:val="20"/>
                <w:color w:val="auto"/>
              </w:rPr>
            </w:pPr>
            <w:r>
              <w:rPr>
                <w:rFonts w:ascii="Times New Roman" w:cs="Times New Roman" w:eastAsia="Times New Roman" w:hAnsi="Times New Roman"/>
                <w:sz w:val="14"/>
                <w:szCs w:val="14"/>
                <w:color w:val="auto"/>
              </w:rPr>
              <w:t>0.23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68"/>
              <w:spacing w:after="0" w:line="143" w:lineRule="exact"/>
              <w:rPr>
                <w:sz w:val="20"/>
                <w:szCs w:val="20"/>
                <w:color w:val="auto"/>
              </w:rPr>
            </w:pPr>
            <w:r>
              <w:rPr>
                <w:rFonts w:ascii="Times New Roman" w:cs="Times New Roman" w:eastAsia="Times New Roman" w:hAnsi="Times New Roman"/>
                <w:sz w:val="14"/>
                <w:szCs w:val="14"/>
                <w:color w:val="auto"/>
              </w:rPr>
              <w:t>(4.17)</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3"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8"/>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00"/>
              <w:spacing w:after="0" w:line="143"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59"/>
              <w:spacing w:after="0" w:line="143" w:lineRule="exact"/>
              <w:rPr>
                <w:sz w:val="20"/>
                <w:szCs w:val="20"/>
                <w:color w:val="auto"/>
              </w:rPr>
            </w:pPr>
            <w:r>
              <w:rPr>
                <w:rFonts w:ascii="Times New Roman" w:cs="Times New Roman" w:eastAsia="Times New Roman" w:hAnsi="Times New Roman"/>
                <w:sz w:val="14"/>
                <w:szCs w:val="14"/>
                <w:color w:val="auto"/>
              </w:rPr>
              <w:t>(1.53)</w:t>
            </w:r>
          </w:p>
        </w:tc>
        <w:tc>
          <w:tcPr>
            <w:tcW w:w="440" w:type="dxa"/>
            <w:vAlign w:val="bottom"/>
            <w:shd w:val="clear" w:color="auto" w:fill="CCEEFF"/>
          </w:tcPr>
          <w:p>
            <w:pPr>
              <w:ind w:left="100"/>
              <w:spacing w:after="0" w:line="143" w:lineRule="exact"/>
              <w:rPr>
                <w:sz w:val="20"/>
                <w:szCs w:val="20"/>
                <w:color w:val="auto"/>
              </w:rPr>
            </w:pPr>
            <w:r>
              <w:rPr>
                <w:rFonts w:ascii="Times New Roman" w:cs="Times New Roman" w:eastAsia="Times New Roman" w:hAnsi="Times New Roman"/>
                <w:sz w:val="14"/>
                <w:szCs w:val="14"/>
                <w:color w:val="auto"/>
              </w:rPr>
              <w:t>(CC)</w:t>
            </w:r>
          </w:p>
        </w:tc>
        <w:tc>
          <w:tcPr>
            <w:tcW w:w="0" w:type="dxa"/>
            <w:vAlign w:val="bottom"/>
          </w:tcPr>
          <w:p>
            <w:pPr>
              <w:spacing w:after="0"/>
              <w:rPr>
                <w:sz w:val="1"/>
                <w:szCs w:val="1"/>
                <w:color w:val="auto"/>
              </w:rPr>
            </w:pPr>
          </w:p>
        </w:tc>
      </w:tr>
      <w:tr>
        <w:trPr>
          <w:trHeight w:val="149"/>
        </w:trPr>
        <w:tc>
          <w:tcPr>
            <w:tcW w:w="3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Diluted net income (loss) per share</w:t>
            </w:r>
          </w:p>
        </w:tc>
        <w:tc>
          <w:tcPr>
            <w:tcW w:w="780" w:type="dxa"/>
            <w:vAlign w:val="bottom"/>
            <w:gridSpan w:val="2"/>
          </w:tcPr>
          <w:p>
            <w:pPr>
              <w:ind w:left="7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0.21</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(4.17)</w:t>
            </w:r>
          </w:p>
        </w:tc>
        <w:tc>
          <w:tcPr>
            <w:tcW w:w="8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4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(CC)</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Weighted average shares outstanding</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68,722</w:t>
            </w:r>
          </w:p>
        </w:tc>
        <w:tc>
          <w:tcPr>
            <w:tcW w:w="80" w:type="dxa"/>
            <w:vAlign w:val="bottom"/>
          </w:tcPr>
          <w:p>
            <w:pPr>
              <w:spacing w:after="0"/>
              <w:rPr>
                <w:sz w:val="12"/>
                <w:szCs w:val="12"/>
                <w:color w:val="auto"/>
              </w:rPr>
            </w:pPr>
          </w:p>
        </w:tc>
        <w:tc>
          <w:tcPr>
            <w:tcW w:w="72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41,341</w:t>
            </w:r>
          </w:p>
        </w:tc>
        <w:tc>
          <w:tcPr>
            <w:tcW w:w="8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128,886</w:t>
            </w:r>
          </w:p>
        </w:tc>
        <w:tc>
          <w:tcPr>
            <w:tcW w:w="4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(CC)</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77,059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41,341</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128,886</w:t>
            </w:r>
          </w:p>
        </w:tc>
        <w:tc>
          <w:tcPr>
            <w:tcW w:w="4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(CC)</w:t>
            </w: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Twelve Months Ended December 31, 2021</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Maersk Drilling Historical</w:t>
            </w: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Business</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Maersk</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Maersk</w:t>
            </w:r>
          </w:p>
        </w:tc>
        <w:tc>
          <w:tcPr>
            <w:tcW w:w="140" w:type="dxa"/>
            <w:vAlign w:val="bottom"/>
          </w:tcPr>
          <w:p>
            <w:pPr>
              <w:spacing w:after="0"/>
              <w:rPr>
                <w:sz w:val="11"/>
                <w:szCs w:val="11"/>
                <w:color w:val="auto"/>
              </w:rPr>
            </w:pPr>
          </w:p>
        </w:tc>
        <w:tc>
          <w:tcPr>
            <w:tcW w:w="6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Drilling</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Maersk</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Maersk</w:t>
            </w:r>
          </w:p>
        </w:tc>
        <w:tc>
          <w:tcPr>
            <w:tcW w:w="140" w:type="dxa"/>
            <w:vAlign w:val="bottom"/>
          </w:tcPr>
          <w:p>
            <w:pPr>
              <w:spacing w:after="0"/>
              <w:rPr>
                <w:sz w:val="11"/>
                <w:szCs w:val="11"/>
                <w:color w:val="auto"/>
              </w:rPr>
            </w:pPr>
          </w:p>
        </w:tc>
        <w:tc>
          <w:tcPr>
            <w:tcW w:w="8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Combination</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Noble</w:t>
            </w:r>
          </w:p>
        </w:tc>
        <w:tc>
          <w:tcPr>
            <w:tcW w:w="8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Drilling</w:t>
            </w:r>
          </w:p>
        </w:tc>
        <w:tc>
          <w:tcPr>
            <w:tcW w:w="140" w:type="dxa"/>
            <w:vAlign w:val="bottom"/>
          </w:tcPr>
          <w:p>
            <w:pPr>
              <w:spacing w:after="0"/>
              <w:rPr>
                <w:sz w:val="11"/>
                <w:szCs w:val="11"/>
                <w:color w:val="auto"/>
              </w:rPr>
            </w:pPr>
          </w:p>
        </w:tc>
        <w:tc>
          <w:tcPr>
            <w:tcW w:w="6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Rig</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Drilling</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Drilling</w:t>
            </w:r>
          </w:p>
        </w:tc>
        <w:tc>
          <w:tcPr>
            <w:tcW w:w="140" w:type="dxa"/>
            <w:vAlign w:val="bottom"/>
          </w:tcPr>
          <w:p>
            <w:pPr>
              <w:spacing w:after="0"/>
              <w:rPr>
                <w:sz w:val="11"/>
                <w:szCs w:val="11"/>
                <w:color w:val="auto"/>
              </w:rPr>
            </w:pPr>
          </w:p>
        </w:tc>
        <w:tc>
          <w:tcPr>
            <w:tcW w:w="8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Transaction</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Pro</w:t>
            </w:r>
          </w:p>
        </w:tc>
        <w:tc>
          <w:tcPr>
            <w:tcW w:w="8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Historical</w:t>
            </w:r>
          </w:p>
        </w:tc>
        <w:tc>
          <w:tcPr>
            <w:tcW w:w="140" w:type="dxa"/>
            <w:vAlign w:val="bottom"/>
          </w:tcPr>
          <w:p>
            <w:pPr>
              <w:spacing w:after="0"/>
              <w:rPr>
                <w:sz w:val="11"/>
                <w:szCs w:val="11"/>
                <w:color w:val="auto"/>
              </w:rPr>
            </w:pPr>
          </w:p>
        </w:tc>
        <w:tc>
          <w:tcPr>
            <w:tcW w:w="6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3"/>
              </w:rPr>
              <w:t>Disposal</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IFRS-to-GAAP</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Historical</w:t>
            </w:r>
          </w:p>
        </w:tc>
        <w:tc>
          <w:tcPr>
            <w:tcW w:w="140" w:type="dxa"/>
            <w:vAlign w:val="bottom"/>
          </w:tcPr>
          <w:p>
            <w:pPr>
              <w:spacing w:after="0"/>
              <w:rPr>
                <w:sz w:val="11"/>
                <w:szCs w:val="11"/>
                <w:color w:val="auto"/>
              </w:rPr>
            </w:pPr>
          </w:p>
        </w:tc>
        <w:tc>
          <w:tcPr>
            <w:tcW w:w="8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Topco</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Forma</w:t>
            </w:r>
          </w:p>
        </w:tc>
        <w:tc>
          <w:tcPr>
            <w:tcW w:w="8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(IFRS)</w:t>
            </w:r>
          </w:p>
        </w:tc>
        <w:tc>
          <w:tcPr>
            <w:tcW w:w="140" w:type="dxa"/>
            <w:vAlign w:val="bottom"/>
          </w:tcPr>
          <w:p>
            <w:pPr>
              <w:spacing w:after="0"/>
              <w:rPr>
                <w:sz w:val="11"/>
                <w:szCs w:val="11"/>
                <w:color w:val="auto"/>
              </w:rPr>
            </w:pPr>
          </w:p>
        </w:tc>
        <w:tc>
          <w:tcPr>
            <w:tcW w:w="6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(IFRS)</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Adjustments</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Adjusted</w:t>
            </w:r>
          </w:p>
        </w:tc>
        <w:tc>
          <w:tcPr>
            <w:tcW w:w="14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3"/>
              </w:rPr>
              <w:t>Adjustments</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Pro Forma</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(Note 7)</w:t>
            </w:r>
          </w:p>
        </w:tc>
        <w:tc>
          <w:tcPr>
            <w:tcW w:w="8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(Note 4)</w:t>
            </w:r>
          </w:p>
        </w:tc>
        <w:tc>
          <w:tcPr>
            <w:tcW w:w="140" w:type="dxa"/>
            <w:vAlign w:val="bottom"/>
          </w:tcPr>
          <w:p>
            <w:pPr>
              <w:spacing w:after="0"/>
              <w:rPr>
                <w:sz w:val="13"/>
                <w:szCs w:val="13"/>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(Note 5)</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(Note 6)</w:t>
            </w:r>
          </w:p>
        </w:tc>
        <w:tc>
          <w:tcPr>
            <w:tcW w:w="840" w:type="dxa"/>
            <w:vAlign w:val="bottom"/>
          </w:tcPr>
          <w:p>
            <w:pPr>
              <w:spacing w:after="0"/>
              <w:rPr>
                <w:sz w:val="13"/>
                <w:szCs w:val="13"/>
                <w:color w:val="auto"/>
              </w:rPr>
            </w:pP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(U.S. GAAP)</w:t>
            </w:r>
          </w:p>
        </w:tc>
        <w:tc>
          <w:tcPr>
            <w:tcW w:w="14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(Note 3)</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6"/>
              </w:rPr>
              <w:t>Combined</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1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Operating revenues</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Contract drilling services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674,950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1,232,397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(45,869)</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1,186,528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1,861,478</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Reimbursables and other</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62,220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34,739</w:t>
            </w:r>
          </w:p>
        </w:tc>
        <w:tc>
          <w:tcPr>
            <w:tcW w:w="14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34,739</w:t>
            </w:r>
          </w:p>
        </w:tc>
        <w:tc>
          <w:tcPr>
            <w:tcW w:w="1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96,959</w:t>
            </w: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737,170</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1,267,136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6"/>
              </w:rPr>
              <w:t>(45,869)</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9"/>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1,221,267</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top w:val="single" w:sz="8" w:color="auto"/>
            </w:tcBorders>
          </w:tcPr>
          <w:p>
            <w:pPr>
              <w:jc w:val="right"/>
              <w:ind w:right="1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1,958,437</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costs and expense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Contract drilling services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562,565</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807,261</w:t>
            </w:r>
          </w:p>
        </w:tc>
        <w:tc>
          <w:tcPr>
            <w:tcW w:w="14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(29,790)</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17,999</w:t>
            </w:r>
          </w:p>
        </w:tc>
        <w:tc>
          <w:tcPr>
            <w:tcW w:w="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 (D)</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795,470</w:t>
            </w:r>
          </w:p>
        </w:tc>
        <w:tc>
          <w:tcPr>
            <w:tcW w:w="1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2,640</w:t>
            </w:r>
          </w:p>
        </w:tc>
        <w:tc>
          <w:tcPr>
            <w:tcW w:w="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1,360,675</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Reimbursables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55,565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17,704</w:t>
            </w:r>
          </w:p>
        </w:tc>
        <w:tc>
          <w:tcPr>
            <w:tcW w:w="14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17,704</w:t>
            </w:r>
          </w:p>
        </w:tc>
        <w:tc>
          <w:tcPr>
            <w:tcW w:w="1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73,269</w:t>
            </w: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74,975</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213,202</w:t>
            </w:r>
          </w:p>
        </w:tc>
        <w:tc>
          <w:tcPr>
            <w:tcW w:w="14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(7,967)</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227,491</w:t>
            </w:r>
          </w:p>
        </w:tc>
        <w:tc>
          <w:tcPr>
            <w:tcW w:w="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 (E)</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432,726</w:t>
            </w:r>
          </w:p>
        </w:tc>
        <w:tc>
          <w:tcPr>
            <w:tcW w:w="14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(287,648)</w:t>
            </w:r>
          </w:p>
        </w:tc>
        <w:tc>
          <w:tcPr>
            <w:tcW w:w="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(AA)</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220,053</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94,447</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86,604</w:t>
            </w:r>
          </w:p>
        </w:tc>
        <w:tc>
          <w:tcPr>
            <w:tcW w:w="140" w:type="dxa"/>
            <w:vAlign w:val="bottom"/>
            <w:tcBorders>
              <w:right w:val="single" w:sz="8" w:color="CCEEFF"/>
            </w:tcBorders>
            <w:shd w:val="clear" w:color="auto" w:fill="CCEEFF"/>
          </w:tcPr>
          <w:p>
            <w:pPr>
              <w:spacing w:after="0"/>
              <w:rPr>
                <w:sz w:val="14"/>
                <w:szCs w:val="14"/>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2,794</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89,398</w:t>
            </w:r>
          </w:p>
        </w:tc>
        <w:tc>
          <w:tcPr>
            <w:tcW w:w="14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183,845</w:t>
            </w: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Merger and integration costs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24,792</w:t>
            </w:r>
          </w:p>
        </w:tc>
        <w:tc>
          <w:tcPr>
            <w:tcW w:w="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7,592</w:t>
            </w:r>
          </w:p>
        </w:tc>
        <w:tc>
          <w:tcPr>
            <w:tcW w:w="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7,592</w:t>
            </w:r>
          </w:p>
        </w:tc>
        <w:tc>
          <w:tcPr>
            <w:tcW w:w="1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33,633</w:t>
            </w:r>
          </w:p>
        </w:tc>
        <w:tc>
          <w:tcPr>
            <w:tcW w:w="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(BB)</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66,017</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Gain on sale of operating assets,</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(259,433)</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(256,292)</w:t>
            </w:r>
          </w:p>
        </w:tc>
        <w:tc>
          <w:tcPr>
            <w:tcW w:w="140" w:type="dxa"/>
            <w:vAlign w:val="bottom"/>
            <w:tcBorders>
              <w:right w:val="single" w:sz="8" w:color="CCEEFF"/>
            </w:tcBorders>
            <w:shd w:val="clear" w:color="auto" w:fill="CCEEFF"/>
          </w:tcPr>
          <w:p>
            <w:pPr>
              <w:spacing w:after="0"/>
              <w:rPr>
                <w:sz w:val="10"/>
                <w:szCs w:val="10"/>
                <w:color w:val="auto"/>
              </w:rPr>
            </w:pPr>
          </w:p>
        </w:tc>
        <w:tc>
          <w:tcPr>
            <w:tcW w:w="62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(256,292)</w:t>
            </w:r>
          </w:p>
        </w:tc>
        <w:tc>
          <w:tcPr>
            <w:tcW w:w="140" w:type="dxa"/>
            <w:vAlign w:val="bottom"/>
            <w:tcBorders>
              <w:right w:val="single" w:sz="8" w:color="CCEEFF"/>
            </w:tcBorders>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(515,725)</w:t>
            </w: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Hurricane losses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23,350</w:t>
            </w: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23,350</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items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20,533</w:t>
            </w:r>
          </w:p>
        </w:tc>
        <w:tc>
          <w:tcPr>
            <w:tcW w:w="140" w:type="dxa"/>
            <w:vAlign w:val="bottom"/>
            <w:tcBorders>
              <w:right w:val="single" w:sz="8" w:color="CCEEFF"/>
            </w:tcBorders>
            <w:shd w:val="clear" w:color="auto" w:fill="CCEEFF"/>
          </w:tcPr>
          <w:p>
            <w:pPr>
              <w:spacing w:after="0"/>
              <w:rPr>
                <w:sz w:val="14"/>
                <w:szCs w:val="14"/>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194</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(20,727)</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576,261</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889,012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6"/>
              </w:rPr>
              <w:t>(37,563)</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235,149</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1,086,598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(251,375)</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1,411,484</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income (loss)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160,909</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378,124</w:t>
            </w:r>
          </w:p>
        </w:tc>
        <w:tc>
          <w:tcPr>
            <w:tcW w:w="14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(8,306)</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(235,149)</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134,669</w:t>
            </w:r>
          </w:p>
        </w:tc>
        <w:tc>
          <w:tcPr>
            <w:tcW w:w="1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251,375</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546,953</w:t>
            </w: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income (expense)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0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Interest expense, net of amounts</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(24,799)</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(49,664)</w:t>
            </w:r>
          </w:p>
        </w:tc>
        <w:tc>
          <w:tcPr>
            <w:tcW w:w="140" w:type="dxa"/>
            <w:vAlign w:val="bottom"/>
            <w:tcBorders>
              <w:right w:val="single" w:sz="8" w:color="CCEEFF"/>
            </w:tcBorders>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1,198</w:t>
            </w:r>
          </w:p>
        </w:tc>
        <w:tc>
          <w:tcPr>
            <w:tcW w:w="6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 (B)</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1,072</w:t>
            </w:r>
          </w:p>
        </w:tc>
        <w:tc>
          <w:tcPr>
            <w:tcW w:w="8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(47,394)</w:t>
            </w:r>
          </w:p>
        </w:tc>
        <w:tc>
          <w:tcPr>
            <w:tcW w:w="140" w:type="dxa"/>
            <w:vAlign w:val="bottom"/>
            <w:tcBorders>
              <w:right w:val="single" w:sz="8" w:color="CCEEFF"/>
            </w:tcBorders>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5,769</w:t>
            </w:r>
          </w:p>
        </w:tc>
        <w:tc>
          <w:tcPr>
            <w:tcW w:w="4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(DD)</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(66,424)</w:t>
            </w: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capitalized</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income and other, net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11,319</w:t>
            </w: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(11,239)</w:t>
            </w:r>
          </w:p>
        </w:tc>
        <w:tc>
          <w:tcPr>
            <w:tcW w:w="140" w:type="dxa"/>
            <w:vAlign w:val="bottom"/>
          </w:tcPr>
          <w:p>
            <w:pPr>
              <w:spacing w:after="0"/>
              <w:rPr>
                <w:sz w:val="12"/>
                <w:szCs w:val="12"/>
                <w:color w:val="auto"/>
              </w:rPr>
            </w:pPr>
          </w:p>
        </w:tc>
        <w:tc>
          <w:tcPr>
            <w:tcW w:w="6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(11,239)</w:t>
            </w: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0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Gain on extinguishment of debt,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(2,664)</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62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(2,664)</w:t>
            </w: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Gain on bargain purchase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62,305</w:t>
            </w: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62,305</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207,070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317,221</w:t>
            </w:r>
          </w:p>
        </w:tc>
        <w:tc>
          <w:tcPr>
            <w:tcW w:w="14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(7,108)</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(234,077)</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76,036</w:t>
            </w:r>
          </w:p>
        </w:tc>
        <w:tc>
          <w:tcPr>
            <w:tcW w:w="1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257,144</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540,250</w:t>
            </w: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 benefit (provision)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(5,014)</w:t>
            </w: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(26,248)</w:t>
            </w:r>
          </w:p>
        </w:tc>
        <w:tc>
          <w:tcPr>
            <w:tcW w:w="14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2,066</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10,442</w:t>
            </w:r>
          </w:p>
        </w:tc>
        <w:tc>
          <w:tcPr>
            <w:tcW w:w="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w:t>
            </w: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(13,740)</w:t>
            </w:r>
          </w:p>
        </w:tc>
        <w:tc>
          <w:tcPr>
            <w:tcW w:w="14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(16,686)</w:t>
            </w:r>
          </w:p>
        </w:tc>
        <w:tc>
          <w:tcPr>
            <w:tcW w:w="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(35,440)</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 (loss)</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202,056</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290,973</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(5,042)</w:t>
            </w:r>
          </w:p>
        </w:tc>
        <w:tc>
          <w:tcPr>
            <w:tcW w:w="6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(223,635)</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62,296</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240,458</w:t>
            </w:r>
          </w:p>
        </w:tc>
        <w:tc>
          <w:tcPr>
            <w:tcW w:w="4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504,810</w:t>
            </w: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Basic net income (loss) per share</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(CC)</w:t>
            </w:r>
          </w:p>
        </w:tc>
        <w:tc>
          <w:tcPr>
            <w:tcW w:w="0" w:type="dxa"/>
            <w:vAlign w:val="bottom"/>
          </w:tcPr>
          <w:p>
            <w:pPr>
              <w:spacing w:after="0" w:line="20" w:lineRule="exact"/>
              <w:rPr>
                <w:sz w:val="1"/>
                <w:szCs w:val="1"/>
                <w:color w:val="auto"/>
              </w:rPr>
            </w:pPr>
          </w:p>
        </w:tc>
      </w:tr>
      <w:tr>
        <w:trPr>
          <w:trHeight w:val="143"/>
        </w:trPr>
        <w:tc>
          <w:tcPr>
            <w:tcW w:w="2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3.03</w:t>
            </w:r>
          </w:p>
        </w:tc>
        <w:tc>
          <w:tcPr>
            <w:tcW w:w="20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7.05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ind w:left="26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1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3.98</w:t>
            </w:r>
          </w:p>
        </w:tc>
        <w:tc>
          <w:tcPr>
            <w:tcW w:w="1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Diluted net income (loss) per share</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14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4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(CC)</w:t>
            </w:r>
          </w:p>
        </w:tc>
        <w:tc>
          <w:tcPr>
            <w:tcW w:w="0" w:type="dxa"/>
            <w:vAlign w:val="bottom"/>
          </w:tcPr>
          <w:p>
            <w:pPr>
              <w:spacing w:after="0"/>
              <w:rPr>
                <w:sz w:val="1"/>
                <w:szCs w:val="1"/>
                <w:color w:val="auto"/>
              </w:rPr>
            </w:pPr>
          </w:p>
        </w:tc>
      </w:tr>
      <w:tr>
        <w:trPr>
          <w:trHeight w:val="126"/>
        </w:trPr>
        <w:tc>
          <w:tcPr>
            <w:tcW w:w="2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Weighted average shares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outstanding</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66,615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41,290</w:t>
            </w:r>
          </w:p>
        </w:tc>
        <w:tc>
          <w:tcPr>
            <w:tcW w:w="14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126,779</w:t>
            </w:r>
          </w:p>
        </w:tc>
        <w:tc>
          <w:tcPr>
            <w:tcW w:w="4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(CC)</w:t>
            </w:r>
          </w:p>
        </w:tc>
        <w:tc>
          <w:tcPr>
            <w:tcW w:w="0" w:type="dxa"/>
            <w:vAlign w:val="bottom"/>
          </w:tcPr>
          <w:p>
            <w:pPr>
              <w:spacing w:after="0"/>
              <w:rPr>
                <w:sz w:val="1"/>
                <w:szCs w:val="1"/>
                <w:color w:val="auto"/>
              </w:rPr>
            </w:pPr>
          </w:p>
        </w:tc>
      </w:tr>
      <w:tr>
        <w:trPr>
          <w:trHeight w:val="188"/>
        </w:trPr>
        <w:tc>
          <w:tcPr>
            <w:tcW w:w="2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71,058</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41,583</w:t>
            </w:r>
          </w:p>
        </w:tc>
        <w:tc>
          <w:tcPr>
            <w:tcW w:w="140" w:type="dxa"/>
            <w:vAlign w:val="bottom"/>
          </w:tcPr>
          <w:p>
            <w:pPr>
              <w:spacing w:after="0"/>
              <w:rPr>
                <w:sz w:val="16"/>
                <w:szCs w:val="16"/>
                <w:color w:val="auto"/>
              </w:rPr>
            </w:pP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131,700</w:t>
            </w:r>
          </w:p>
        </w:tc>
        <w:tc>
          <w:tcPr>
            <w:tcW w:w="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(CC)</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b w:val="1"/>
          <w:bCs w:val="1"/>
          <w:color w:val="auto"/>
        </w:rPr>
        <w:t>Assets</w:t>
      </w:r>
    </w:p>
    <w:p>
      <w:pPr>
        <w:ind w:left="120"/>
        <w:spacing w:after="0"/>
        <w:rPr>
          <w:sz w:val="20"/>
          <w:szCs w:val="20"/>
          <w:color w:val="auto"/>
        </w:rPr>
      </w:pPr>
      <w:r>
        <w:rPr>
          <w:rFonts w:ascii="Times New Roman" w:cs="Times New Roman" w:eastAsia="Times New Roman" w:hAnsi="Times New Roman"/>
          <w:sz w:val="15"/>
          <w:szCs w:val="15"/>
          <w:color w:val="auto"/>
        </w:rPr>
        <w:t>Current assets:</w:t>
      </w:r>
    </w:p>
    <w:p>
      <w:pPr>
        <w:ind w:left="420"/>
        <w:spacing w:after="0"/>
        <w:rPr>
          <w:sz w:val="20"/>
          <w:szCs w:val="20"/>
          <w:color w:val="auto"/>
        </w:rPr>
      </w:pPr>
      <w:r>
        <w:rPr>
          <w:rFonts w:ascii="Times New Roman" w:cs="Times New Roman" w:eastAsia="Times New Roman" w:hAnsi="Times New Roman"/>
          <w:sz w:val="15"/>
          <w:szCs w:val="15"/>
          <w:color w:val="auto"/>
        </w:rPr>
        <w:t>Cash and cash equivalents</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Accounts receivable, net</w:t>
      </w:r>
    </w:p>
    <w:p>
      <w:pPr>
        <w:spacing w:after="0" w:line="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Taxes receivable</w:t>
      </w:r>
    </w:p>
    <w:p>
      <w:pPr>
        <w:spacing w:after="0" w:line="30" w:lineRule="exact"/>
        <w:rPr>
          <w:sz w:val="20"/>
          <w:szCs w:val="20"/>
          <w:color w:val="auto"/>
        </w:rPr>
      </w:pPr>
    </w:p>
    <w:p>
      <w:pPr>
        <w:ind w:left="420"/>
        <w:spacing w:after="0" w:line="300" w:lineRule="auto"/>
        <w:rPr>
          <w:sz w:val="20"/>
          <w:szCs w:val="20"/>
          <w:color w:val="auto"/>
        </w:rPr>
      </w:pPr>
      <w:r>
        <w:rPr>
          <w:rFonts w:ascii="Times New Roman" w:cs="Times New Roman" w:eastAsia="Times New Roman" w:hAnsi="Times New Roman"/>
          <w:sz w:val="15"/>
          <w:szCs w:val="15"/>
          <w:color w:val="auto"/>
        </w:rPr>
        <w:t>Prepaid expenses and other current assets Assets held for sale</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Total current assets</w:t>
      </w:r>
    </w:p>
    <w:p>
      <w:pPr>
        <w:spacing w:after="0" w:line="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Intangible assets</w:t>
      </w:r>
    </w:p>
    <w:p>
      <w:pPr>
        <w:spacing w:after="0" w:line="30" w:lineRule="exact"/>
        <w:rPr>
          <w:sz w:val="20"/>
          <w:szCs w:val="20"/>
          <w:color w:val="auto"/>
        </w:rPr>
      </w:pPr>
    </w:p>
    <w:p>
      <w:pPr>
        <w:ind w:left="120" w:right="900"/>
        <w:spacing w:after="0" w:line="307" w:lineRule="auto"/>
        <w:rPr>
          <w:sz w:val="20"/>
          <w:szCs w:val="20"/>
          <w:color w:val="auto"/>
        </w:rPr>
      </w:pPr>
      <w:r>
        <w:rPr>
          <w:rFonts w:ascii="Times New Roman" w:cs="Times New Roman" w:eastAsia="Times New Roman" w:hAnsi="Times New Roman"/>
          <w:sz w:val="15"/>
          <w:szCs w:val="15"/>
          <w:color w:val="auto"/>
        </w:rPr>
        <w:t>Property and equipment, at cost Accumulated depreciation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7"/>
          <w:szCs w:val="17"/>
          <w:b w:val="1"/>
          <w:bCs w:val="1"/>
          <w:color w:val="auto"/>
        </w:rPr>
        <w:t>Unaudited Pro Forma Condensed Combined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-649605</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3"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8"/>
          <w:szCs w:val="18"/>
          <w:b w:val="1"/>
          <w:bCs w:val="1"/>
          <w:color w:val="auto"/>
        </w:rPr>
        <w:t>As of June 30, 2022</w:t>
      </w:r>
    </w:p>
    <w:p>
      <w:pPr>
        <w:spacing w:after="0" w:line="9"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740" w:type="dxa"/>
        <w:tblCellMar>
          <w:top w:w="0" w:type="dxa"/>
          <w:left w:w="0" w:type="dxa"/>
          <w:bottom w:w="0" w:type="dxa"/>
          <w:right w:w="0" w:type="dxa"/>
        </w:tblCellMar>
      </w:tblPr>
      <w:tr>
        <w:trPr>
          <w:trHeight w:val="173"/>
        </w:trPr>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Maersk Drilling Historical</w:t>
            </w: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Maersk</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Maersk</w:t>
            </w:r>
          </w:p>
        </w:tc>
        <w:tc>
          <w:tcPr>
            <w:tcW w:w="62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Maersk</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Drilling</w:t>
            </w:r>
          </w:p>
        </w:tc>
        <w:tc>
          <w:tcPr>
            <w:tcW w:w="6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Combination</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Noble Pro</w:t>
            </w:r>
          </w:p>
        </w:tc>
        <w:tc>
          <w:tcPr>
            <w:tcW w:w="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Drilling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Drilling</w:t>
            </w:r>
          </w:p>
        </w:tc>
        <w:tc>
          <w:tcPr>
            <w:tcW w:w="6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6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Topco</w:t>
            </w:r>
          </w:p>
        </w:tc>
        <w:tc>
          <w:tcPr>
            <w:tcW w:w="0" w:type="dxa"/>
            <w:vAlign w:val="bottom"/>
          </w:tcPr>
          <w:p>
            <w:pPr>
              <w:spacing w:after="0"/>
              <w:rPr>
                <w:sz w:val="1"/>
                <w:szCs w:val="1"/>
                <w:color w:val="auto"/>
              </w:rPr>
            </w:pPr>
          </w:p>
        </w:tc>
      </w:tr>
      <w:tr>
        <w:trPr>
          <w:trHeight w:val="148"/>
        </w:trPr>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2"/>
                <w:szCs w:val="12"/>
                <w:color w:val="auto"/>
              </w:rPr>
            </w:pPr>
          </w:p>
        </w:tc>
        <w:tc>
          <w:tcPr>
            <w:tcW w:w="11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IFRS-to-GAAP</w:t>
            </w:r>
          </w:p>
        </w:tc>
        <w:tc>
          <w:tcPr>
            <w:tcW w:w="6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6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Forma</w:t>
            </w:r>
          </w:p>
        </w:tc>
        <w:tc>
          <w:tcPr>
            <w:tcW w:w="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(IFRS)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6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 8)</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(Note 6)</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GAAP)</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5"/>
        </w:trPr>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527,253</w:t>
            </w:r>
          </w:p>
        </w:tc>
        <w:tc>
          <w:tcPr>
            <w:tcW w:w="140" w:type="dxa"/>
            <w:vAlign w:val="bottom"/>
          </w:tcPr>
          <w:p>
            <w:pPr>
              <w:spacing w:after="0"/>
              <w:rPr>
                <w:sz w:val="24"/>
                <w:szCs w:val="24"/>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   209,326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   209,326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(49,639)</w:t>
            </w:r>
          </w:p>
        </w:tc>
        <w:tc>
          <w:tcPr>
            <w:tcW w:w="5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(FF)</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  686,940</w:t>
            </w:r>
          </w:p>
        </w:tc>
        <w:tc>
          <w:tcPr>
            <w:tcW w:w="0" w:type="dxa"/>
            <w:vAlign w:val="bottom"/>
          </w:tcPr>
          <w:p>
            <w:pPr>
              <w:spacing w:after="0"/>
              <w:rPr>
                <w:sz w:val="1"/>
                <w:szCs w:val="1"/>
                <w:color w:val="auto"/>
              </w:rPr>
            </w:pPr>
          </w:p>
        </w:tc>
      </w:tr>
      <w:tr>
        <w:trPr>
          <w:trHeight w:val="203"/>
        </w:trPr>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258,780</w:t>
            </w:r>
          </w:p>
        </w:tc>
        <w:tc>
          <w:tcPr>
            <w:tcW w:w="140" w:type="dxa"/>
            <w:vAlign w:val="bottom"/>
          </w:tcPr>
          <w:p>
            <w:pPr>
              <w:spacing w:after="0"/>
              <w:rPr>
                <w:sz w:val="17"/>
                <w:szCs w:val="17"/>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229,126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229,126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spacing w:after="0"/>
              <w:rPr>
                <w:sz w:val="17"/>
                <w:szCs w:val="17"/>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487,906</w:t>
            </w:r>
          </w:p>
        </w:tc>
        <w:tc>
          <w:tcPr>
            <w:tcW w:w="0" w:type="dxa"/>
            <w:vAlign w:val="bottom"/>
          </w:tcPr>
          <w:p>
            <w:pPr>
              <w:spacing w:after="0"/>
              <w:rPr>
                <w:sz w:val="1"/>
                <w:szCs w:val="1"/>
                <w:color w:val="auto"/>
              </w:rPr>
            </w:pPr>
          </w:p>
        </w:tc>
      </w:tr>
      <w:tr>
        <w:trPr>
          <w:trHeight w:val="203"/>
        </w:trPr>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16,906</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26,419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26,419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spacing w:after="0"/>
              <w:rPr>
                <w:sz w:val="17"/>
                <w:szCs w:val="17"/>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43,325</w:t>
            </w:r>
          </w:p>
        </w:tc>
        <w:tc>
          <w:tcPr>
            <w:tcW w:w="0" w:type="dxa"/>
            <w:vAlign w:val="bottom"/>
          </w:tcPr>
          <w:p>
            <w:pPr>
              <w:spacing w:after="0"/>
              <w:rPr>
                <w:sz w:val="1"/>
                <w:szCs w:val="1"/>
                <w:color w:val="auto"/>
              </w:rPr>
            </w:pPr>
          </w:p>
        </w:tc>
      </w:tr>
      <w:tr>
        <w:trPr>
          <w:trHeight w:val="203"/>
        </w:trPr>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40,226</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64,823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(7,000)</w:t>
            </w:r>
          </w:p>
        </w:tc>
        <w:tc>
          <w:tcPr>
            <w:tcW w:w="6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(F)</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57,823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(32,320)</w:t>
            </w:r>
          </w:p>
        </w:tc>
        <w:tc>
          <w:tcPr>
            <w:tcW w:w="5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(GG)</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65,729</w:t>
            </w:r>
          </w:p>
        </w:tc>
        <w:tc>
          <w:tcPr>
            <w:tcW w:w="0" w:type="dxa"/>
            <w:vAlign w:val="bottom"/>
          </w:tcPr>
          <w:p>
            <w:pPr>
              <w:spacing w:after="0"/>
              <w:rPr>
                <w:sz w:val="1"/>
                <w:szCs w:val="1"/>
                <w:color w:val="auto"/>
              </w:rPr>
            </w:pPr>
          </w:p>
        </w:tc>
      </w:tr>
      <w:tr>
        <w:trPr>
          <w:trHeight w:val="183"/>
        </w:trPr>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39,338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39,338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spacing w:after="0"/>
              <w:rPr>
                <w:sz w:val="15"/>
                <w:szCs w:val="15"/>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39,338</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843,165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569,032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(7,000)</w:t>
            </w:r>
          </w:p>
        </w:tc>
        <w:tc>
          <w:tcPr>
            <w:tcW w:w="6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562,032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(81,959)</w:t>
            </w:r>
          </w:p>
        </w:tc>
        <w:tc>
          <w:tcPr>
            <w:tcW w:w="50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1,323,238</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33,495</w:t>
            </w:r>
          </w:p>
        </w:tc>
        <w:tc>
          <w:tcPr>
            <w:tcW w:w="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33,495</w:t>
            </w:r>
          </w:p>
        </w:tc>
        <w:tc>
          <w:tcPr>
            <w:tcW w:w="0" w:type="dxa"/>
            <w:vAlign w:val="bottom"/>
          </w:tcPr>
          <w:p>
            <w:pPr>
              <w:spacing w:after="0"/>
              <w:rPr>
                <w:sz w:val="1"/>
                <w:szCs w:val="1"/>
                <w:color w:val="auto"/>
              </w:rPr>
            </w:pPr>
          </w:p>
        </w:tc>
      </w:tr>
      <w:tr>
        <w:trPr>
          <w:trHeight w:val="203"/>
        </w:trPr>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1,306,160</w:t>
            </w:r>
          </w:p>
        </w:tc>
        <w:tc>
          <w:tcPr>
            <w:tcW w:w="140" w:type="dxa"/>
            <w:vAlign w:val="bottom"/>
          </w:tcPr>
          <w:p>
            <w:pPr>
              <w:spacing w:after="0"/>
              <w:rPr>
                <w:sz w:val="17"/>
                <w:szCs w:val="17"/>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8,684,312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3,677,277</w:t>
            </w:r>
          </w:p>
        </w:tc>
        <w:tc>
          <w:tcPr>
            <w:tcW w:w="6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(E)</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12,361,589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(9,477,020)</w:t>
            </w:r>
          </w:p>
        </w:tc>
        <w:tc>
          <w:tcPr>
            <w:tcW w:w="5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(HH)</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4,190,729</w:t>
            </w:r>
          </w:p>
        </w:tc>
        <w:tc>
          <w:tcPr>
            <w:tcW w:w="0" w:type="dxa"/>
            <w:vAlign w:val="bottom"/>
          </w:tcPr>
          <w:p>
            <w:pPr>
              <w:spacing w:after="0"/>
              <w:rPr>
                <w:sz w:val="1"/>
                <w:szCs w:val="1"/>
                <w:color w:val="auto"/>
              </w:rPr>
            </w:pPr>
          </w:p>
        </w:tc>
      </w:tr>
      <w:tr>
        <w:trPr>
          <w:trHeight w:val="183"/>
        </w:trPr>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(98,525)</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(6,315,334)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(945,866)</w:t>
            </w:r>
          </w:p>
        </w:tc>
        <w:tc>
          <w:tcPr>
            <w:tcW w:w="6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(E)</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(7,261,200)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7,261,200</w:t>
            </w:r>
          </w:p>
        </w:tc>
        <w:tc>
          <w:tcPr>
            <w:tcW w:w="5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(HH)</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(98,525)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-1396365</wp:posOffset>
            </wp:positionV>
            <wp:extent cx="6995160"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-1191260</wp:posOffset>
            </wp:positionV>
            <wp:extent cx="699516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-934085</wp:posOffset>
            </wp:positionV>
            <wp:extent cx="699516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-676910</wp:posOffset>
            </wp:positionV>
            <wp:extent cx="699516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-385445</wp:posOffset>
            </wp:positionV>
            <wp:extent cx="699516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-128270</wp:posOffset>
            </wp:positionV>
            <wp:extent cx="699516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960" w:space="380"/>
            <w:col w:w="7800"/>
          </w:cols>
          <w:pgMar w:left="320" w:top="455" w:right="439" w:bottom="1440" w:gutter="0" w:footer="0" w:header="0"/>
        </w:sectPr>
      </w:pPr>
    </w:p>
    <w:tbl>
      <w:tblPr>
        <w:tblLayout w:type="fixed"/>
        <w:tblInd w:w="120" w:type="dxa"/>
        <w:tblCellMar>
          <w:top w:w="0" w:type="dxa"/>
          <w:left w:w="0" w:type="dxa"/>
          <w:bottom w:w="0" w:type="dxa"/>
          <w:right w:w="0" w:type="dxa"/>
        </w:tblCellMar>
      </w:tblPr>
      <w:tr>
        <w:trPr>
          <w:trHeight w:val="20"/>
        </w:trPr>
        <w:tc>
          <w:tcPr>
            <w:tcW w:w="396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1,207,635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2,368,978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2,731,411</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5,100,389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(2,215,820)</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4,092,204</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81,698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318,833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(8,262)</w:t>
            </w: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(E)</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310,571</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(276,832)</w:t>
            </w: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(II)(JJ)</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115,437</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2,165,993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3,256,843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2,716,149</w:t>
            </w: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5,972,992</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(2,574,611)</w:t>
            </w:r>
          </w:p>
        </w:tc>
        <w:tc>
          <w:tcPr>
            <w:tcW w:w="56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5,564,374</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Current liabilities</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Accounts payable</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136,144</w:t>
            </w:r>
          </w:p>
        </w:tc>
        <w:tc>
          <w:tcPr>
            <w:tcW w:w="1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137,391</w:t>
            </w:r>
          </w:p>
        </w:tc>
        <w:tc>
          <w:tcPr>
            <w:tcW w:w="30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137,391</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(14,948)</w:t>
            </w:r>
          </w:p>
        </w:tc>
        <w:tc>
          <w:tcPr>
            <w:tcW w:w="5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(LL)</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258,587</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Accrued payroll and related costs</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33,754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25,587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25,587</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59,341</w:t>
            </w:r>
          </w:p>
        </w:tc>
        <w:tc>
          <w:tcPr>
            <w:tcW w:w="0" w:type="dxa"/>
            <w:vAlign w:val="bottom"/>
          </w:tcPr>
          <w:p>
            <w:pPr>
              <w:spacing w:after="0"/>
              <w:rPr>
                <w:sz w:val="1"/>
                <w:szCs w:val="1"/>
                <w:color w:val="auto"/>
              </w:rPr>
            </w:pPr>
          </w:p>
        </w:tc>
      </w:tr>
      <w:tr>
        <w:trPr>
          <w:trHeight w:val="203"/>
        </w:trPr>
        <w:tc>
          <w:tcPr>
            <w:tcW w:w="39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Current maturities of long-term debt</w:t>
            </w: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129,925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129,925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129,925</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Taxes payable</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26,854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27,707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17,156</w:t>
            </w: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(F)</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44,863</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5,066</w:t>
            </w: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(JJ)</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76,783</w:t>
            </w:r>
          </w:p>
        </w:tc>
        <w:tc>
          <w:tcPr>
            <w:tcW w:w="0" w:type="dxa"/>
            <w:vAlign w:val="bottom"/>
          </w:tcPr>
          <w:p>
            <w:pPr>
              <w:spacing w:after="0"/>
              <w:rPr>
                <w:sz w:val="1"/>
                <w:szCs w:val="1"/>
                <w:color w:val="auto"/>
              </w:rPr>
            </w:pPr>
          </w:p>
        </w:tc>
      </w:tr>
      <w:tr>
        <w:trPr>
          <w:trHeight w:val="203"/>
        </w:trPr>
        <w:tc>
          <w:tcPr>
            <w:tcW w:w="39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Interest payable</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656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656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9,577</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44,263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51,305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51,305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95,568</w:t>
            </w:r>
          </w:p>
        </w:tc>
        <w:tc>
          <w:tcPr>
            <w:tcW w:w="0" w:type="dxa"/>
            <w:vAlign w:val="bottom"/>
          </w:tcPr>
          <w:p>
            <w:pPr>
              <w:spacing w:after="0"/>
              <w:rPr>
                <w:sz w:val="1"/>
                <w:szCs w:val="1"/>
                <w:color w:val="auto"/>
              </w:rPr>
            </w:pPr>
          </w:p>
        </w:tc>
      </w:tr>
      <w:tr>
        <w:trPr>
          <w:trHeight w:val="203"/>
        </w:trPr>
        <w:tc>
          <w:tcPr>
            <w:tcW w:w="39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Compulsory purchase liability</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186,055</w:t>
            </w:r>
          </w:p>
        </w:tc>
        <w:tc>
          <w:tcPr>
            <w:tcW w:w="5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(KK)</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186,055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current liabilities</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249,936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372,571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17,156</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389,727</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176,173</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815,836</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Long-term debt</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618,809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618,809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9,505</w:t>
            </w:r>
          </w:p>
        </w:tc>
        <w:tc>
          <w:tcPr>
            <w:tcW w:w="5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(MM)</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844,314</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income taxes</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26,080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68,828</w:t>
            </w: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(E)</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94,908</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(72,806)</w:t>
            </w: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(JJ)</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28,802</w:t>
            </w:r>
          </w:p>
        </w:tc>
        <w:tc>
          <w:tcPr>
            <w:tcW w:w="0" w:type="dxa"/>
            <w:vAlign w:val="bottom"/>
          </w:tcPr>
          <w:p>
            <w:pPr>
              <w:spacing w:after="0"/>
              <w:rPr>
                <w:sz w:val="1"/>
                <w:szCs w:val="1"/>
                <w:color w:val="auto"/>
              </w:rPr>
            </w:pPr>
          </w:p>
        </w:tc>
      </w:tr>
      <w:tr>
        <w:trPr>
          <w:trHeight w:val="203"/>
        </w:trPr>
        <w:tc>
          <w:tcPr>
            <w:tcW w:w="3960" w:type="dxa"/>
            <w:vAlign w:val="bottom"/>
          </w:tcPr>
          <w:p>
            <w:pPr>
              <w:spacing w:after="0"/>
              <w:rPr>
                <w:sz w:val="20"/>
                <w:szCs w:val="20"/>
                <w:color w:val="auto"/>
              </w:rPr>
            </w:pPr>
            <w:r>
              <w:rPr>
                <w:rFonts w:ascii="Times New Roman" w:cs="Times New Roman" w:eastAsia="Times New Roman" w:hAnsi="Times New Roman"/>
                <w:sz w:val="15"/>
                <w:szCs w:val="15"/>
                <w:color w:val="auto"/>
              </w:rPr>
              <w:t>Other liabilities</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116,922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74,639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34,180</w:t>
            </w:r>
          </w:p>
        </w:tc>
        <w:tc>
          <w:tcPr>
            <w:tcW w:w="6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(F)</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108,819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143,350</w:t>
            </w:r>
          </w:p>
        </w:tc>
        <w:tc>
          <w:tcPr>
            <w:tcW w:w="5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(JJ)</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369,091</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589,558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1,092,099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120,164</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1,212,263</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256,222</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2,058,043</w:t>
            </w:r>
          </w:p>
        </w:tc>
        <w:tc>
          <w:tcPr>
            <w:tcW w:w="0" w:type="dxa"/>
            <w:vAlign w:val="bottom"/>
          </w:tcPr>
          <w:p>
            <w:pPr>
              <w:spacing w:after="0"/>
              <w:rPr>
                <w:sz w:val="1"/>
                <w:szCs w:val="1"/>
                <w:color w:val="auto"/>
              </w:rPr>
            </w:pPr>
          </w:p>
        </w:tc>
      </w:tr>
      <w:tr>
        <w:trPr>
          <w:trHeight w:val="169"/>
        </w:trPr>
        <w:tc>
          <w:tcPr>
            <w:tcW w:w="396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Shareholders’ equity</w:t>
            </w: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Common stock</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62,520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62,520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(62,519)</w:t>
            </w: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(NN)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3"/>
        </w:trPr>
        <w:tc>
          <w:tcPr>
            <w:tcW w:w="39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Additional paid-in-capital</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1,402,608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1,963,928</w:t>
            </w:r>
          </w:p>
        </w:tc>
        <w:tc>
          <w:tcPr>
            <w:tcW w:w="5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(NN)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3,366,536</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Retained earnings (accumulated deficit)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170,024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2,108,680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2,595,985</w:t>
            </w: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(E) (F)</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4,704,665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(4,738,698)</w:t>
            </w: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(NN)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135,991</w:t>
            </w:r>
          </w:p>
        </w:tc>
        <w:tc>
          <w:tcPr>
            <w:tcW w:w="0" w:type="dxa"/>
            <w:vAlign w:val="bottom"/>
          </w:tcPr>
          <w:p>
            <w:pPr>
              <w:spacing w:after="0"/>
              <w:rPr>
                <w:sz w:val="1"/>
                <w:szCs w:val="1"/>
                <w:color w:val="auto"/>
              </w:rPr>
            </w:pPr>
          </w:p>
        </w:tc>
      </w:tr>
      <w:tr>
        <w:trPr>
          <w:trHeight w:val="203"/>
        </w:trPr>
        <w:tc>
          <w:tcPr>
            <w:tcW w:w="39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Accumulated other comprehensive income (loss)</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(6,456)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(6,456)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6,456</w:t>
            </w:r>
          </w:p>
        </w:tc>
        <w:tc>
          <w:tcPr>
            <w:tcW w:w="5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(NN)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3,802</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1,576,435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2,164,744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2,595,985</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4,760,729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(2,830,833)</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3,506,331</w:t>
            </w:r>
          </w:p>
        </w:tc>
        <w:tc>
          <w:tcPr>
            <w:tcW w:w="0" w:type="dxa"/>
            <w:vAlign w:val="bottom"/>
          </w:tcPr>
          <w:p>
            <w:pPr>
              <w:spacing w:after="0"/>
              <w:rPr>
                <w:sz w:val="1"/>
                <w:szCs w:val="1"/>
                <w:color w:val="auto"/>
              </w:rPr>
            </w:pPr>
          </w:p>
        </w:tc>
      </w:tr>
      <w:tr>
        <w:trPr>
          <w:trHeight w:val="20"/>
        </w:trPr>
        <w:tc>
          <w:tcPr>
            <w:tcW w:w="3960" w:type="dxa"/>
            <w:vAlign w:val="bottom"/>
            <w:vMerge w:val="restart"/>
          </w:tcPr>
          <w:p>
            <w:pPr>
              <w:ind w:left="300"/>
              <w:spacing w:after="0"/>
              <w:rPr>
                <w:sz w:val="20"/>
                <w:szCs w:val="20"/>
                <w:color w:val="auto"/>
              </w:rPr>
            </w:pPr>
            <w:r>
              <w:rPr>
                <w:rFonts w:ascii="Times New Roman" w:cs="Times New Roman" w:eastAsia="Times New Roman" w:hAnsi="Times New Roman"/>
                <w:sz w:val="15"/>
                <w:szCs w:val="15"/>
                <w:b w:val="1"/>
                <w:bCs w:val="1"/>
                <w:color w:val="auto"/>
              </w:rPr>
              <w:t>Total liabilities and equity</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2,165,993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3,256,843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2,716,149</w:t>
            </w: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5,972,992</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(2,574,611)</w:t>
            </w:r>
          </w:p>
        </w:tc>
        <w:tc>
          <w:tcPr>
            <w:tcW w:w="56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5,564,374</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or otherwise indicated)</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Pro Forma Financial Information has been prepared by Topco in accordance with Article 11 of Regulation S-X as amended by the final rule, Release No. 33-10786 “Amendments to Financial Disclosures about Acquired and Disposed Businesses,” which was adopted in May 2020 and became effective on January 1, 2021. The pro forma adjustments include transaction accounting adjustments, which reflect the application of required accounting for the Business Combination, the Noble 2022 Rig Disposal, and the Completed Transactions.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historical consolidated financial statements of Noble were prepared in accordance with accounting principles generally accepted in the United States of America (“U.S. GAAP”) and shown in U.S. dollars. The historical consolidated financial statements of Maersk Drilling were prepared in accordance with International Financial Reporting Standards (“IFRS”) as issued by the International Accounting Standards Board (“IASB”) and shown in U.S. dollars. Refer to Note 4 for the adjustments identified by Maersk Drilling to convert Maersk Drilling’s historical financial statements prepared in accordance with IFRS to Noble’s basis of accounting under U.S. GAAP.</w:t>
      </w:r>
    </w:p>
    <w:p>
      <w:pPr>
        <w:spacing w:after="0" w:line="18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Noble adopted fresh start accounting in accordance with Accounting Standards Codification Topic 852, </w:t>
      </w:r>
      <w:r>
        <w:rPr>
          <w:rFonts w:ascii="Times New Roman" w:cs="Times New Roman" w:eastAsia="Times New Roman" w:hAnsi="Times New Roman"/>
          <w:sz w:val="18"/>
          <w:szCs w:val="18"/>
          <w:i w:val="1"/>
          <w:iCs w:val="1"/>
          <w:color w:val="auto"/>
        </w:rPr>
        <w:t>Reorganizations</w:t>
      </w:r>
      <w:r>
        <w:rPr>
          <w:rFonts w:ascii="Times New Roman" w:cs="Times New Roman" w:eastAsia="Times New Roman" w:hAnsi="Times New Roman"/>
          <w:sz w:val="18"/>
          <w:szCs w:val="18"/>
          <w:color w:val="auto"/>
        </w:rPr>
        <w:t xml:space="preserve"> (“ASC 852”), upon Noble’s emergence from reorganization under Chapter 11, resulting in reorganized Noble becoming the successor entity (“Successor”) for financial reporting purposes. In accordance with ASC 852, with the application of fresh start accounting, Noble allocated its reorganization value to its individual assets based on their estimated fair values in conformity with ASC 805. Liabilities subject to compromise of the predecessor entity of Noble (“Predecessor”) were either reinstated or extinguished as part of the reorganization.</w:t>
      </w:r>
    </w:p>
    <w:p>
      <w:pPr>
        <w:spacing w:after="0" w:line="289" w:lineRule="exact"/>
        <w:rPr>
          <w:sz w:val="20"/>
          <w:szCs w:val="20"/>
          <w:color w:val="auto"/>
        </w:rPr>
      </w:pPr>
    </w:p>
    <w:p>
      <w:pPr>
        <w:ind w:left="120" w:right="3560" w:firstLine="4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Note 2. Business Combination with Maersk Drilling and Estimated Purchase Consideration </w:t>
      </w:r>
      <w:r>
        <w:rPr>
          <w:rFonts w:ascii="Times New Roman" w:cs="Times New Roman" w:eastAsia="Times New Roman" w:hAnsi="Times New Roman"/>
          <w:sz w:val="18"/>
          <w:szCs w:val="18"/>
          <w:b w:val="1"/>
          <w:bCs w:val="1"/>
          <w:i w:val="1"/>
          <w:iCs w:val="1"/>
          <w:color w:val="auto"/>
        </w:rPr>
        <w:t>Business Combination Agreement</w:t>
      </w: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the Merger Effective Date, pursuant to the Business Combination Agreement, Old Noble merged with and into Merger Sub, with Merger Sub surviving the Merger as a wholly owned subsidiary of Topco, and (i) each Noble Share issued and outstanding prior to the Merger Effective Time was converted into one newly and validly issued, fully paid and non-assessable Topco Share, and (ii) each warrant to purchase Noble Shares issued pursuant to the applicable Noble Cayman Warrant Agreements (as defined herein) and outstanding immediately prior to the Merger Effective Time was converted automatically into a warrant to acquire a number of Topco Shares equal to the number of Noble Shares underlying such warrant, with the same terms as were in effect immediately prior to the Merger Effective Time under the terms of the applicable Noble Cayman Warrant Agreement. In addition, each award of restricted share units representing the right to receive Noble Shares, or value based on the value of Noble Shares (each, a “Noble RSU Award”) outstanding immediately prior to the Merger Effective Time ceased to represent a right to acquire Noble Shares (or value equivalent to Noble Shares) and was converted into the right to acquire, on the same terms and conditions as were applicable under the Noble RSU Award (including any vesting conditions), that number of Topco Shares equal to the number of Noble Shares subject to such Noble RSU Award immediately prior to the Merger Effective Time.</w:t>
      </w:r>
    </w:p>
    <w:p>
      <w:pPr>
        <w:spacing w:after="0" w:line="192"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On the Closing Date, pursuant to the Business Combination Agreement, Topco will complete the Offer, and upon consummation of the Offer, because Topco will have acquired more than 90% of the issued and outstanding Maersk Drilling Shares, Topco will redeem all remaining Maersk Drilling Shares not exchanged in the Offer for, at the election of the holder, either Topco Shares or cash (or, for those holders that do not make an election, only cash), under Danish law by way of a compulsory purchase.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Upon completion of the Offer, and in connection with the Compulsory Purchase (as defined herein), each Maersk Drilling Share will be exchanged for either (i) 1.6137 newly and validly issued, fully paid and non-assessable Topco Shares (the “Exchange Ratio”) or (ii) cash consideration (payable in DKK), subject to a cash consideration cap per Maersk Drilling shareholder of $1,000 and an aggregate cap on cash consideration payable to all Maersk Drilling shareholders of $50 million. Consequently, Maersk Drilling shareholders who elect to receive cash consideration will receive, as applicable, (a) $1,000 for the applicable portion of their Maersk Drilling Shares and the balance of Maersk Drilling Shares in Topco Shares in accordance with the Exchange Ratio, or (b) the amount corresponding to the total holding of their Maersk Drilling Shares if such holding of Maersk Drilling Shares represents a value equal to or less than $1,000 in the aggregate, subject to any reduction under the aggregate cap described in the preceding sentence. A Maersk Drilling shareholder holding Maersk Drilling Shares exceeding a value of $1,000 in the aggregate could not elect to receive less than $1,000 in cash consideration if the cash consideration in lieu of Topco Shares was elected.</w:t>
      </w:r>
    </w:p>
    <w:p>
      <w:pPr>
        <w:spacing w:after="0" w:line="18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Each of Maersk Drilling and Topco will take steps to procure that each Maersk Drilling restricted stock unit award (a “Maersk Drilling RSU Award”) that is outstanding immediately prior to the acceptance time of the Offer (the “Acceptance Time”) is exchanged, at the Acceptance Time, with the right to receive on the same terms and conditions as were applicable under the Maersk Drilling RSU Long-Term Incentive Programme for Executive Management 2019 and the Maersk Drilling RSU Long-Term Incentive Programme 2019 (including any vesting conditions), that number of Topco Shares equal to the product of (1) the number of Maersk Drilling Shares subject to such Maersk Drilling RSU Award immediately prior to the Acceptance Time and (2) the Exchange Ratio, with any fractional Maersk Drilling Shares rounded to the nearest whole share. Upon conversion such Maersk Drilling RSU Awards will cease to represent a right to receive Maersk Drilling Shares (or value equivalent to Maersk Drilling Shares).</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acquisition method of accounting for business combinations was used by Noble in accordance with ASC 805, with Noble expected to be the accounting acquirer of Maersk Drilling. Following the closing of the Business Combination, assuming all remaining Maersk Drilling Shares are issued Topco Shares for the Compulsory Purchase, Noble shareholders are expected to hold a majority interest in the combined company, with former shareholders of Noble and Maersk Drilling owning approximately 53% and 47%, respectively, of outstanding Topco Shares. Assuming all remaining Maersk Drilling Shares are settled in cash for the Compulsory Purchase, the percentage relative to former shareholders of Noble will be higher. The board of directors of Topco will be comprised of seven members, including three individuals designated by Noble, three individuals designated by Maersk Drilling, and Robert W. Eifler, current President and Chief Executive Officer of Noble, who will serve as the President and Chief Executive Officer of the combined company. Of the three individuals designated by Noble, up to two individuals may be designated by the Investor Manager (depending upon the Investor Manager’s percentage ownership of outstanding Topco Shares). Of the three individuals designated by Maersk Drilling, up to two individuals may be designated by APMH Invest (as defined herein) (which right APMH Invest will continue to have on a going-forward basis, subject to certain minimum holding conditions). Further, the combined company name, ticker symbol, and headquarters will remain consistent with that of Noble. Based on Noble shareholders’ majority equity stake in the combined company, the composition of the board of directors of the combined company, and the other factors noted herein, Noble is expected to be the accounting acquirer of Maersk Drilling in accordance with the guidance of ASC 805.</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Preliminary Purchase Price Consideration</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calculation of preliminary purchase price consideration based on an average of the closing price per share of Noble Shares on the NYSE for the seven trailing days ended on September 21, 2022, which is used as a proxy for the market price of the Topco Shares at the Closing Date (table below in thousands, except ratios and per share price):</w:t>
      </w:r>
    </w:p>
    <w:p>
      <w:pPr>
        <w:spacing w:after="0" w:line="221"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Preliminary purchase price consideration</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Maersk Drilling share acceptances per the Offer (net of fractional shares and shares for which cash settlement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was elected)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37,228</w:t>
            </w:r>
          </w:p>
        </w:tc>
        <w:tc>
          <w:tcPr>
            <w:tcW w:w="80" w:type="dxa"/>
            <w:vAlign w:val="bottom"/>
          </w:tcPr>
          <w:p>
            <w:pPr>
              <w:spacing w:after="0"/>
              <w:rPr>
                <w:sz w:val="20"/>
                <w:szCs w:val="20"/>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1.6137</w:t>
            </w:r>
          </w:p>
        </w:tc>
        <w:tc>
          <w:tcPr>
            <w:tcW w:w="80" w:type="dxa"/>
            <w:vAlign w:val="bottom"/>
            <w:shd w:val="clear" w:color="auto" w:fill="CCEEFF"/>
          </w:tcPr>
          <w:p>
            <w:pPr>
              <w:spacing w:after="0"/>
              <w:rPr>
                <w:sz w:val="18"/>
                <w:szCs w:val="18"/>
                <w:color w:val="auto"/>
              </w:rPr>
            </w:pPr>
          </w:p>
        </w:tc>
      </w:t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Number of Topco shares issued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60,075</w:t>
            </w:r>
          </w:p>
        </w:tc>
        <w:tc>
          <w:tcPr>
            <w:tcW w:w="80" w:type="dxa"/>
            <w:vAlign w:val="bottom"/>
          </w:tcPr>
          <w:p>
            <w:pPr>
              <w:spacing w:after="0"/>
              <w:rPr>
                <w:sz w:val="19"/>
                <w:szCs w:val="19"/>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Noble Share Price for seven trailing days ended September 21, 2022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80" w:type="dxa"/>
            <w:vAlign w:val="bottom"/>
            <w:shd w:val="clear" w:color="auto" w:fill="CCEEFF"/>
          </w:tcPr>
          <w:p>
            <w:pPr>
              <w:spacing w:after="0"/>
              <w:rPr>
                <w:sz w:val="18"/>
                <w:szCs w:val="18"/>
                <w:color w:val="auto"/>
              </w:rPr>
            </w:pPr>
          </w:p>
        </w:tc>
      </w:tr>
      <w:tr>
        <w:trPr>
          <w:trHeight w:val="223"/>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Preliminary purchase price paid for Maersk Drilling shares</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1,955,441</w:t>
            </w:r>
          </w:p>
        </w:tc>
        <w:tc>
          <w:tcPr>
            <w:tcW w:w="80" w:type="dxa"/>
            <w:vAlign w:val="bottom"/>
          </w:tcPr>
          <w:p>
            <w:pPr>
              <w:spacing w:after="0"/>
              <w:rPr>
                <w:sz w:val="19"/>
                <w:szCs w:val="19"/>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Shares for which cash settlement was elected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1.6137</w:t>
            </w:r>
          </w:p>
        </w:tc>
        <w:tc>
          <w:tcPr>
            <w:tcW w:w="8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VWAP(1)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80" w:type="dxa"/>
            <w:vAlign w:val="bottom"/>
            <w:shd w:val="clear" w:color="auto" w:fill="CCEEFF"/>
          </w:tcPr>
          <w:p>
            <w:pPr>
              <w:spacing w:after="0"/>
              <w:rPr>
                <w:sz w:val="18"/>
                <w:szCs w:val="18"/>
                <w:color w:val="auto"/>
              </w:rPr>
            </w:pPr>
          </w:p>
        </w:tc>
      </w:tr>
      <w:tr>
        <w:trPr>
          <w:trHeight w:val="223"/>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settlement election consideration</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80" w:type="dxa"/>
            <w:vAlign w:val="bottom"/>
          </w:tcPr>
          <w:p>
            <w:pPr>
              <w:spacing w:after="0"/>
              <w:rPr>
                <w:sz w:val="19"/>
                <w:szCs w:val="19"/>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payout for fractional shares of Maersk Drilling</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replacement Maersk Drilling RSU Awards attributable to the purchase price</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80" w:type="dxa"/>
            <w:vAlign w:val="bottom"/>
          </w:tcPr>
          <w:p>
            <w:pPr>
              <w:spacing w:after="0"/>
              <w:rPr>
                <w:sz w:val="19"/>
                <w:szCs w:val="19"/>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preliminary purchase price consideration transferred to Maersk Drilling</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1,964,587</w:t>
            </w:r>
          </w:p>
        </w:tc>
        <w:tc>
          <w:tcPr>
            <w:tcW w:w="80" w:type="dxa"/>
            <w:vAlign w:val="bottom"/>
            <w:shd w:val="clear" w:color="auto" w:fill="CCEEFF"/>
          </w:tcPr>
          <w:p>
            <w:pPr>
              <w:spacing w:after="0"/>
              <w:rPr>
                <w:sz w:val="18"/>
                <w:szCs w:val="18"/>
                <w:color w:val="auto"/>
              </w:rPr>
            </w:pPr>
          </w:p>
        </w:tc>
      </w:t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Compulsory Purchase</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186,055</w:t>
            </w:r>
          </w:p>
        </w:tc>
        <w:tc>
          <w:tcPr>
            <w:tcW w:w="80" w:type="dxa"/>
            <w:vAlign w:val="bottom"/>
          </w:tcPr>
          <w:p>
            <w:pPr>
              <w:spacing w:after="0"/>
              <w:rPr>
                <w:sz w:val="19"/>
                <w:szCs w:val="19"/>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preliminary purchase price consideration</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2,150,642</w:t>
            </w:r>
          </w:p>
        </w:tc>
        <w:tc>
          <w:tcPr>
            <w:tcW w:w="80" w:type="dxa"/>
            <w:vAlign w:val="bottom"/>
            <w:shd w:val="clear" w:color="auto" w:fill="CCEEFF"/>
          </w:tcPr>
          <w:p>
            <w:pPr>
              <w:spacing w:after="0"/>
              <w:rPr>
                <w:sz w:val="18"/>
                <w:szCs w:val="18"/>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20" w:hanging="424"/>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VWAP, as defined in the Business Combination Agreement, represents the volume-weighted average closing price of Noble Shares on the NYSE for the ten trading days ending on the date two days prior to the publication of the offer document relating to the Offer.</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purchase price consideration calculated above and applied in the Pro Forma Financial Information is preliminary and subject to modification based on the final purchase price, which includes any changes to the value of Topco Shares and the number of vested Maersk Drilling RSU Awards at the Closing Date. The final value of Topco’s consideration transferred will be determined based on the actual number of Topco Shares issued, the number of Maersk Drilling Shares outstanding at the Closing Date, and the market price of the Topco Shares at the Closing Date. This will likely result in a difference from the preliminary purchase consideration calculated above and that difference may be material. For example, with other assumptions held constant, an increase or decrease of 10% in the price per Noble Shares would increase or decrease the fair value of the preliminary purchase price by $196.3 million. Increases in the market price of the Topco Shares at the Closing Date over the share price assumption used in the Pro Forma Financial Information would result in the recognition of goodwill. However, a change in the closing share price does not change the number of Topco Shares issued in connection with the Business Combination or the number of underlying Topco Shares issued as replacement for the Maersk Drilling RSU Awards to be granted.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Allocation of Purchase Price Consideration to Asset Acquired and Liabilities Assumed</w:t>
      </w:r>
    </w:p>
    <w:p>
      <w:pPr>
        <w:spacing w:after="0" w:line="121"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The allocation of the consideration, including any related tax effects, is preliminary and pending finalization of various estimates, inputs and analyses used in the valuation assessment of the specifically identifiable tangible and intangible assets acquired. Since the Pro Forma Financial Information has been prepared by Topco based on preliminary estimates of consideration and fair values attributable to the Business Combination, the actual amounts eventually recorded in accordance with the acquisition method of accounting may differ materially from the information presented.</w:t>
      </w:r>
    </w:p>
    <w:p>
      <w:pPr>
        <w:spacing w:after="0" w:line="9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320" w:top="455" w:right="5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ASC 805 requires, among other things, that the assets acquired and liabilities assumed in a business combination be recognized at their fair values as of the acquisition date. Any consideration transferred or paid in a business combination in excess of the fair value of the assets acquired and liabilities assumed should be recognized as goodwill, while any excess fair value of the assets acquired and liabilities assumed beyond the consideration transferred or paid in a business combination should be recognized as a bargain purchase gain. Noble management’s estimate as of the date of this filing is that the fair value of the net assets and liabilities acquired is equal to the purchase price. Thus, no goodwill or bargain purchase gain has been recognized on the pro forma condensed combined balance sheet as of June 30, 2022. This preliminary determination is subject to further assessment and adjustments by Noble pending additional information sharing between the parties, more detailed third-party appraisals, natural changes in net assets acquired between the pro forma date used herein and the Closing Date, and other potential adjustments.</w:t>
      </w:r>
    </w:p>
    <w:p>
      <w:pPr>
        <w:spacing w:after="0" w:line="19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In October 2021, the FASB issued Accounting Standards Update (“ASU”) No. 2021-08, </w:t>
      </w:r>
      <w:r>
        <w:rPr>
          <w:rFonts w:ascii="Times New Roman" w:cs="Times New Roman" w:eastAsia="Times New Roman" w:hAnsi="Times New Roman"/>
          <w:sz w:val="18"/>
          <w:szCs w:val="18"/>
          <w:i w:val="1"/>
          <w:iCs w:val="1"/>
          <w:color w:val="auto"/>
        </w:rPr>
        <w:t>Business Combinations (Topic 805):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 Assets and Contract Liabilities from Contracts with Customers </w:t>
      </w:r>
      <w:r>
        <w:rPr>
          <w:rFonts w:ascii="Times New Roman" w:cs="Times New Roman" w:eastAsia="Times New Roman" w:hAnsi="Times New Roman"/>
          <w:sz w:val="18"/>
          <w:szCs w:val="18"/>
          <w:color w:val="auto"/>
        </w:rPr>
        <w:t>(“ASU 2021-08”). Upon the adoption of this update, contract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contract liabilities (i.e., deferred revenue) acquired in a business combination will be recognized and measured by the acquirer on the acquisition date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as if the acquirer had originated the contracts, which would generally result in an acquirer recognizing and measuring acquired contract assets and contract liabilities consistent with how they were recognized and measured in the acquiree’s financial statements. Noble adopted ASU 2021-08 on January 1, 2022, prior to the consummation of the Business Combination. Therefore, Maersk Drilling’s historical deferred revenue balance as of June 30, 2022 has been included in the preliminary purchase price allocation in accordance with ASU 2021-08 based on a preliminary assessment of the ASC 606 polices of Noble and Maersk Drilling made by Topco.</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preliminary allocation of the purchase price consideration is as follows: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529,712</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2,884,569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33,739</w:t>
            </w:r>
          </w:p>
        </w:tc>
      </w:tr>
      <w:tr>
        <w:trPr>
          <w:trHeight w:val="230"/>
        </w:trPr>
        <w:tc>
          <w:tcPr>
            <w:tcW w:w="20" w:type="dxa"/>
            <w:vAlign w:val="bottom"/>
          </w:tcPr>
          <w:p>
            <w:pPr>
              <w:spacing w:after="0"/>
              <w:rPr>
                <w:sz w:val="20"/>
                <w:szCs w:val="20"/>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 acquired</w:t>
            </w: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3,448,020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394,793</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628,314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22,102</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252,169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1,297,378</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assets acquired &amp; total preliminary purchase price consideration</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2,150,642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Compulsory Purchase</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set forth in the Business Combination Agreement, in the scenario in which more than 90% of shareholders of Maersk Drilling vote to accept the Offer, Topco will initiate and complete the acquisition of the Minority Shares of Maersk Drilling (the “Compulsory Purchase”). The Compulsory Purchase allows Topco to effectuate a 100% merger with Maersk Drilling if more than 90% of Maersk Drilling shareholders approve of the merger. In accordance with the Danish Companies Act, Topco has a legal right and obligation to enforce the Compulsory Purchase of any remaining shares of Maersk Drilling if 90% approval is achieved by Maersk Drilling shareholders.</w:t>
      </w:r>
    </w:p>
    <w:p>
      <w:pPr>
        <w:spacing w:after="0" w:line="183"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Acceptances representing more than 90% of the outstanding share capital and voting rights in Maersk Drilling were obtained by Topco in the Offer, thus Topco has exercised its rights under the Danish Companies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Act to conduct a Compulsory Purchase of the Maersk Drilling shares held by the remaining minority shareholders in Maersk Drilling. After close of the Business Combination, subject to the terms and conditions set forth in the Business Combination Agreement and in accordance with the Danish Companies Act, Topco will execute and effectuate the Compulsory Purchase. The consideration payable in respect of each minority share shall be equal in value to the Offer Consideration and paid net to the holder thereof in accordance with applicable law (i) either in cash or in Topco Shares (and cash in lieu of fractional Topco Shares, if any) at the election of each holder of minority shares which have responded during the mandatory notice period pursuant to sections 70-72 of the Danish Companies Act, and (ii) in cash only for any holder of Minority Shares who does not transfer their minority shares during the Squeeze-out Period.</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As of the date of this prospectus, management has performed a preliminary assessment of the accounting treatment for the Compulsory Purchase and acquisition of Minority Shares of Maersk Drilling. Based on this preliminary assessment, management has determined that the Compulsory Purchase is a mandatorily redeemable instrument and should be classified as a liability and measured at fair value in accordance with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Additionally, no noncontrolling interest will be recognized by Topco and no earnings will be allocated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noncontrolling interest. Thus, in effect, Topco will account for the Compulsory Purchase as a financing transaction and recognize 100% of Maersk Drilling’s assets and liabilities.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Pro Forma Financial Information reflects a liability of $186.1 million for the estimated fair value of the Compulsory Purchase. For pro forma purposes it is assumed that the Compulsory Purchase will be 100% settled in cash. If the Compulsory Purchase was assumed to be 100% settled in Topco Shares, the estimated liability would be approximately $216.6 million, which is estimated based on an average of the closing price per share of Noble Shares on the NYSE for the seven trailing days ended on September 21, 2022 (used as a proxy for the market price of the Topco Shares at the Closing Date), and would result in goodwill being recognized of $30.6 million. The final value of the Compulsory Purchase will be determined based on the market price of the Topco Shares at the Closing Date, the amount of Minority Shares settled in cash, and the amount of Minority Shares settled in Topco Shares. This will likely result in a difference from the preliminary fair value above and that difference may be material. Further, if the Compulsory Purchase was 100% settled in cash on the Closing Date, the pro forma cash balance would be approximately $500.9 million as of June 30, 2022. This preliminary fair value estimate is subject to change as additional information becomes available and as additional analysis is performed by management.</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3. Business Combination Transaction Accounting Adjustments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Business Combination transaction adjustments below are prepared based on the purchase price assumptions presented in Note 2, Business Combination with Maersk Drilling Merger and Estimated Purchase Consideration.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Condensed Combined Statement of Operations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(AA) Depreciation and amortization</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Reflects the removal of historical depreciation expense and the recording of the pro forma depreciation expense based on the estimated fair value of Maersk Drilling’s property and equipment upon the Business Combination. For pro forma purposes it is assumed that the Business Combination occurred on January 1, 2021. The pro forma adjustments to depreciation expense for the six months ended June 30, 2022 and for the twelve months ended December 31, 2021 were calculated as follows:</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0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Twelve Months</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ind w:right="11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Removal of historical depreciation expense</w:t>
            </w:r>
          </w:p>
        </w:tc>
        <w:tc>
          <w:tcPr>
            <w:tcW w:w="1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(203,331)</w:t>
            </w: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Pro forma depreciation expense</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72,769</w:t>
            </w: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145,078</w:t>
            </w:r>
          </w:p>
        </w:tc>
        <w:tc>
          <w:tcPr>
            <w:tcW w:w="0" w:type="dxa"/>
            <w:vAlign w:val="bottom"/>
          </w:tcPr>
          <w:p>
            <w:pPr>
              <w:spacing w:after="0"/>
              <w:rPr>
                <w:sz w:val="1"/>
                <w:szCs w:val="1"/>
                <w:color w:val="auto"/>
              </w:rPr>
            </w:pPr>
          </w:p>
        </w:tc>
      </w:tr>
      <w:tr>
        <w:trPr>
          <w:trHeight w:val="194"/>
        </w:trPr>
        <w:tc>
          <w:tcPr>
            <w:tcW w:w="3880" w:type="dxa"/>
            <w:vAlign w:val="bottom"/>
            <w:shd w:val="clear" w:color="auto" w:fill="CCEEFF"/>
          </w:tcPr>
          <w:p>
            <w:pPr>
              <w:ind w:left="360"/>
              <w:spacing w:after="0" w:line="194" w:lineRule="exact"/>
              <w:rPr>
                <w:sz w:val="20"/>
                <w:szCs w:val="20"/>
                <w:color w:val="auto"/>
              </w:rPr>
            </w:pPr>
            <w:r>
              <w:rPr>
                <w:rFonts w:ascii="Times New Roman" w:cs="Times New Roman" w:eastAsia="Times New Roman" w:hAnsi="Times New Roman"/>
                <w:sz w:val="18"/>
                <w:szCs w:val="18"/>
                <w:b w:val="1"/>
                <w:bCs w:val="1"/>
                <w:color w:val="auto"/>
              </w:rPr>
              <w:t>Pro forma adjustment for depreciation and</w:t>
            </w:r>
          </w:p>
        </w:tc>
        <w:tc>
          <w:tcPr>
            <w:tcW w:w="15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4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(130,562)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(287,648)</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50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Drilling equipment and facilities are depreciated using the straight-line method over their estimated useful lives as of the date placed in service or date of major refurbishment. Estimated useful lives of the acquired drilling equipment range from three to thirty years. Maersk Drilling’s other property and equipment is depreciated using the straight-line method over useful lives ranging from two to forty years.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(BB) Merger and integration costs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Reflects the recognition of the following items in the pro forma statement of operations for the twelve months ended December 31, 2021:</w:t>
      </w:r>
    </w:p>
    <w:p>
      <w:pPr>
        <w:spacing w:after="0" w:line="131" w:lineRule="exact"/>
        <w:rPr>
          <w:sz w:val="20"/>
          <w:szCs w:val="20"/>
          <w:color w:val="auto"/>
        </w:rPr>
      </w:pPr>
    </w:p>
    <w:p>
      <w:pPr>
        <w:ind w:left="1080" w:right="180" w:hanging="532"/>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estimated transaction costs to be incurred directly in connection with the Business Combination, consisting primarily of legal and professional fees. Approximately $12.4 million and $16.9 million of estimated transaction costs are expected to be incurred subsequent to June 30, 2022 by Noble and Maersk Drilling, respectively, and such costs are reflected in the pro forma statement of operations for the twelve months ended December 31, 2021.</w:t>
      </w:r>
    </w:p>
    <w:p>
      <w:pPr>
        <w:spacing w:after="0" w:line="71" w:lineRule="exact"/>
        <w:rPr>
          <w:rFonts w:ascii="Times New Roman" w:cs="Times New Roman" w:eastAsia="Times New Roman" w:hAnsi="Times New Roman"/>
          <w:sz w:val="18"/>
          <w:szCs w:val="18"/>
          <w:color w:val="auto"/>
        </w:rPr>
      </w:pPr>
    </w:p>
    <w:p>
      <w:pPr>
        <w:ind w:left="110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2022, $11.4 million and $6.0 million of transaction costs were incurred by Noble and Maersk Drilling, respectively. For the twelve months ended December 31, 2021, $8.3 million and $5.5 million of transaction costs, were incurred by Noble and Maersk Drilling, respectively. The costs above are not expected to recur any period beyond twelve months from the close of the Business Combination;</w:t>
      </w:r>
    </w:p>
    <w:p>
      <w:pPr>
        <w:spacing w:after="0" w:line="85" w:lineRule="exact"/>
        <w:rPr>
          <w:rFonts w:ascii="Times New Roman" w:cs="Times New Roman" w:eastAsia="Times New Roman" w:hAnsi="Times New Roman"/>
          <w:sz w:val="18"/>
          <w:szCs w:val="18"/>
          <w:color w:val="auto"/>
        </w:rPr>
      </w:pPr>
    </w:p>
    <w:p>
      <w:pPr>
        <w:jc w:val="both"/>
        <w:ind w:left="1080" w:right="220" w:hanging="532"/>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of $1.9 million due to the accelerated vesting of cash and equity settled Noble RSU Awards held by Noble’s non-employee directors in connection with the Business Combination. This cost is non-recurring and is not expected to have a continuing impact on the combined company’s operating results in future periods; and</w:t>
      </w:r>
    </w:p>
    <w:p>
      <w:pPr>
        <w:spacing w:after="0" w:line="81"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expense of $2.4 million related to the cash-based bonus expected to be paid to executive officers and certain other employees of Maersk Drilling upon completion of the Business Combination. This estimate is preliminary and subject to change based on statutory and other legal contingency matters. This cost is non-recurring and is not expected to have a continuing impact on the combined company’s operating results in future periods.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(CC) Weighted average shares outstanding and income per share</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the Business Combination is being reflected as if it had occurred at the beginning of the period presented, the calculation of weighted average shares outstanding for basic and diluted net income per share assumes that the shares issuable relating to the Business Combination have been outstanding for the entire period presented.</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40"/>
          </w:cols>
          <w:pgMar w:left="320" w:top="455" w:right="5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components of the numerator and denominator for the pro forma income per share calculation for the periods presented:</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70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00" w:type="dxa"/>
            <w:vAlign w:val="bottom"/>
          </w:tcPr>
          <w:p>
            <w:pPr>
              <w:spacing w:after="0"/>
              <w:rPr>
                <w:sz w:val="13"/>
                <w:szCs w:val="13"/>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Twelve Months</w:t>
            </w: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10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6"/>
        </w:trPr>
        <w:tc>
          <w:tcPr>
            <w:tcW w:w="5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Topco</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(196,950)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504,810</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Basic shares: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Topco shares converted from Noble shares</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62,259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60,152</w:t>
            </w: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Topco shares converted from Noble Penny Warrants</w:t>
            </w:r>
          </w:p>
        </w:tc>
        <w:tc>
          <w:tcPr>
            <w:tcW w:w="140" w:type="dxa"/>
            <w:vAlign w:val="bottom"/>
          </w:tcPr>
          <w:p>
            <w:pPr>
              <w:spacing w:after="0"/>
              <w:rPr>
                <w:sz w:val="18"/>
                <w:szCs w:val="18"/>
                <w:color w:val="auto"/>
              </w:rPr>
            </w:pPr>
          </w:p>
        </w:tc>
        <w:tc>
          <w:tcPr>
            <w:tcW w:w="15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6,463</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6,463</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Topco shares converted from vested Noble RSUs</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Topco shares converted from Maersk Drilling shares</w:t>
            </w:r>
          </w:p>
        </w:tc>
        <w:tc>
          <w:tcPr>
            <w:tcW w:w="140" w:type="dxa"/>
            <w:vAlign w:val="bottom"/>
          </w:tcPr>
          <w:p>
            <w:pPr>
              <w:spacing w:after="0"/>
              <w:rPr>
                <w:sz w:val="18"/>
                <w:szCs w:val="18"/>
                <w:color w:val="auto"/>
              </w:rPr>
            </w:pPr>
          </w:p>
        </w:tc>
        <w:tc>
          <w:tcPr>
            <w:tcW w:w="15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60,075</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60,075</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weighted average shares outstanding, basic</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128,886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126,779</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shares: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 average shares outstanding, basic</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128,886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126,779</w:t>
            </w:r>
          </w:p>
        </w:tc>
        <w:tc>
          <w:tcPr>
            <w:tcW w:w="0" w:type="dxa"/>
            <w:vAlign w:val="bottom"/>
          </w:tcPr>
          <w:p>
            <w:pPr>
              <w:spacing w:after="0"/>
              <w:rPr>
                <w:sz w:val="1"/>
                <w:szCs w:val="1"/>
                <w:color w:val="auto"/>
              </w:rPr>
            </w:pPr>
          </w:p>
        </w:tc>
      </w:tr>
      <w:tr>
        <w:trPr>
          <w:trHeight w:val="198"/>
        </w:trPr>
        <w:tc>
          <w:tcPr>
            <w:tcW w:w="54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Dilutive effect of Topco shares convertible from Noble</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in-the-money warrants</w:t>
            </w:r>
          </w:p>
        </w:tc>
        <w:tc>
          <w:tcPr>
            <w:tcW w:w="140" w:type="dxa"/>
            <w:vAlign w:val="bottom"/>
          </w:tcPr>
          <w:p>
            <w:pPr>
              <w:spacing w:after="0"/>
              <w:rPr>
                <w:sz w:val="20"/>
                <w:szCs w:val="20"/>
                <w:color w:val="auto"/>
              </w:rPr>
            </w:pPr>
          </w:p>
        </w:tc>
        <w:tc>
          <w:tcPr>
            <w:tcW w:w="15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198"/>
        </w:trPr>
        <w:tc>
          <w:tcPr>
            <w:tcW w:w="54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Dilutive effect of Topco shares convertible from unvested</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Noble RSU Awards</w:t>
            </w:r>
          </w:p>
        </w:tc>
        <w:tc>
          <w:tcPr>
            <w:tcW w:w="1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3,180</w:t>
            </w:r>
          </w:p>
        </w:tc>
        <w:tc>
          <w:tcPr>
            <w:tcW w:w="0" w:type="dxa"/>
            <w:vAlign w:val="bottom"/>
          </w:tcPr>
          <w:p>
            <w:pPr>
              <w:spacing w:after="0"/>
              <w:rPr>
                <w:sz w:val="1"/>
                <w:szCs w:val="1"/>
                <w:color w:val="auto"/>
              </w:rPr>
            </w:pPr>
          </w:p>
        </w:tc>
      </w:tr>
      <w:tr>
        <w:trPr>
          <w:trHeight w:val="198"/>
        </w:trPr>
        <w:tc>
          <w:tcPr>
            <w:tcW w:w="54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Dilutive effect of Topco shares convertible from unvested</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Maersk Drilling RSU Awards</w:t>
            </w: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weighted average shares outstanding, diluted(1)</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128,886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131,700</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share attributable to Topco, basic</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attributable to Topco, diluted</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240" w:hanging="424"/>
        <w:spacing w:after="0" w:line="261"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2022 the diluted pro forma share count excludes the potentially dilutive effect of Topco warrants or Topco Shares convertible from the following instruments because they are anti-dilutive due to the pro forma net loss position: 14,652 Noble warrants, 3,378 unvested Noble RSU Awards, and 478 Maersk Drilling RSU Awards. For the twelve months ended December 31, 2021 the diluted pro forma share count excludes the potentially dilutive effect of Topco warrants convertible from 11,097 out-of-the-money Noble warrants.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(DD) Interest expense</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Reflects the elimination of Maersk Drilling’s historical amortization of deferred financing costs as a result of the elimination of deferred financing costs upon applying purchase accounting. No amortization of deferred financing costs would have been recorded during the six months ended June 30, 2022 and the twelve months ended December 31, 2021 had the Business Combination occurred on January 1, 2021.</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(EE) Taxes</w:t>
      </w:r>
    </w:p>
    <w:p>
      <w:pPr>
        <w:spacing w:after="0" w:line="119"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Reflects the pro forma adjustments to penalties and interest for tax contingencies booked as income tax benefit (provision) or contract drilling services expense as a result of the Business Combination. The income tax benefit (provision) impact was calculated by applying the appropriate statutory tax rates of the respective tax jurisdictions to which the pro forma adjustments relate.</w:t>
      </w:r>
    </w:p>
    <w:p>
      <w:pPr>
        <w:spacing w:after="0" w:line="280" w:lineRule="exact"/>
        <w:rPr>
          <w:sz w:val="20"/>
          <w:szCs w:val="20"/>
          <w:color w:val="auto"/>
        </w:rPr>
      </w:pPr>
    </w:p>
    <w:p>
      <w:pPr>
        <w:jc w:val="center"/>
        <w:ind w:right="7720"/>
        <w:spacing w:after="0"/>
        <w:rPr>
          <w:sz w:val="20"/>
          <w:szCs w:val="20"/>
          <w:color w:val="auto"/>
        </w:rPr>
      </w:pPr>
      <w:r>
        <w:rPr>
          <w:rFonts w:ascii="Times New Roman" w:cs="Times New Roman" w:eastAsia="Times New Roman" w:hAnsi="Times New Roman"/>
          <w:sz w:val="18"/>
          <w:szCs w:val="18"/>
          <w:b w:val="1"/>
          <w:bCs w:val="1"/>
          <w:i w:val="1"/>
          <w:iCs w:val="1"/>
          <w:color w:val="auto"/>
        </w:rPr>
        <w:t>Condensed Combined Balance Sheet</w:t>
      </w:r>
    </w:p>
    <w:p>
      <w:pPr>
        <w:spacing w:after="0" w:line="119" w:lineRule="exact"/>
        <w:rPr>
          <w:sz w:val="20"/>
          <w:szCs w:val="20"/>
          <w:color w:val="auto"/>
        </w:rPr>
      </w:pPr>
    </w:p>
    <w:p>
      <w:pPr>
        <w:jc w:val="center"/>
        <w:ind w:right="7700"/>
        <w:spacing w:after="0"/>
        <w:rPr>
          <w:sz w:val="20"/>
          <w:szCs w:val="20"/>
          <w:color w:val="auto"/>
        </w:rPr>
      </w:pPr>
      <w:r>
        <w:rPr>
          <w:rFonts w:ascii="Times New Roman" w:cs="Times New Roman" w:eastAsia="Times New Roman" w:hAnsi="Times New Roman"/>
          <w:sz w:val="18"/>
          <w:szCs w:val="18"/>
          <w:i w:val="1"/>
          <w:iCs w:val="1"/>
          <w:color w:val="auto"/>
        </w:rPr>
        <w:t>(FF) Cash and cash equivalents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Adjustment reflects (i) payment of estimated cash consideration of $1.7 million, (ii) the payment of estimated transaction costs of $29.3 million for legal, professional and success fees incurred subsequent to June 30, 2022 by Noble and Maersk Drilling related to the Business Combination, (iii) the payment of total accrued transaction costs of $10.7 million as of June 30, 2022 for legal, professional and success fees incurred by Noble and Maersk Drilling in connection with the Business Combination, (iv) the payment of $0.8 million to Noble’s non-employee directors due to the accelerated vesting of cash settled Noble RSU Awards in connection with the Business Combination, and (v) the payment of estimated cash-based bonus of $6.6 million paid to executive officers and certain other employees of Maersk Drilling upon completion of the Business Combination.</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(GG) Deferred costs</w:t>
      </w:r>
    </w:p>
    <w:p>
      <w:pPr>
        <w:spacing w:after="0" w:line="119" w:lineRule="exact"/>
        <w:rPr>
          <w:sz w:val="20"/>
          <w:szCs w:val="20"/>
          <w:color w:val="auto"/>
        </w:rPr>
      </w:pPr>
    </w:p>
    <w:p>
      <w:pPr>
        <w:ind w:left="120" w:right="680" w:firstLine="440"/>
        <w:spacing w:after="0" w:line="266" w:lineRule="auto"/>
        <w:rPr>
          <w:sz w:val="20"/>
          <w:szCs w:val="20"/>
          <w:color w:val="auto"/>
        </w:rPr>
      </w:pPr>
      <w:r>
        <w:rPr>
          <w:rFonts w:ascii="Times New Roman" w:cs="Times New Roman" w:eastAsia="Times New Roman" w:hAnsi="Times New Roman"/>
          <w:sz w:val="18"/>
          <w:szCs w:val="18"/>
          <w:color w:val="auto"/>
        </w:rPr>
        <w:t>Represents the elimination of Maersk Drilling’s balances related to deferred costs on drilling contracts for items such as mobilization and precontract costs as a result of applying purchase accounting on a pro forma basis. These deferred costs are written off as there are no further performance obligations related to these costs.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(HH) Property and equipment, net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Represents the preliminary fair value adjustments to property and equipment to reduce the pro forma adjusted historical net book value, on a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GAAP basis, of Maersk Drilling’s floaters, jackup rigs and related equipment to fair value.</w:t>
      </w:r>
    </w:p>
    <w:p>
      <w:pPr>
        <w:spacing w:after="0" w:line="3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(II) Other assets</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Represents the elimination of Maersk Drilling’s balances within Other assets of $269.0 million related to deferred regulatory inspection costs incurred for Maersk Drilling rig inspections as a result of applying purchase accounting on a pro forma basis. These deferred regulatory inspection costs are written off as there are no further performance obligations related to these costs.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(JJ) Taxes</w:t>
      </w:r>
    </w:p>
    <w:p>
      <w:pPr>
        <w:spacing w:after="0" w:line="119"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Reflects the pro forma adjustments to tax contingencies and income tax related accounts on the balance sheet as a result of the Business Combination.</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(KK) Compulsory Purchase liability</w:t>
      </w:r>
    </w:p>
    <w:p>
      <w:pPr>
        <w:spacing w:after="0" w:line="11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Reflects the pro forma adjustment to recognize the Compulsory Purchase liability. See Note 2, Business Combination with Maersk Drilling Merger and Estimated Purchase Consideration—Compulsory Purchase.</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(LL) Accounts payable</w:t>
      </w:r>
    </w:p>
    <w:p>
      <w:pPr>
        <w:spacing w:after="0" w:line="11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Adjustment reflects (i) the payment of accrued cash-based bonuses of $4.2 million paid to executive officers and certain other employees of Maersk Drilling upon completion of the Business Combination, and (ii) the payment of total accrued transaction costs of $10.7 million as of June 30, 2022 for legal, professional and success fees incurred by Noble and Maersk Drilling in connection with the Business Combination.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(MM) Long-term debt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Represents the elimination of Maersk Drilling’s unamortized deferred financing costs as a result of applying purchase accounting on a pro forma</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basis.</w:t>
      </w:r>
    </w:p>
    <w:p>
      <w:pPr>
        <w:spacing w:after="0" w:line="3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(NN) Equity</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adjustments were made to equity captions based on the Business Combination transaction:</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Add: Topco converted shares (at par of $0.00001)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(62,519)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adjustment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(62,519)</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Topco shares issued (less par value) to acquire Maersk Drilling</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1,955,440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Fair value of replacement Maersk Drilling RSU Awards attributable to the</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price</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7,397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Unrecognized compensation costs for vested equity settled Noble</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non-employee director RSUs</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adjustment</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1,963,928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Remove Maersk Drilling balance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(4,704,665)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Subtract: Estimated transaction costs for Business Combination. See adjustment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(BB)</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(29,748)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Subtract: Unrecognized compensation costs for vested cash settled Noble</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non-employee director RSUs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Subtract: Estimated Maersk Drilling cash-based transaction bonus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(2,383)</w:t>
            </w: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adjustment</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(4,738,698)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Remove Maersk Drilling balance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adjustment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6,456</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jc w:val="right"/>
              <w:ind w:right="2170"/>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55" w:right="6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4. Reclassification of Maersk Drilling’s Historical Financial Statement Presentation</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following reclassifications were made as a result of the Business Combination to conform Maersk Drilling’s historical financial information to Noble’s presentation:</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 of Operations for the Six Months Ended June 30, 2022</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Maersk Drilling</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Maersk Drilling</w:t>
            </w:r>
          </w:p>
        </w:tc>
        <w:tc>
          <w:tcPr>
            <w:tcW w:w="0" w:type="dxa"/>
            <w:vAlign w:val="bottom"/>
          </w:tcPr>
          <w:p>
            <w:pPr>
              <w:spacing w:after="0"/>
              <w:rPr>
                <w:sz w:val="1"/>
                <w:szCs w:val="1"/>
                <w:color w:val="auto"/>
              </w:rPr>
            </w:pPr>
          </w:p>
        </w:tc>
      </w:tr>
      <w:tr>
        <w:trPr>
          <w:trHeight w:val="148"/>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Statement Line Item</w:t>
            </w:r>
          </w:p>
        </w:tc>
        <w:tc>
          <w:tcPr>
            <w:tcW w:w="3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0" w:type="dxa"/>
            <w:vAlign w:val="bottom"/>
          </w:tcPr>
          <w:p>
            <w:pPr>
              <w:spacing w:after="0"/>
              <w:rPr>
                <w:sz w:val="1"/>
                <w:szCs w:val="1"/>
                <w:color w:val="auto"/>
              </w:rPr>
            </w:pPr>
          </w:p>
        </w:tc>
      </w:tr>
      <w:tr>
        <w:trPr>
          <w:trHeight w:val="180"/>
        </w:trPr>
        <w:tc>
          <w:tcPr>
            <w:tcW w:w="4280" w:type="dxa"/>
            <w:vAlign w:val="bottom"/>
            <w:gridSpan w:val="2"/>
            <w:vMerge w:val="continue"/>
          </w:tcPr>
          <w:p>
            <w:pPr>
              <w:spacing w:after="0"/>
              <w:rPr>
                <w:sz w:val="15"/>
                <w:szCs w:val="15"/>
                <w:color w:val="auto"/>
              </w:rPr>
            </w:pPr>
          </w:p>
        </w:tc>
        <w:tc>
          <w:tcPr>
            <w:tcW w:w="3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center"/>
              <w:ind w:right="900"/>
              <w:spacing w:after="0" w:line="160" w:lineRule="exact"/>
              <w:rPr>
                <w:sz w:val="20"/>
                <w:szCs w:val="20"/>
                <w:color w:val="auto"/>
              </w:rPr>
            </w:pPr>
            <w:r>
              <w:rPr>
                <w:rFonts w:ascii="Times New Roman" w:cs="Times New Roman" w:eastAsia="Times New Roman" w:hAnsi="Times New Roman"/>
                <w:sz w:val="14"/>
                <w:szCs w:val="14"/>
                <w:b w:val="1"/>
                <w:bCs w:val="1"/>
                <w:color w:val="auto"/>
              </w:rPr>
              <w:t>Presentation</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as Presented</w:t>
            </w:r>
          </w:p>
        </w:tc>
        <w:tc>
          <w:tcPr>
            <w:tcW w:w="0" w:type="dxa"/>
            <w:vAlign w:val="bottom"/>
          </w:tcPr>
          <w:p>
            <w:pPr>
              <w:spacing w:after="0"/>
              <w:rPr>
                <w:sz w:val="1"/>
                <w:szCs w:val="1"/>
                <w:color w:val="auto"/>
              </w:rPr>
            </w:pPr>
          </w:p>
        </w:tc>
      </w:tr>
      <w:tr>
        <w:trPr>
          <w:trHeight w:val="185"/>
        </w:trPr>
        <w:tc>
          <w:tcPr>
            <w:tcW w:w="18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Revenue</w:t>
            </w:r>
          </w:p>
        </w:tc>
        <w:tc>
          <w:tcPr>
            <w:tcW w:w="2400" w:type="dxa"/>
            <w:vAlign w:val="bottom"/>
          </w:tcPr>
          <w:p>
            <w:pPr>
              <w:spacing w:after="0"/>
              <w:rPr>
                <w:sz w:val="16"/>
                <w:szCs w:val="16"/>
                <w:color w:val="auto"/>
              </w:rPr>
            </w:pPr>
          </w:p>
        </w:tc>
        <w:tc>
          <w:tcPr>
            <w:tcW w:w="3820" w:type="dxa"/>
            <w:vAlign w:val="bottom"/>
            <w:gridSpan w:val="2"/>
          </w:tcPr>
          <w:p>
            <w:pPr>
              <w:spacing w:after="0"/>
              <w:rPr>
                <w:sz w:val="16"/>
                <w:szCs w:val="16"/>
                <w:color w:val="auto"/>
              </w:rPr>
            </w:pPr>
          </w:p>
        </w:tc>
        <w:tc>
          <w:tcPr>
            <w:tcW w:w="12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532,478</w:t>
            </w:r>
          </w:p>
        </w:tc>
        <w:tc>
          <w:tcPr>
            <w:tcW w:w="800" w:type="dxa"/>
            <w:vAlign w:val="bottom"/>
          </w:tcPr>
          <w:p>
            <w:pPr>
              <w:spacing w:after="0"/>
              <w:rPr>
                <w:sz w:val="16"/>
                <w:szCs w:val="16"/>
                <w:color w:val="auto"/>
              </w:rPr>
            </w:pPr>
          </w:p>
        </w:tc>
        <w:tc>
          <w:tcPr>
            <w:tcW w:w="10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ind w:left="640"/>
              <w:spacing w:after="0" w:line="185"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Reimbursables and other</w:t>
            </w:r>
          </w:p>
        </w:tc>
        <w:tc>
          <w:tcPr>
            <w:tcW w:w="3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12,298</w:t>
            </w:r>
          </w:p>
        </w:tc>
        <w:tc>
          <w:tcPr>
            <w:tcW w:w="0" w:type="dxa"/>
            <w:vAlign w:val="bottom"/>
          </w:tcPr>
          <w:p>
            <w:pPr>
              <w:spacing w:after="0"/>
              <w:rPr>
                <w:sz w:val="1"/>
                <w:szCs w:val="1"/>
                <w:color w:val="auto"/>
              </w:rPr>
            </w:pP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drilling services (revenue)</w:t>
            </w:r>
          </w:p>
        </w:tc>
        <w:tc>
          <w:tcPr>
            <w:tcW w:w="3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520,180</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(437,031)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drilling services (expense)</w:t>
            </w:r>
          </w:p>
        </w:tc>
        <w:tc>
          <w:tcPr>
            <w:tcW w:w="3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391,634</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38,621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Reimbursables</w:t>
            </w:r>
          </w:p>
        </w:tc>
        <w:tc>
          <w:tcPr>
            <w:tcW w:w="3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6,776</w:t>
            </w:r>
          </w:p>
        </w:tc>
        <w:tc>
          <w:tcPr>
            <w:tcW w:w="0" w:type="dxa"/>
            <w:vAlign w:val="bottom"/>
          </w:tcPr>
          <w:p>
            <w:pPr>
              <w:spacing w:after="0"/>
              <w:rPr>
                <w:sz w:val="1"/>
                <w:szCs w:val="1"/>
                <w:color w:val="auto"/>
              </w:rPr>
            </w:pPr>
          </w:p>
        </w:tc>
      </w:tr>
      <w:tr>
        <w:trPr>
          <w:trHeight w:val="198"/>
        </w:trPr>
        <w:tc>
          <w:tcPr>
            <w:tcW w:w="4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Special items</w:t>
            </w:r>
          </w:p>
        </w:tc>
        <w:tc>
          <w:tcPr>
            <w:tcW w:w="3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right"/>
              <w:ind w:right="740"/>
              <w:spacing w:after="0" w:line="198" w:lineRule="exact"/>
              <w:rPr>
                <w:sz w:val="20"/>
                <w:szCs w:val="20"/>
                <w:color w:val="auto"/>
              </w:rPr>
            </w:pPr>
            <w:r>
              <w:rPr>
                <w:rFonts w:ascii="Times New Roman" w:cs="Times New Roman" w:eastAsia="Times New Roman" w:hAnsi="Times New Roman"/>
                <w:sz w:val="18"/>
                <w:szCs w:val="18"/>
                <w:color w:val="auto"/>
              </w:rPr>
              <w:t>(11,150)</w:t>
            </w:r>
          </w:p>
        </w:tc>
        <w:tc>
          <w:tcPr>
            <w:tcW w:w="100" w:type="dxa"/>
            <w:vAlign w:val="bottom"/>
          </w:tcPr>
          <w:p>
            <w:pPr>
              <w:spacing w:after="0"/>
              <w:rPr>
                <w:sz w:val="17"/>
                <w:szCs w:val="17"/>
                <w:color w:val="auto"/>
              </w:rPr>
            </w:pPr>
          </w:p>
        </w:tc>
        <w:tc>
          <w:tcPr>
            <w:tcW w:w="1020" w:type="dxa"/>
            <w:vAlign w:val="bottom"/>
            <w:gridSpan w:val="2"/>
          </w:tcPr>
          <w:p>
            <w:pPr>
              <w:ind w:left="6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items</w:t>
            </w:r>
          </w:p>
        </w:tc>
        <w:tc>
          <w:tcPr>
            <w:tcW w:w="3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11,150</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(97,831)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97,831</w:t>
            </w:r>
          </w:p>
        </w:tc>
        <w:tc>
          <w:tcPr>
            <w:tcW w:w="0" w:type="dxa"/>
            <w:vAlign w:val="bottom"/>
          </w:tcPr>
          <w:p>
            <w:pPr>
              <w:spacing w:after="0"/>
              <w:rPr>
                <w:sz w:val="1"/>
                <w:szCs w:val="1"/>
                <w:color w:val="auto"/>
              </w:rPr>
            </w:pPr>
          </w:p>
        </w:tc>
      </w:tr>
      <w:tr>
        <w:trPr>
          <w:trHeight w:val="198"/>
        </w:trPr>
        <w:tc>
          <w:tcPr>
            <w:tcW w:w="4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Impairment reversals (losses), net</w:t>
            </w:r>
          </w:p>
        </w:tc>
        <w:tc>
          <w:tcPr>
            <w:tcW w:w="3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right"/>
              <w:ind w:right="740"/>
              <w:spacing w:after="0" w:line="198" w:lineRule="exact"/>
              <w:rPr>
                <w:sz w:val="20"/>
                <w:szCs w:val="20"/>
                <w:color w:val="auto"/>
              </w:rPr>
            </w:pPr>
            <w:r>
              <w:rPr>
                <w:rFonts w:ascii="Times New Roman" w:cs="Times New Roman" w:eastAsia="Times New Roman" w:hAnsi="Times New Roman"/>
                <w:sz w:val="18"/>
                <w:szCs w:val="18"/>
                <w:color w:val="auto"/>
              </w:rPr>
              <w:t>(117,956)</w:t>
            </w:r>
          </w:p>
        </w:tc>
        <w:tc>
          <w:tcPr>
            <w:tcW w:w="100" w:type="dxa"/>
            <w:vAlign w:val="bottom"/>
          </w:tcPr>
          <w:p>
            <w:pPr>
              <w:spacing w:after="0"/>
              <w:rPr>
                <w:sz w:val="17"/>
                <w:szCs w:val="17"/>
                <w:color w:val="auto"/>
              </w:rPr>
            </w:pPr>
          </w:p>
        </w:tc>
        <w:tc>
          <w:tcPr>
            <w:tcW w:w="1020" w:type="dxa"/>
            <w:vAlign w:val="bottom"/>
            <w:gridSpan w:val="2"/>
          </w:tcPr>
          <w:p>
            <w:pPr>
              <w:ind w:left="6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impairment</w:t>
            </w:r>
          </w:p>
        </w:tc>
        <w:tc>
          <w:tcPr>
            <w:tcW w:w="3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117,956</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Gain/(loss) on sale of non-current assets</w:t>
            </w:r>
          </w:p>
        </w:tc>
        <w:tc>
          <w:tcPr>
            <w:tcW w:w="3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operating assets, net</w:t>
            </w:r>
          </w:p>
        </w:tc>
        <w:tc>
          <w:tcPr>
            <w:tcW w:w="3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8"/>
        </w:trPr>
        <w:tc>
          <w:tcPr>
            <w:tcW w:w="4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 of results in joint ventures</w:t>
            </w:r>
          </w:p>
        </w:tc>
        <w:tc>
          <w:tcPr>
            <w:tcW w:w="3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right"/>
              <w:ind w:right="740"/>
              <w:spacing w:after="0" w:line="198" w:lineRule="exact"/>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7"/>
                <w:szCs w:val="17"/>
                <w:color w:val="auto"/>
              </w:rPr>
            </w:pPr>
          </w:p>
        </w:tc>
        <w:tc>
          <w:tcPr>
            <w:tcW w:w="1020" w:type="dxa"/>
            <w:vAlign w:val="bottom"/>
            <w:gridSpan w:val="2"/>
          </w:tcPr>
          <w:p>
            <w:pPr>
              <w:ind w:left="6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3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expenses, net</w:t>
            </w:r>
          </w:p>
        </w:tc>
        <w:tc>
          <w:tcPr>
            <w:tcW w:w="3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(28,240)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3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(18,081)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3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(9,535)</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198"/>
        </w:trPr>
        <w:tc>
          <w:tcPr>
            <w:tcW w:w="4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Tax</w:t>
            </w:r>
          </w:p>
        </w:tc>
        <w:tc>
          <w:tcPr>
            <w:tcW w:w="3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right"/>
              <w:ind w:right="740"/>
              <w:spacing w:after="0" w:line="198" w:lineRule="exact"/>
              <w:rPr>
                <w:sz w:val="20"/>
                <w:szCs w:val="20"/>
                <w:color w:val="auto"/>
              </w:rPr>
            </w:pPr>
            <w:r>
              <w:rPr>
                <w:rFonts w:ascii="Times New Roman" w:cs="Times New Roman" w:eastAsia="Times New Roman" w:hAnsi="Times New Roman"/>
                <w:sz w:val="18"/>
                <w:szCs w:val="18"/>
                <w:color w:val="auto"/>
              </w:rPr>
              <w:t>(11,772)</w:t>
            </w:r>
          </w:p>
        </w:tc>
        <w:tc>
          <w:tcPr>
            <w:tcW w:w="100" w:type="dxa"/>
            <w:vAlign w:val="bottom"/>
          </w:tcPr>
          <w:p>
            <w:pPr>
              <w:spacing w:after="0"/>
              <w:rPr>
                <w:sz w:val="17"/>
                <w:szCs w:val="17"/>
                <w:color w:val="auto"/>
              </w:rPr>
            </w:pPr>
          </w:p>
        </w:tc>
        <w:tc>
          <w:tcPr>
            <w:tcW w:w="1020" w:type="dxa"/>
            <w:vAlign w:val="bottom"/>
            <w:gridSpan w:val="2"/>
          </w:tcPr>
          <w:p>
            <w:pPr>
              <w:ind w:left="6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(11,772)</w:t>
            </w:r>
          </w:p>
        </w:tc>
        <w:tc>
          <w:tcPr>
            <w:tcW w:w="0" w:type="dxa"/>
            <w:vAlign w:val="bottom"/>
          </w:tcPr>
          <w:p>
            <w:pPr>
              <w:spacing w:after="0"/>
              <w:rPr>
                <w:sz w:val="1"/>
                <w:szCs w:val="1"/>
                <w:color w:val="auto"/>
              </w:rPr>
            </w:pPr>
          </w:p>
        </w:tc>
      </w:tr>
      <w:tr>
        <w:trPr>
          <w:trHeight w:val="372"/>
        </w:trPr>
        <w:tc>
          <w:tcPr>
            <w:tcW w:w="18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14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24</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 of Operations for the Twelve Months Ended December 31, 2021</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Maersk Drilling</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Maersk Drilling</w:t>
            </w:r>
          </w:p>
        </w:tc>
        <w:tc>
          <w:tcPr>
            <w:tcW w:w="0" w:type="dxa"/>
            <w:vAlign w:val="bottom"/>
          </w:tcPr>
          <w:p>
            <w:pPr>
              <w:spacing w:after="0"/>
              <w:rPr>
                <w:sz w:val="1"/>
                <w:szCs w:val="1"/>
                <w:color w:val="auto"/>
              </w:rPr>
            </w:pPr>
          </w:p>
        </w:tc>
      </w:tr>
      <w:tr>
        <w:trPr>
          <w:trHeight w:val="149"/>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Statement Line Item</w:t>
            </w:r>
          </w:p>
        </w:tc>
        <w:tc>
          <w:tcPr>
            <w:tcW w:w="3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0" w:type="dxa"/>
            <w:vAlign w:val="bottom"/>
          </w:tcPr>
          <w:p>
            <w:pPr>
              <w:spacing w:after="0"/>
              <w:rPr>
                <w:sz w:val="1"/>
                <w:szCs w:val="1"/>
                <w:color w:val="auto"/>
              </w:rPr>
            </w:pPr>
          </w:p>
        </w:tc>
      </w:tr>
      <w:tr>
        <w:trPr>
          <w:trHeight w:val="180"/>
        </w:trPr>
        <w:tc>
          <w:tcPr>
            <w:tcW w:w="4280" w:type="dxa"/>
            <w:vAlign w:val="bottom"/>
            <w:gridSpan w:val="2"/>
            <w:vMerge w:val="continue"/>
          </w:tcPr>
          <w:p>
            <w:pPr>
              <w:spacing w:after="0"/>
              <w:rPr>
                <w:sz w:val="15"/>
                <w:szCs w:val="15"/>
                <w:color w:val="auto"/>
              </w:rPr>
            </w:pPr>
          </w:p>
        </w:tc>
        <w:tc>
          <w:tcPr>
            <w:tcW w:w="3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gridSpan w:val="2"/>
          </w:tcPr>
          <w:p>
            <w:pPr>
              <w:jc w:val="center"/>
              <w:ind w:right="780"/>
              <w:spacing w:after="0" w:line="160" w:lineRule="exact"/>
              <w:rPr>
                <w:sz w:val="20"/>
                <w:szCs w:val="20"/>
                <w:color w:val="auto"/>
              </w:rPr>
            </w:pPr>
            <w:r>
              <w:rPr>
                <w:rFonts w:ascii="Times New Roman" w:cs="Times New Roman" w:eastAsia="Times New Roman" w:hAnsi="Times New Roman"/>
                <w:sz w:val="14"/>
                <w:szCs w:val="14"/>
                <w:b w:val="1"/>
                <w:bCs w:val="1"/>
                <w:color w:val="auto"/>
              </w:rPr>
              <w:t>Presentation</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as Presented</w:t>
            </w:r>
          </w:p>
        </w:tc>
        <w:tc>
          <w:tcPr>
            <w:tcW w:w="0" w:type="dxa"/>
            <w:vAlign w:val="bottom"/>
          </w:tcPr>
          <w:p>
            <w:pPr>
              <w:spacing w:after="0"/>
              <w:rPr>
                <w:sz w:val="1"/>
                <w:szCs w:val="1"/>
                <w:color w:val="auto"/>
              </w:rPr>
            </w:pPr>
          </w:p>
        </w:tc>
      </w:tr>
      <w:tr>
        <w:trPr>
          <w:trHeight w:val="185"/>
        </w:trPr>
        <w:tc>
          <w:tcPr>
            <w:tcW w:w="18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Revenue</w:t>
            </w:r>
          </w:p>
        </w:tc>
        <w:tc>
          <w:tcPr>
            <w:tcW w:w="2400" w:type="dxa"/>
            <w:vAlign w:val="bottom"/>
          </w:tcPr>
          <w:p>
            <w:pPr>
              <w:spacing w:after="0"/>
              <w:rPr>
                <w:sz w:val="16"/>
                <w:szCs w:val="16"/>
                <w:color w:val="auto"/>
              </w:rPr>
            </w:pPr>
          </w:p>
        </w:tc>
        <w:tc>
          <w:tcPr>
            <w:tcW w:w="3820" w:type="dxa"/>
            <w:vAlign w:val="bottom"/>
            <w:gridSpan w:val="2"/>
          </w:tcPr>
          <w:p>
            <w:pPr>
              <w:spacing w:after="0"/>
              <w:rPr>
                <w:sz w:val="16"/>
                <w:szCs w:val="16"/>
                <w:color w:val="auto"/>
              </w:rPr>
            </w:pPr>
          </w:p>
        </w:tc>
        <w:tc>
          <w:tcPr>
            <w:tcW w:w="10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  1,267,136</w:t>
            </w:r>
          </w:p>
        </w:tc>
        <w:tc>
          <w:tcPr>
            <w:tcW w:w="800" w:type="dxa"/>
            <w:vAlign w:val="bottom"/>
          </w:tcPr>
          <w:p>
            <w:pPr>
              <w:spacing w:after="0"/>
              <w:rPr>
                <w:sz w:val="16"/>
                <w:szCs w:val="16"/>
                <w:color w:val="auto"/>
              </w:rPr>
            </w:pPr>
          </w:p>
        </w:tc>
        <w:tc>
          <w:tcPr>
            <w:tcW w:w="10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ind w:left="640"/>
              <w:spacing w:after="0" w:line="185"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Reimbursables and other</w:t>
            </w:r>
          </w:p>
        </w:tc>
        <w:tc>
          <w:tcPr>
            <w:tcW w:w="3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34,739</w:t>
            </w:r>
          </w:p>
        </w:tc>
        <w:tc>
          <w:tcPr>
            <w:tcW w:w="0" w:type="dxa"/>
            <w:vAlign w:val="bottom"/>
          </w:tcPr>
          <w:p>
            <w:pPr>
              <w:spacing w:after="0"/>
              <w:rPr>
                <w:sz w:val="1"/>
                <w:szCs w:val="1"/>
                <w:color w:val="auto"/>
              </w:rPr>
            </w:pP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drilling services (revenue)</w:t>
            </w:r>
          </w:p>
        </w:tc>
        <w:tc>
          <w:tcPr>
            <w:tcW w:w="3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1,232,397</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12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(920,945)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drilling services (expense)</w:t>
            </w:r>
          </w:p>
        </w:tc>
        <w:tc>
          <w:tcPr>
            <w:tcW w:w="3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818,295</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84,946</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Reimbursables</w:t>
            </w:r>
          </w:p>
        </w:tc>
        <w:tc>
          <w:tcPr>
            <w:tcW w:w="3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17,704</w:t>
            </w:r>
          </w:p>
        </w:tc>
        <w:tc>
          <w:tcPr>
            <w:tcW w:w="0" w:type="dxa"/>
            <w:vAlign w:val="bottom"/>
          </w:tcPr>
          <w:p>
            <w:pPr>
              <w:spacing w:after="0"/>
              <w:rPr>
                <w:sz w:val="1"/>
                <w:szCs w:val="1"/>
                <w:color w:val="auto"/>
              </w:rPr>
            </w:pPr>
          </w:p>
        </w:tc>
      </w:tr>
      <w:tr>
        <w:trPr>
          <w:trHeight w:val="198"/>
        </w:trPr>
        <w:tc>
          <w:tcPr>
            <w:tcW w:w="4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Impairment reversals (losses), net</w:t>
            </w:r>
          </w:p>
        </w:tc>
        <w:tc>
          <w:tcPr>
            <w:tcW w:w="3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0" w:type="dxa"/>
            <w:vAlign w:val="bottom"/>
            <w:gridSpan w:val="2"/>
          </w:tcPr>
          <w:p>
            <w:pPr>
              <w:jc w:val="right"/>
              <w:ind w:right="800"/>
              <w:spacing w:after="0" w:line="198" w:lineRule="exact"/>
              <w:rPr>
                <w:sz w:val="20"/>
                <w:szCs w:val="20"/>
                <w:color w:val="auto"/>
              </w:rPr>
            </w:pPr>
            <w:r>
              <w:rPr>
                <w:rFonts w:ascii="Times New Roman" w:cs="Times New Roman" w:eastAsia="Times New Roman" w:hAnsi="Times New Roman"/>
                <w:sz w:val="18"/>
                <w:szCs w:val="18"/>
                <w:color w:val="auto"/>
              </w:rPr>
              <w:t>11,034</w:t>
            </w:r>
          </w:p>
        </w:tc>
        <w:tc>
          <w:tcPr>
            <w:tcW w:w="100" w:type="dxa"/>
            <w:vAlign w:val="bottom"/>
          </w:tcPr>
          <w:p>
            <w:pPr>
              <w:spacing w:after="0"/>
              <w:rPr>
                <w:sz w:val="17"/>
                <w:szCs w:val="17"/>
                <w:color w:val="auto"/>
              </w:rPr>
            </w:pPr>
          </w:p>
        </w:tc>
        <w:tc>
          <w:tcPr>
            <w:tcW w:w="1020" w:type="dxa"/>
            <w:vAlign w:val="bottom"/>
            <w:gridSpan w:val="2"/>
          </w:tcPr>
          <w:p>
            <w:pPr>
              <w:ind w:left="6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drilling services (expense)</w:t>
            </w:r>
          </w:p>
        </w:tc>
        <w:tc>
          <w:tcPr>
            <w:tcW w:w="3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(11,034)</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items</w:t>
            </w:r>
          </w:p>
        </w:tc>
        <w:tc>
          <w:tcPr>
            <w:tcW w:w="312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(20,533)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items</w:t>
            </w:r>
          </w:p>
        </w:tc>
        <w:tc>
          <w:tcPr>
            <w:tcW w:w="3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20,533</w:t>
            </w:r>
          </w:p>
        </w:tc>
        <w:tc>
          <w:tcPr>
            <w:tcW w:w="0" w:type="dxa"/>
            <w:vAlign w:val="bottom"/>
          </w:tcPr>
          <w:p>
            <w:pPr>
              <w:spacing w:after="0"/>
              <w:rPr>
                <w:sz w:val="1"/>
                <w:szCs w:val="1"/>
                <w:color w:val="auto"/>
              </w:rPr>
            </w:pPr>
          </w:p>
        </w:tc>
      </w:tr>
      <w:tr>
        <w:trPr>
          <w:trHeight w:val="198"/>
        </w:trPr>
        <w:tc>
          <w:tcPr>
            <w:tcW w:w="4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3120" w:type="dxa"/>
            <w:vAlign w:val="bottom"/>
          </w:tcPr>
          <w:p>
            <w:pPr>
              <w:spacing w:after="0"/>
              <w:rPr>
                <w:sz w:val="17"/>
                <w:szCs w:val="17"/>
                <w:color w:val="auto"/>
              </w:rPr>
            </w:pPr>
          </w:p>
        </w:tc>
        <w:tc>
          <w:tcPr>
            <w:tcW w:w="2500" w:type="dxa"/>
            <w:vAlign w:val="bottom"/>
            <w:gridSpan w:val="3"/>
          </w:tcPr>
          <w:p>
            <w:pPr>
              <w:jc w:val="right"/>
              <w:ind w:right="740"/>
              <w:spacing w:after="0" w:line="198" w:lineRule="exact"/>
              <w:rPr>
                <w:sz w:val="20"/>
                <w:szCs w:val="20"/>
                <w:color w:val="auto"/>
              </w:rPr>
            </w:pPr>
            <w:r>
              <w:rPr>
                <w:rFonts w:ascii="Times New Roman" w:cs="Times New Roman" w:eastAsia="Times New Roman" w:hAnsi="Times New Roman"/>
                <w:sz w:val="18"/>
                <w:szCs w:val="18"/>
                <w:color w:val="auto"/>
              </w:rPr>
              <w:t>(213,202)</w:t>
            </w:r>
          </w:p>
        </w:tc>
        <w:tc>
          <w:tcPr>
            <w:tcW w:w="100" w:type="dxa"/>
            <w:vAlign w:val="bottom"/>
          </w:tcPr>
          <w:p>
            <w:pPr>
              <w:spacing w:after="0"/>
              <w:rPr>
                <w:sz w:val="17"/>
                <w:szCs w:val="17"/>
                <w:color w:val="auto"/>
              </w:rPr>
            </w:pPr>
          </w:p>
        </w:tc>
        <w:tc>
          <w:tcPr>
            <w:tcW w:w="1020" w:type="dxa"/>
            <w:vAlign w:val="bottom"/>
            <w:gridSpan w:val="2"/>
          </w:tcPr>
          <w:p>
            <w:pPr>
              <w:ind w:left="6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213,202</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Gain/(loss) on sale of non-current assets</w:t>
            </w:r>
          </w:p>
        </w:tc>
        <w:tc>
          <w:tcPr>
            <w:tcW w:w="312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256,292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operating assets, net</w:t>
            </w:r>
          </w:p>
        </w:tc>
        <w:tc>
          <w:tcPr>
            <w:tcW w:w="3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(256,292)</w:t>
            </w:r>
          </w:p>
        </w:tc>
        <w:tc>
          <w:tcPr>
            <w:tcW w:w="0" w:type="dxa"/>
            <w:vAlign w:val="bottom"/>
          </w:tcPr>
          <w:p>
            <w:pPr>
              <w:spacing w:after="0"/>
              <w:rPr>
                <w:sz w:val="1"/>
                <w:szCs w:val="1"/>
                <w:color w:val="auto"/>
              </w:rPr>
            </w:pPr>
          </w:p>
        </w:tc>
      </w:tr>
      <w:tr>
        <w:trPr>
          <w:trHeight w:val="198"/>
        </w:trPr>
        <w:tc>
          <w:tcPr>
            <w:tcW w:w="4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 of results in joint ventures</w:t>
            </w:r>
          </w:p>
        </w:tc>
        <w:tc>
          <w:tcPr>
            <w:tcW w:w="3120" w:type="dxa"/>
            <w:vAlign w:val="bottom"/>
          </w:tcPr>
          <w:p>
            <w:pPr>
              <w:spacing w:after="0"/>
              <w:rPr>
                <w:sz w:val="17"/>
                <w:szCs w:val="17"/>
                <w:color w:val="auto"/>
              </w:rPr>
            </w:pPr>
          </w:p>
        </w:tc>
        <w:tc>
          <w:tcPr>
            <w:tcW w:w="2500" w:type="dxa"/>
            <w:vAlign w:val="bottom"/>
            <w:gridSpan w:val="3"/>
          </w:tcPr>
          <w:p>
            <w:pPr>
              <w:jc w:val="right"/>
              <w:ind w:right="740"/>
              <w:spacing w:after="0" w:line="198" w:lineRule="exact"/>
              <w:rPr>
                <w:sz w:val="20"/>
                <w:szCs w:val="20"/>
                <w:color w:val="auto"/>
              </w:rPr>
            </w:pPr>
            <w:r>
              <w:rPr>
                <w:rFonts w:ascii="Times New Roman" w:cs="Times New Roman" w:eastAsia="Times New Roman" w:hAnsi="Times New Roman"/>
                <w:sz w:val="18"/>
                <w:szCs w:val="18"/>
                <w:color w:val="auto"/>
              </w:rPr>
              <w:t>(1,424)</w:t>
            </w:r>
          </w:p>
        </w:tc>
        <w:tc>
          <w:tcPr>
            <w:tcW w:w="100" w:type="dxa"/>
            <w:vAlign w:val="bottom"/>
          </w:tcPr>
          <w:p>
            <w:pPr>
              <w:spacing w:after="0"/>
              <w:rPr>
                <w:sz w:val="17"/>
                <w:szCs w:val="17"/>
                <w:color w:val="auto"/>
              </w:rPr>
            </w:pPr>
          </w:p>
        </w:tc>
        <w:tc>
          <w:tcPr>
            <w:tcW w:w="1020" w:type="dxa"/>
            <w:vAlign w:val="bottom"/>
            <w:gridSpan w:val="2"/>
          </w:tcPr>
          <w:p>
            <w:pPr>
              <w:ind w:left="6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3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expenses, net</w:t>
            </w:r>
          </w:p>
        </w:tc>
        <w:tc>
          <w:tcPr>
            <w:tcW w:w="312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(61,137)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3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(49,664)</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3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(9,815)</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198"/>
        </w:trPr>
        <w:tc>
          <w:tcPr>
            <w:tcW w:w="4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Tax</w:t>
            </w:r>
          </w:p>
        </w:tc>
        <w:tc>
          <w:tcPr>
            <w:tcW w:w="3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0" w:type="dxa"/>
            <w:vAlign w:val="bottom"/>
            <w:gridSpan w:val="2"/>
          </w:tcPr>
          <w:p>
            <w:pPr>
              <w:jc w:val="right"/>
              <w:ind w:right="740"/>
              <w:spacing w:after="0" w:line="198" w:lineRule="exact"/>
              <w:rPr>
                <w:sz w:val="20"/>
                <w:szCs w:val="20"/>
                <w:color w:val="auto"/>
              </w:rPr>
            </w:pPr>
            <w:r>
              <w:rPr>
                <w:rFonts w:ascii="Times New Roman" w:cs="Times New Roman" w:eastAsia="Times New Roman" w:hAnsi="Times New Roman"/>
                <w:sz w:val="18"/>
                <w:szCs w:val="18"/>
                <w:color w:val="auto"/>
              </w:rPr>
              <w:t>(26,248)</w:t>
            </w:r>
          </w:p>
        </w:tc>
        <w:tc>
          <w:tcPr>
            <w:tcW w:w="100" w:type="dxa"/>
            <w:vAlign w:val="bottom"/>
          </w:tcPr>
          <w:p>
            <w:pPr>
              <w:spacing w:after="0"/>
              <w:rPr>
                <w:sz w:val="17"/>
                <w:szCs w:val="17"/>
                <w:color w:val="auto"/>
              </w:rPr>
            </w:pPr>
          </w:p>
        </w:tc>
        <w:tc>
          <w:tcPr>
            <w:tcW w:w="1020" w:type="dxa"/>
            <w:vAlign w:val="bottom"/>
            <w:gridSpan w:val="2"/>
          </w:tcPr>
          <w:p>
            <w:pPr>
              <w:ind w:left="6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(26,248)</w:t>
            </w:r>
          </w:p>
        </w:tc>
        <w:tc>
          <w:tcPr>
            <w:tcW w:w="0" w:type="dxa"/>
            <w:vAlign w:val="bottom"/>
          </w:tcPr>
          <w:p>
            <w:pPr>
              <w:spacing w:after="0"/>
              <w:rPr>
                <w:sz w:val="1"/>
                <w:szCs w:val="1"/>
                <w:color w:val="auto"/>
              </w:rPr>
            </w:pPr>
          </w:p>
        </w:tc>
      </w:tr>
      <w:tr>
        <w:trPr>
          <w:trHeight w:val="372"/>
        </w:trPr>
        <w:tc>
          <w:tcPr>
            <w:tcW w:w="18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12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25</w:t>
            </w:r>
          </w:p>
        </w:tc>
        <w:tc>
          <w:tcPr>
            <w:tcW w:w="7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 as of June 30, 2022</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84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Maersk Drilling</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Maersk Drilling</w:t>
            </w: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Statement Line Item</w:t>
            </w: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0" w:type="dxa"/>
            <w:vAlign w:val="bottom"/>
          </w:tcPr>
          <w:p>
            <w:pPr>
              <w:spacing w:after="0"/>
              <w:rPr>
                <w:sz w:val="1"/>
                <w:szCs w:val="1"/>
                <w:color w:val="auto"/>
              </w:rPr>
            </w:pPr>
          </w:p>
        </w:tc>
      </w:tr>
      <w:tr>
        <w:trPr>
          <w:trHeight w:val="180"/>
        </w:trPr>
        <w:tc>
          <w:tcPr>
            <w:tcW w:w="4200" w:type="dxa"/>
            <w:vAlign w:val="bottom"/>
            <w:gridSpan w:val="2"/>
            <w:vMerge w:val="continue"/>
          </w:tcPr>
          <w:p>
            <w:pPr>
              <w:spacing w:after="0"/>
              <w:rPr>
                <w:sz w:val="15"/>
                <w:szCs w:val="15"/>
                <w:color w:val="auto"/>
              </w:rPr>
            </w:pPr>
          </w:p>
        </w:tc>
        <w:tc>
          <w:tcPr>
            <w:tcW w:w="3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940"/>
              <w:spacing w:after="0" w:line="160" w:lineRule="exact"/>
              <w:rPr>
                <w:sz w:val="20"/>
                <w:szCs w:val="20"/>
                <w:color w:val="auto"/>
              </w:rPr>
            </w:pPr>
            <w:r>
              <w:rPr>
                <w:rFonts w:ascii="Times New Roman" w:cs="Times New Roman" w:eastAsia="Times New Roman" w:hAnsi="Times New Roman"/>
                <w:sz w:val="14"/>
                <w:szCs w:val="14"/>
                <w:b w:val="1"/>
                <w:bCs w:val="1"/>
                <w:color w:val="auto"/>
              </w:rPr>
              <w:t>Presentation</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as Presented</w:t>
            </w:r>
          </w:p>
        </w:tc>
        <w:tc>
          <w:tcPr>
            <w:tcW w:w="0" w:type="dxa"/>
            <w:vAlign w:val="bottom"/>
          </w:tcPr>
          <w:p>
            <w:pPr>
              <w:spacing w:after="0"/>
              <w:rPr>
                <w:sz w:val="1"/>
                <w:szCs w:val="1"/>
                <w:color w:val="auto"/>
              </w:rPr>
            </w:pPr>
          </w:p>
        </w:tc>
      </w:tr>
      <w:tr>
        <w:trPr>
          <w:trHeight w:val="185"/>
        </w:trPr>
        <w:tc>
          <w:tcPr>
            <w:tcW w:w="18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Cash and bank balances</w:t>
            </w:r>
          </w:p>
        </w:tc>
        <w:tc>
          <w:tcPr>
            <w:tcW w:w="23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214,044</w:t>
            </w:r>
          </w:p>
        </w:tc>
        <w:tc>
          <w:tcPr>
            <w:tcW w:w="840" w:type="dxa"/>
            <w:vAlign w:val="bottom"/>
          </w:tcPr>
          <w:p>
            <w:pPr>
              <w:spacing w:after="0"/>
              <w:rPr>
                <w:sz w:val="16"/>
                <w:szCs w:val="16"/>
                <w:color w:val="auto"/>
              </w:rPr>
            </w:pPr>
          </w:p>
        </w:tc>
        <w:tc>
          <w:tcPr>
            <w:tcW w:w="10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ind w:left="640"/>
              <w:spacing w:after="0" w:line="185"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209,326</w:t>
            </w: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4,718</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214,121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214,121</w:t>
            </w:r>
          </w:p>
        </w:tc>
        <w:tc>
          <w:tcPr>
            <w:tcW w:w="0" w:type="dxa"/>
            <w:vAlign w:val="bottom"/>
          </w:tcPr>
          <w:p>
            <w:pPr>
              <w:spacing w:after="0"/>
              <w:rPr>
                <w:sz w:val="1"/>
                <w:szCs w:val="1"/>
                <w:color w:val="auto"/>
              </w:rPr>
            </w:pPr>
          </w:p>
        </w:tc>
      </w:tr>
      <w:tr>
        <w:trPr>
          <w:trHeight w:val="198"/>
        </w:trPr>
        <w:tc>
          <w:tcPr>
            <w:tcW w:w="4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Tax receivable</w:t>
            </w:r>
          </w:p>
        </w:tc>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840"/>
              <w:spacing w:after="0" w:line="198" w:lineRule="exact"/>
              <w:rPr>
                <w:sz w:val="20"/>
                <w:szCs w:val="20"/>
                <w:color w:val="auto"/>
              </w:rPr>
            </w:pPr>
            <w:r>
              <w:rPr>
                <w:rFonts w:ascii="Times New Roman" w:cs="Times New Roman" w:eastAsia="Times New Roman" w:hAnsi="Times New Roman"/>
                <w:sz w:val="18"/>
                <w:szCs w:val="18"/>
                <w:color w:val="auto"/>
              </w:rPr>
              <w:t>2,665</w:t>
            </w:r>
          </w:p>
        </w:tc>
        <w:tc>
          <w:tcPr>
            <w:tcW w:w="100" w:type="dxa"/>
            <w:vAlign w:val="bottom"/>
          </w:tcPr>
          <w:p>
            <w:pPr>
              <w:spacing w:after="0"/>
              <w:rPr>
                <w:sz w:val="17"/>
                <w:szCs w:val="17"/>
                <w:color w:val="auto"/>
              </w:rPr>
            </w:pPr>
          </w:p>
        </w:tc>
        <w:tc>
          <w:tcPr>
            <w:tcW w:w="1020" w:type="dxa"/>
            <w:vAlign w:val="bottom"/>
            <w:gridSpan w:val="2"/>
          </w:tcPr>
          <w:p>
            <w:pPr>
              <w:ind w:left="6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receivable</w:t>
            </w: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2,665</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49,717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10,958</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receivable</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23,754</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15,005</w:t>
            </w:r>
          </w:p>
        </w:tc>
        <w:tc>
          <w:tcPr>
            <w:tcW w:w="0" w:type="dxa"/>
            <w:vAlign w:val="bottom"/>
          </w:tcPr>
          <w:p>
            <w:pPr>
              <w:spacing w:after="0"/>
              <w:rPr>
                <w:sz w:val="1"/>
                <w:szCs w:val="1"/>
                <w:color w:val="auto"/>
              </w:rPr>
            </w:pPr>
          </w:p>
        </w:tc>
      </w:tr>
      <w:tr>
        <w:trPr>
          <w:trHeight w:val="198"/>
        </w:trPr>
        <w:tc>
          <w:tcPr>
            <w:tcW w:w="4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Prepayments</w:t>
            </w:r>
          </w:p>
        </w:tc>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840"/>
              <w:spacing w:after="0" w:line="198" w:lineRule="exact"/>
              <w:rPr>
                <w:sz w:val="20"/>
                <w:szCs w:val="20"/>
                <w:color w:val="auto"/>
              </w:rPr>
            </w:pPr>
            <w:r>
              <w:rPr>
                <w:rFonts w:ascii="Times New Roman" w:cs="Times New Roman" w:eastAsia="Times New Roman" w:hAnsi="Times New Roman"/>
                <w:sz w:val="18"/>
                <w:szCs w:val="18"/>
                <w:color w:val="auto"/>
              </w:rPr>
              <w:t>49,147</w:t>
            </w:r>
          </w:p>
        </w:tc>
        <w:tc>
          <w:tcPr>
            <w:tcW w:w="100" w:type="dxa"/>
            <w:vAlign w:val="bottom"/>
          </w:tcPr>
          <w:p>
            <w:pPr>
              <w:spacing w:after="0"/>
              <w:rPr>
                <w:sz w:val="17"/>
                <w:szCs w:val="17"/>
                <w:color w:val="auto"/>
              </w:rPr>
            </w:pPr>
          </w:p>
        </w:tc>
        <w:tc>
          <w:tcPr>
            <w:tcW w:w="1020" w:type="dxa"/>
            <w:vAlign w:val="bottom"/>
            <w:gridSpan w:val="2"/>
          </w:tcPr>
          <w:p>
            <w:pPr>
              <w:ind w:left="6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49,147</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20,242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16,279</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3,963</w:t>
            </w:r>
          </w:p>
        </w:tc>
        <w:tc>
          <w:tcPr>
            <w:tcW w:w="0" w:type="dxa"/>
            <w:vAlign w:val="bottom"/>
          </w:tcPr>
          <w:p>
            <w:pPr>
              <w:spacing w:after="0"/>
              <w:rPr>
                <w:sz w:val="1"/>
                <w:szCs w:val="1"/>
                <w:color w:val="auto"/>
              </w:rPr>
            </w:pPr>
          </w:p>
        </w:tc>
      </w:tr>
      <w:tr>
        <w:trPr>
          <w:trHeight w:val="198"/>
        </w:trPr>
        <w:tc>
          <w:tcPr>
            <w:tcW w:w="4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Right-of-use assets</w:t>
            </w:r>
          </w:p>
        </w:tc>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840"/>
              <w:spacing w:after="0" w:line="198" w:lineRule="exact"/>
              <w:rPr>
                <w:sz w:val="20"/>
                <w:szCs w:val="20"/>
                <w:color w:val="auto"/>
              </w:rPr>
            </w:pPr>
            <w:r>
              <w:rPr>
                <w:rFonts w:ascii="Times New Roman" w:cs="Times New Roman" w:eastAsia="Times New Roman" w:hAnsi="Times New Roman"/>
                <w:sz w:val="18"/>
                <w:szCs w:val="18"/>
                <w:color w:val="auto"/>
              </w:rPr>
              <w:t>20,572</w:t>
            </w:r>
          </w:p>
        </w:tc>
        <w:tc>
          <w:tcPr>
            <w:tcW w:w="100" w:type="dxa"/>
            <w:vAlign w:val="bottom"/>
          </w:tcPr>
          <w:p>
            <w:pPr>
              <w:spacing w:after="0"/>
              <w:rPr>
                <w:sz w:val="17"/>
                <w:szCs w:val="17"/>
                <w:color w:val="auto"/>
              </w:rPr>
            </w:pPr>
          </w:p>
        </w:tc>
        <w:tc>
          <w:tcPr>
            <w:tcW w:w="1020" w:type="dxa"/>
            <w:vAlign w:val="bottom"/>
            <w:gridSpan w:val="2"/>
          </w:tcPr>
          <w:p>
            <w:pPr>
              <w:ind w:left="6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20,572</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16,697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16,697</w:t>
            </w:r>
          </w:p>
        </w:tc>
        <w:tc>
          <w:tcPr>
            <w:tcW w:w="0" w:type="dxa"/>
            <w:vAlign w:val="bottom"/>
          </w:tcPr>
          <w:p>
            <w:pPr>
              <w:spacing w:after="0"/>
              <w:rPr>
                <w:sz w:val="1"/>
                <w:szCs w:val="1"/>
                <w:color w:val="auto"/>
              </w:rPr>
            </w:pPr>
          </w:p>
        </w:tc>
      </w:tr>
      <w:tr>
        <w:trPr>
          <w:trHeight w:val="198"/>
        </w:trPr>
        <w:tc>
          <w:tcPr>
            <w:tcW w:w="4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Property, plant and equipment</w:t>
            </w:r>
          </w:p>
        </w:tc>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840"/>
              <w:spacing w:after="0" w:line="198" w:lineRule="exact"/>
              <w:rPr>
                <w:sz w:val="20"/>
                <w:szCs w:val="20"/>
                <w:color w:val="auto"/>
              </w:rPr>
            </w:pPr>
            <w:r>
              <w:rPr>
                <w:rFonts w:ascii="Times New Roman" w:cs="Times New Roman" w:eastAsia="Times New Roman" w:hAnsi="Times New Roman"/>
                <w:sz w:val="18"/>
                <w:szCs w:val="18"/>
                <w:color w:val="auto"/>
              </w:rPr>
              <w:t>2,621,729</w:t>
            </w:r>
          </w:p>
        </w:tc>
        <w:tc>
          <w:tcPr>
            <w:tcW w:w="100" w:type="dxa"/>
            <w:vAlign w:val="bottom"/>
          </w:tcPr>
          <w:p>
            <w:pPr>
              <w:spacing w:after="0"/>
              <w:rPr>
                <w:sz w:val="17"/>
                <w:szCs w:val="17"/>
                <w:color w:val="auto"/>
              </w:rPr>
            </w:pPr>
          </w:p>
        </w:tc>
        <w:tc>
          <w:tcPr>
            <w:tcW w:w="1020" w:type="dxa"/>
            <w:vAlign w:val="bottom"/>
            <w:gridSpan w:val="2"/>
          </w:tcPr>
          <w:p>
            <w:pPr>
              <w:ind w:left="6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8,668,033</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(6,315,334)</w:t>
            </w: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269,030</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non-current assets, etc.</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8,571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8,571</w:t>
            </w:r>
          </w:p>
        </w:tc>
        <w:tc>
          <w:tcPr>
            <w:tcW w:w="0" w:type="dxa"/>
            <w:vAlign w:val="bottom"/>
          </w:tcPr>
          <w:p>
            <w:pPr>
              <w:spacing w:after="0"/>
              <w:rPr>
                <w:sz w:val="1"/>
                <w:szCs w:val="1"/>
                <w:color w:val="auto"/>
              </w:rPr>
            </w:pPr>
          </w:p>
        </w:tc>
      </w:tr>
      <w:tr>
        <w:trPr>
          <w:trHeight w:val="198"/>
        </w:trPr>
        <w:tc>
          <w:tcPr>
            <w:tcW w:w="4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Assets held for sale</w:t>
            </w:r>
          </w:p>
        </w:tc>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840"/>
              <w:spacing w:after="0" w:line="198" w:lineRule="exact"/>
              <w:rPr>
                <w:sz w:val="20"/>
                <w:szCs w:val="20"/>
                <w:color w:val="auto"/>
              </w:rPr>
            </w:pPr>
            <w:r>
              <w:rPr>
                <w:rFonts w:ascii="Times New Roman" w:cs="Times New Roman" w:eastAsia="Times New Roman" w:hAnsi="Times New Roman"/>
                <w:sz w:val="18"/>
                <w:szCs w:val="18"/>
                <w:color w:val="auto"/>
              </w:rPr>
              <w:t>39,338</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39,338</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137,391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137,391</w:t>
            </w:r>
          </w:p>
        </w:tc>
        <w:tc>
          <w:tcPr>
            <w:tcW w:w="0" w:type="dxa"/>
            <w:vAlign w:val="bottom"/>
          </w:tcPr>
          <w:p>
            <w:pPr>
              <w:spacing w:after="0"/>
              <w:rPr>
                <w:sz w:val="1"/>
                <w:szCs w:val="1"/>
                <w:color w:val="auto"/>
              </w:rPr>
            </w:pPr>
          </w:p>
        </w:tc>
      </w:tr>
      <w:tr>
        <w:trPr>
          <w:trHeight w:val="198"/>
        </w:trPr>
        <w:tc>
          <w:tcPr>
            <w:tcW w:w="4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Deferred income</w:t>
            </w:r>
          </w:p>
        </w:tc>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840"/>
              <w:spacing w:after="0" w:line="198" w:lineRule="exact"/>
              <w:rPr>
                <w:sz w:val="20"/>
                <w:szCs w:val="20"/>
                <w:color w:val="auto"/>
              </w:rPr>
            </w:pPr>
            <w:r>
              <w:rPr>
                <w:rFonts w:ascii="Times New Roman" w:cs="Times New Roman" w:eastAsia="Times New Roman" w:hAnsi="Times New Roman"/>
                <w:sz w:val="18"/>
                <w:szCs w:val="18"/>
                <w:color w:val="auto"/>
              </w:rPr>
              <w:t>37,704</w:t>
            </w:r>
          </w:p>
        </w:tc>
        <w:tc>
          <w:tcPr>
            <w:tcW w:w="100" w:type="dxa"/>
            <w:vAlign w:val="bottom"/>
          </w:tcPr>
          <w:p>
            <w:pPr>
              <w:spacing w:after="0"/>
              <w:rPr>
                <w:sz w:val="17"/>
                <w:szCs w:val="17"/>
                <w:color w:val="auto"/>
              </w:rPr>
            </w:pPr>
          </w:p>
        </w:tc>
        <w:tc>
          <w:tcPr>
            <w:tcW w:w="1020" w:type="dxa"/>
            <w:vAlign w:val="bottom"/>
            <w:gridSpan w:val="2"/>
          </w:tcPr>
          <w:p>
            <w:pPr>
              <w:ind w:left="6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37,704</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 (current)</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198"/>
        </w:trPr>
        <w:tc>
          <w:tcPr>
            <w:tcW w:w="4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Borrowings, current</w:t>
            </w:r>
          </w:p>
        </w:tc>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840"/>
              <w:spacing w:after="0" w:line="198" w:lineRule="exact"/>
              <w:rPr>
                <w:sz w:val="20"/>
                <w:szCs w:val="20"/>
                <w:color w:val="auto"/>
              </w:rPr>
            </w:pPr>
            <w:r>
              <w:rPr>
                <w:rFonts w:ascii="Times New Roman" w:cs="Times New Roman" w:eastAsia="Times New Roman" w:hAnsi="Times New Roman"/>
                <w:sz w:val="18"/>
                <w:szCs w:val="18"/>
                <w:color w:val="auto"/>
              </w:rPr>
              <w:t>136,048</w:t>
            </w:r>
          </w:p>
        </w:tc>
        <w:tc>
          <w:tcPr>
            <w:tcW w:w="100" w:type="dxa"/>
            <w:vAlign w:val="bottom"/>
          </w:tcPr>
          <w:p>
            <w:pPr>
              <w:spacing w:after="0"/>
              <w:rPr>
                <w:sz w:val="17"/>
                <w:szCs w:val="17"/>
                <w:color w:val="auto"/>
              </w:rPr>
            </w:pPr>
          </w:p>
        </w:tc>
        <w:tc>
          <w:tcPr>
            <w:tcW w:w="1020" w:type="dxa"/>
            <w:vAlign w:val="bottom"/>
            <w:gridSpan w:val="2"/>
          </w:tcPr>
          <w:p>
            <w:pPr>
              <w:ind w:left="6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129,925</w:t>
            </w: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6,123</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50,344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18,123</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25,587</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5,978</w:t>
            </w:r>
          </w:p>
        </w:tc>
        <w:tc>
          <w:tcPr>
            <w:tcW w:w="0" w:type="dxa"/>
            <w:vAlign w:val="bottom"/>
          </w:tcPr>
          <w:p>
            <w:pPr>
              <w:spacing w:after="0"/>
              <w:rPr>
                <w:sz w:val="1"/>
                <w:szCs w:val="1"/>
                <w:color w:val="auto"/>
              </w:rPr>
            </w:pPr>
          </w:p>
        </w:tc>
      </w:tr>
      <w:tr>
        <w:trPr>
          <w:trHeight w:val="198"/>
        </w:trPr>
        <w:tc>
          <w:tcPr>
            <w:tcW w:w="4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Tax payable</w:t>
            </w:r>
          </w:p>
        </w:tc>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61,684</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ind w:left="6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9,584</w:t>
            </w: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52,100</w:t>
            </w:r>
          </w:p>
        </w:tc>
        <w:tc>
          <w:tcPr>
            <w:tcW w:w="0" w:type="dxa"/>
            <w:vAlign w:val="bottom"/>
          </w:tcPr>
          <w:p>
            <w:pPr>
              <w:spacing w:after="0"/>
              <w:rPr>
                <w:sz w:val="1"/>
                <w:szCs w:val="1"/>
                <w:color w:val="auto"/>
              </w:rPr>
            </w:pPr>
          </w:p>
        </w:tc>
      </w:tr>
      <w:tr>
        <w:trPr>
          <w:trHeight w:val="364"/>
        </w:trPr>
        <w:tc>
          <w:tcPr>
            <w:tcW w:w="1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86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Maersk Drilling</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Maersk Drilling</w:t>
            </w:r>
          </w:p>
        </w:tc>
        <w:tc>
          <w:tcPr>
            <w:tcW w:w="0" w:type="dxa"/>
            <w:vAlign w:val="bottom"/>
          </w:tcPr>
          <w:p>
            <w:pPr>
              <w:spacing w:after="0"/>
              <w:rPr>
                <w:sz w:val="1"/>
                <w:szCs w:val="1"/>
                <w:color w:val="auto"/>
              </w:rPr>
            </w:pPr>
          </w:p>
        </w:tc>
      </w:tr>
      <w:tr>
        <w:trPr>
          <w:trHeight w:val="148"/>
        </w:trPr>
        <w:tc>
          <w:tcPr>
            <w:tcW w:w="1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Statement Line Item</w:t>
            </w:r>
          </w:p>
        </w:tc>
        <w:tc>
          <w:tcPr>
            <w:tcW w:w="610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0" w:type="dxa"/>
            <w:vAlign w:val="bottom"/>
          </w:tcPr>
          <w:p>
            <w:pPr>
              <w:spacing w:after="0"/>
              <w:rPr>
                <w:sz w:val="1"/>
                <w:szCs w:val="1"/>
                <w:color w:val="auto"/>
              </w:rPr>
            </w:pPr>
          </w:p>
        </w:tc>
      </w:tr>
      <w:tr>
        <w:trPr>
          <w:trHeight w:val="180"/>
        </w:trPr>
        <w:tc>
          <w:tcPr>
            <w:tcW w:w="1880" w:type="dxa"/>
            <w:vAlign w:val="bottom"/>
            <w:tcBorders>
              <w:bottom w:val="single" w:sz="8" w:color="auto"/>
            </w:tcBorders>
            <w:vMerge w:val="continue"/>
          </w:tcPr>
          <w:p>
            <w:pPr>
              <w:spacing w:after="0"/>
              <w:rPr>
                <w:sz w:val="15"/>
                <w:szCs w:val="15"/>
                <w:color w:val="auto"/>
              </w:rPr>
            </w:pPr>
          </w:p>
        </w:tc>
        <w:tc>
          <w:tcPr>
            <w:tcW w:w="61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Presentation</w:t>
            </w:r>
          </w:p>
        </w:tc>
        <w:tc>
          <w:tcPr>
            <w:tcW w:w="11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as Presented</w:t>
            </w:r>
          </w:p>
        </w:tc>
        <w:tc>
          <w:tcPr>
            <w:tcW w:w="0" w:type="dxa"/>
            <w:vAlign w:val="bottom"/>
          </w:tcPr>
          <w:p>
            <w:pPr>
              <w:spacing w:after="0"/>
              <w:rPr>
                <w:sz w:val="1"/>
                <w:szCs w:val="1"/>
                <w:color w:val="auto"/>
              </w:rPr>
            </w:pPr>
          </w:p>
        </w:tc>
      </w:tr>
      <w:tr>
        <w:trPr>
          <w:trHeight w:val="203"/>
        </w:trPr>
        <w:tc>
          <w:tcPr>
            <w:tcW w:w="79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Borrowings, non-current</w:t>
            </w:r>
          </w:p>
        </w:tc>
        <w:tc>
          <w:tcPr>
            <w:tcW w:w="4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632,846</w:t>
            </w:r>
          </w:p>
        </w:tc>
        <w:tc>
          <w:tcPr>
            <w:tcW w:w="4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7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618,809</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14,037</w:t>
            </w:r>
          </w:p>
        </w:tc>
        <w:tc>
          <w:tcPr>
            <w:tcW w:w="0" w:type="dxa"/>
            <w:vAlign w:val="bottom"/>
          </w:tcPr>
          <w:p>
            <w:pPr>
              <w:spacing w:after="0"/>
              <w:rPr>
                <w:sz w:val="1"/>
                <w:szCs w:val="1"/>
                <w:color w:val="auto"/>
              </w:rPr>
            </w:pPr>
          </w:p>
        </w:tc>
      </w:tr>
      <w:tr>
        <w:trPr>
          <w:trHeight w:val="198"/>
        </w:trPr>
        <w:tc>
          <w:tcPr>
            <w:tcW w:w="7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Provisions (non-current)</w:t>
            </w:r>
          </w:p>
        </w:tc>
        <w:tc>
          <w:tcPr>
            <w:tcW w:w="440" w:type="dxa"/>
            <w:vAlign w:val="bottom"/>
          </w:tcPr>
          <w:p>
            <w:pPr>
              <w:spacing w:after="0"/>
              <w:rPr>
                <w:sz w:val="17"/>
                <w:szCs w:val="17"/>
                <w:color w:val="auto"/>
              </w:rPr>
            </w:pPr>
          </w:p>
        </w:tc>
        <w:tc>
          <w:tcPr>
            <w:tcW w:w="1480" w:type="dxa"/>
            <w:vAlign w:val="bottom"/>
            <w:gridSpan w:val="2"/>
          </w:tcPr>
          <w:p>
            <w:pPr>
              <w:jc w:val="right"/>
              <w:ind w:right="480"/>
              <w:spacing w:after="0" w:line="198" w:lineRule="exact"/>
              <w:rPr>
                <w:sz w:val="20"/>
                <w:szCs w:val="20"/>
                <w:color w:val="auto"/>
              </w:rPr>
            </w:pPr>
            <w:r>
              <w:rPr>
                <w:rFonts w:ascii="Times New Roman" w:cs="Times New Roman" w:eastAsia="Times New Roman" w:hAnsi="Times New Roman"/>
                <w:sz w:val="18"/>
                <w:szCs w:val="18"/>
                <w:color w:val="auto"/>
              </w:rPr>
              <w:t>8,502</w:t>
            </w:r>
          </w:p>
        </w:tc>
        <w:tc>
          <w:tcPr>
            <w:tcW w:w="1120" w:type="dxa"/>
            <w:vAlign w:val="bottom"/>
            <w:gridSpan w:val="2"/>
          </w:tcPr>
          <w:p>
            <w:pPr>
              <w:ind w:left="7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40" w:type="dxa"/>
            <w:vAlign w:val="bottom"/>
          </w:tcPr>
          <w:p>
            <w:pPr>
              <w:spacing w:after="0"/>
              <w:rPr>
                <w:sz w:val="20"/>
                <w:szCs w:val="20"/>
                <w:color w:val="auto"/>
              </w:rPr>
            </w:pPr>
          </w:p>
        </w:tc>
        <w:tc>
          <w:tcPr>
            <w:tcW w:w="14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8,502</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9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26,080</w:t>
            </w: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4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26,080</w:t>
            </w:r>
          </w:p>
        </w:tc>
        <w:tc>
          <w:tcPr>
            <w:tcW w:w="0" w:type="dxa"/>
            <w:vAlign w:val="bottom"/>
          </w:tcPr>
          <w:p>
            <w:pPr>
              <w:spacing w:after="0"/>
              <w:rPr>
                <w:sz w:val="1"/>
                <w:szCs w:val="1"/>
                <w:color w:val="auto"/>
              </w:rPr>
            </w:pPr>
          </w:p>
        </w:tc>
      </w:tr>
      <w:tr>
        <w:trPr>
          <w:trHeight w:val="198"/>
        </w:trPr>
        <w:tc>
          <w:tcPr>
            <w:tcW w:w="7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 capital</w:t>
            </w:r>
          </w:p>
        </w:tc>
        <w:tc>
          <w:tcPr>
            <w:tcW w:w="1920" w:type="dxa"/>
            <w:vAlign w:val="bottom"/>
            <w:gridSpan w:val="3"/>
          </w:tcPr>
          <w:p>
            <w:pPr>
              <w:jc w:val="right"/>
              <w:ind w:right="480"/>
              <w:spacing w:after="0" w:line="198" w:lineRule="exact"/>
              <w:rPr>
                <w:sz w:val="20"/>
                <w:szCs w:val="20"/>
                <w:color w:val="auto"/>
              </w:rPr>
            </w:pPr>
            <w:r>
              <w:rPr>
                <w:rFonts w:ascii="Times New Roman" w:cs="Times New Roman" w:eastAsia="Times New Roman" w:hAnsi="Times New Roman"/>
                <w:sz w:val="18"/>
                <w:szCs w:val="18"/>
                <w:color w:val="auto"/>
              </w:rPr>
              <w:t>62,520</w:t>
            </w:r>
          </w:p>
        </w:tc>
        <w:tc>
          <w:tcPr>
            <w:tcW w:w="1120" w:type="dxa"/>
            <w:vAlign w:val="bottom"/>
            <w:gridSpan w:val="2"/>
          </w:tcPr>
          <w:p>
            <w:pPr>
              <w:ind w:left="7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440" w:type="dxa"/>
            <w:vAlign w:val="bottom"/>
          </w:tcPr>
          <w:p>
            <w:pPr>
              <w:spacing w:after="0"/>
              <w:rPr>
                <w:sz w:val="20"/>
                <w:szCs w:val="20"/>
                <w:color w:val="auto"/>
              </w:rPr>
            </w:pPr>
          </w:p>
        </w:tc>
        <w:tc>
          <w:tcPr>
            <w:tcW w:w="14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62,520</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 and retained earnings</w:t>
            </w:r>
          </w:p>
        </w:tc>
        <w:tc>
          <w:tcPr>
            <w:tcW w:w="19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2,102,224</w:t>
            </w: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4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2,108,680</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(6,456)</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5. Maersk Drilling Rig Disposal</w:t>
      </w:r>
    </w:p>
    <w:p>
      <w:pPr>
        <w:spacing w:after="0" w:line="121"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adjustments outlined below reflect adjustments to Maersk Drilling’s historical income statement for the year ended December 31, 2021 assuming the Maersk Drilling Rig Disposal had occurred on January 1, 2021. For the year ended December 31, 2021, Maersk Drilling recognized a non-recurring after-tax gain of $206.1 million on the Maersk Drilling Rig Disposal.</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 Maersk Drilling Inspirer rig historical activity</w:t>
      </w:r>
    </w:p>
    <w:p>
      <w:pPr>
        <w:spacing w:after="0" w:line="11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Reflects the pro forma adjustments to eliminate the historical income statement activity attributed to the disposed Inspirer rig, which included foreign currency revaluation gains of $1.1 million presented within interest expense.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 Interest expense</w:t>
      </w:r>
    </w:p>
    <w:p>
      <w:pPr>
        <w:spacing w:after="0" w:line="11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Reflects the elimination of historical interest expense of $2.3 million associated with Maersk Drilling’s term loan facility, as the Inspirer rig triggered an $80.0 million mandatory repayment of Maersk Drilling’s outstanding borrowings under its term loan facility.</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6. Maersk Drilling IFRS to U.S. GAAP Conversion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Pro Forma Financial Information reflects the material adjustments necessary to convert Maersk Drilling’s historical financial statements to U.S. GAAP and conform to Noble’s accounting policies based on an initial policy conversion assessment performed by management. Management is currently performing a comprehensive review of the two entities’ accounting policies. The adjustments outlined below are preliminary and are subject to change as additional information becomes available and as additional analysis is performed.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 Leases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Under IFRS, Maersk Drilling recognized right of use assets and lease liabilities for all leases, with the exceptions described in the paragraph below. However, as required by IFRS, Maersk Drilling did not distinguish between operating leases and finance leases and accounted for all leases recorded on the balance sheets similarly to finance leases under U.S. GAAP. Maersk Drilling recorded depreciation on all right-of-use assets and interest expense on all lease liabilities, while a straight-line operating expense is presented for operating leases under U.S. GAAP.</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IFRS includes an exemption for leases of low-value assets, where a lessee may elect to recognize lease payments on a straight-line basis over the lease term instead of capitalizing them on the balance sheet. This exemption can be elected on a lease-by-lease basis. U.S. GAAP does not have explicit exemptions for leases of low-value assets, however, Maersk Drilling’s leases of low-value assets were not deemed material for purposes of the Pro Forma Financial Information.</w:t>
      </w:r>
    </w:p>
    <w:p>
      <w:pPr>
        <w:spacing w:after="0" w:line="180"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pro forma adjustments to reclassify Maersk Drilling’s historical interest on lease liabilities and depreciation on right-of-use assets to general and administrative expense and contract drilling services expense to align with Noble’s accounting treatment under U.S. GAAP:</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900" w:type="dxa"/>
            <w:vAlign w:val="bottom"/>
            <w:gridSpan w:val="3"/>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0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Twelve Months</w:t>
            </w:r>
          </w:p>
        </w:tc>
      </w:tr>
      <w:tr>
        <w:trPr>
          <w:trHeight w:val="148"/>
        </w:trPr>
        <w:tc>
          <w:tcPr>
            <w:tcW w:w="5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tcPr>
          <w:p>
            <w:pPr>
              <w:jc w:val="center"/>
              <w:ind w:right="1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5200" w:type="dxa"/>
            <w:vAlign w:val="bottom"/>
          </w:tcPr>
          <w:p>
            <w:pPr>
              <w:spacing w:after="0"/>
              <w:rPr>
                <w:sz w:val="15"/>
                <w:szCs w:val="15"/>
                <w:color w:val="auto"/>
              </w:rPr>
            </w:pPr>
          </w:p>
        </w:tc>
        <w:tc>
          <w:tcPr>
            <w:tcW w:w="1900" w:type="dxa"/>
            <w:vAlign w:val="bottom"/>
            <w:gridSpan w:val="3"/>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8"/>
        </w:trPr>
        <w:tc>
          <w:tcPr>
            <w:tcW w:w="52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Elimination of Maersk Drilling’s historical interest on</w:t>
            </w: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1,072</w:t>
            </w:r>
          </w:p>
        </w:tc>
      </w:tr>
      <w:tr>
        <w:trPr>
          <w:trHeight w:val="198"/>
        </w:trPr>
        <w:tc>
          <w:tcPr>
            <w:tcW w:w="5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Elimination of Maersk Drilling’s historical depreciation on</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spacing w:after="0"/>
              <w:rPr>
                <w:sz w:val="20"/>
                <w:szCs w:val="20"/>
                <w:color w:val="auto"/>
              </w:rPr>
            </w:pPr>
          </w:p>
        </w:tc>
        <w:tc>
          <w:tcPr>
            <w:tcW w:w="17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(3,370)</w:t>
            </w:r>
          </w:p>
        </w:tc>
        <w:tc>
          <w:tcPr>
            <w:tcW w:w="1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(6,586)</w:t>
            </w:r>
          </w:p>
        </w:tc>
      </w:tr>
      <w:tr>
        <w:trPr>
          <w:trHeight w:val="198"/>
        </w:trPr>
        <w:tc>
          <w:tcPr>
            <w:tcW w:w="5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amounts to general and administrative</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6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2,794</w:t>
            </w:r>
          </w:p>
        </w:tc>
      </w:tr>
      <w:tr>
        <w:trPr>
          <w:trHeight w:val="198"/>
        </w:trPr>
        <w:tc>
          <w:tcPr>
            <w:tcW w:w="5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amounts to contract drilling services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60" w:type="dxa"/>
            <w:vAlign w:val="bottom"/>
          </w:tcPr>
          <w:p>
            <w:pPr>
              <w:spacing w:after="0"/>
              <w:rPr>
                <w:sz w:val="20"/>
                <w:szCs w:val="20"/>
                <w:color w:val="auto"/>
              </w:rPr>
            </w:pPr>
          </w:p>
        </w:tc>
        <w:tc>
          <w:tcPr>
            <w:tcW w:w="174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4,864</w:t>
            </w: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 Special items</w:t>
      </w:r>
    </w:p>
    <w:p>
      <w:pPr>
        <w:spacing w:after="0" w:line="119"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Maersk Drilling has historically chosen to present as a separate line item within its historical income statements called ‘special items’ that was intended to capture the impact from non-recurring, infrequent or unusual events on the statement of operations. Such presentation of special items is disallowed under U.S. GAAP. The following table presents the pro forma adjustments to reclassify Maersk Drilling’s historical expenses presented within special items to general and administrative expense and contract drilling services expense to align with Noble’s treatment of such items under U.S. GAAP:</w:t>
      </w:r>
    </w:p>
    <w:p>
      <w:pPr>
        <w:spacing w:after="0" w:line="19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7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00" w:type="dxa"/>
            <w:vAlign w:val="bottom"/>
          </w:tcPr>
          <w:p>
            <w:pPr>
              <w:spacing w:after="0"/>
              <w:rPr>
                <w:sz w:val="13"/>
                <w:szCs w:val="13"/>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Twelve Months</w:t>
            </w:r>
          </w:p>
        </w:tc>
      </w:t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right"/>
              <w:ind w:right="11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5380" w:type="dxa"/>
            <w:vAlign w:val="bottom"/>
          </w:tcPr>
          <w:p>
            <w:pPr>
              <w:spacing w:after="0"/>
              <w:rPr>
                <w:sz w:val="15"/>
                <w:szCs w:val="15"/>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items reclassified to merger and integration costs</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w:t>
            </w: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Special items reclassified to contract drilling services expense</w:t>
            </w:r>
          </w:p>
        </w:tc>
        <w:tc>
          <w:tcPr>
            <w:tcW w:w="140" w:type="dxa"/>
            <w:vAlign w:val="bottom"/>
          </w:tcPr>
          <w:p>
            <w:pPr>
              <w:spacing w:after="0"/>
              <w:rPr>
                <w:sz w:val="18"/>
                <w:szCs w:val="18"/>
                <w:color w:val="auto"/>
              </w:rPr>
            </w:pPr>
          </w:p>
        </w:tc>
        <w:tc>
          <w:tcPr>
            <w:tcW w:w="164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13,135</w:t>
            </w:r>
          </w:p>
        </w:tc>
      </w:tr>
      <w:tr>
        <w:trPr>
          <w:trHeight w:val="27"/>
        </w:trPr>
        <w:tc>
          <w:tcPr>
            <w:tcW w:w="5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Maersk Drilling special items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11,150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20,727</w:t>
            </w:r>
          </w:p>
        </w:tc>
      </w:tr>
      <w:tr>
        <w:trPr>
          <w:trHeight w:val="20"/>
        </w:trPr>
        <w:tc>
          <w:tcPr>
            <w:tcW w:w="5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 Impairment of property and equipment</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IFRS, an asset must not be carried in the financial statements at more than the highest amount to be recovered through its use or sale. If the carrying amount of an asset exceeds the asset’s recoverable amount (i.e., the higher of an asset’s or cash-generating unit’s fair value less costs of disposal or its value in use), the asset is deemed to be impaired and an impairment loss is recognized immediately in profit or loss and the value of the cash-generating unit, or the carrying amount of the asset, is reduced.</w:t>
      </w:r>
    </w:p>
    <w:p>
      <w:pPr>
        <w:spacing w:after="0" w:line="180" w:lineRule="exact"/>
        <w:rPr>
          <w:sz w:val="20"/>
          <w:szCs w:val="20"/>
          <w:color w:val="auto"/>
        </w:rPr>
      </w:pPr>
    </w:p>
    <w:p>
      <w:pPr>
        <w:jc w:val="both"/>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Under U.S. GAAP, an impairment loss is triggered for long-lived assets only if the asset’s, or asset group’s, carrying amount is not recoverable (i.e., the asset or asset group’s carrying amount is less than the undiscounted future cash flows expected to be derived from the asset or asset group). Additionally, the reversal of an impairment loss is not permitted. As a result of the differences in impairment calculation, an updated impairment</w:t>
      </w:r>
    </w:p>
    <w:p>
      <w:pPr>
        <w:spacing w:after="0" w:line="9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60"/>
          </w:cols>
          <w:pgMar w:left="320" w:top="455" w:right="5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test was prepared for Maersk Drilling as if U.S. GAAP method was applied in 2016 through June 30, 2022 to assess the effect of the different accounting treatment between IFRS and U.S. GAAP for impairment. 2016 was selected as the beginning period for the assessment because it was the earliest year in which an impairment on its property and equipment occurred and had a continuing impact on the balance as of June 30, 2022. The analysis has been performed by adjusting the discount rate to zero percent in the impairment models that were used under IFRS and recalculating the impact on depreciation expense and deferred taxes for any impairments that would not have been recorded under U.S. GAAP.</w:t>
      </w:r>
    </w:p>
    <w:p>
      <w:pPr>
        <w:spacing w:after="0" w:line="183"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The following table reflects the pro forma adjustments related to impairment to align Maersk Drilling’s historical treatment of impairment under IFRS to the treatment under U.S. GAAP, including (i) the elimination of any previously recognized impairment reversals, (ii) increasing the carrying value of property and equipment to reverse impairment losses which would not have been recorded under U.S. GAAP in prior periods, (iii) adjusting accumulated depreciation balance as of June 30, 2022 and depreciation expense for six months ended June 30, 2022 and twelve months ended December 31, 2021 as a result of the increase in carrying value of property and equipment, and (iv) any related tax effects from the aforementioned adjustments. The remaining impairment charge in the pro forma statement or operations for the period ended June 30, 2022 of $74.6 million represents the incremental charge for two rigs impaired under U.S. GAAP once all other pro forma IFRS to U.S. GAAP adjustments have been recognized.</w:t>
      </w:r>
    </w:p>
    <w:p>
      <w:pPr>
        <w:spacing w:after="0" w:line="19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Pro forma Condensed Combined Balance Sheet</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to carrying amount of property and equipment</w:t>
            </w:r>
          </w:p>
        </w:tc>
        <w:tc>
          <w:tcPr>
            <w:tcW w:w="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3,677,277</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to accumulated depreciation</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(945,866)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Decrease to deferred income tax assets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(8,262)</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to deferred income tax liabilities</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68,828</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 Condensed Combined Statements of</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Twelve Months</w:t>
            </w:r>
          </w:p>
        </w:tc>
        <w:tc>
          <w:tcPr>
            <w:tcW w:w="0" w:type="dxa"/>
            <w:vAlign w:val="bottom"/>
          </w:tcPr>
          <w:p>
            <w:pPr>
              <w:spacing w:after="0"/>
              <w:rPr>
                <w:sz w:val="1"/>
                <w:szCs w:val="1"/>
                <w:color w:val="auto"/>
              </w:rPr>
            </w:pPr>
          </w:p>
        </w:tc>
      </w:tr>
      <w:tr>
        <w:trPr>
          <w:trHeight w:val="148"/>
        </w:trPr>
        <w:tc>
          <w:tcPr>
            <w:tcW w:w="5420" w:type="dxa"/>
            <w:vAlign w:val="bottom"/>
            <w:gridSpan w:val="2"/>
            <w:vMerge w:val="continue"/>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to depreciation expense</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108,870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234,077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2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Recognize additional impairment losses under U.S. GAAP</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model</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74,639</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Cumulative adjustment to income tax benefit (provision)</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4,406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10,442</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 Income Taxes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Reflects conversion adjustments recorded for tax positions that are not probable to be sustained under IFRS upon a tax audit and would therefore be fully reserved under U.S. GAAP. Under IFRS, such tax positions are recorded at either a weighted average or the most-likely outcome; whereas under U.S. GAAP, such positions are fully reserved.</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7. Noble Pro Forma Results of Operations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provides for the Noble pro forma results of operations for the six months ended June 30, 2022 and twelve months ended December 31, 2021 assuming the Noble 2022 Rig Disposal, the Noble Reorganization, the Pacific Drilling Merger, and the Noble 2021 Rig Disposal had occurred on January 1, 2021.</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320" w:top="455" w:right="5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June Months Ended June 30, 2022</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6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Noble 2022</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Rig Disposal</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Noble</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2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00" w:type="dxa"/>
            <w:vAlign w:val="bottom"/>
          </w:tcPr>
          <w:p>
            <w:pPr>
              <w:spacing w:after="0"/>
              <w:rPr>
                <w:sz w:val="15"/>
                <w:szCs w:val="15"/>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revenues</w:t>
            </w:r>
          </w:p>
        </w:tc>
        <w:tc>
          <w:tcPr>
            <w:tcW w:w="1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Contract drilling services (revenue)</w:t>
            </w:r>
          </w:p>
        </w:tc>
        <w:tc>
          <w:tcPr>
            <w:tcW w:w="17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457,498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(24,115)</w:t>
            </w: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433,383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Reimbursables and other</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27,885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(3,964)</w:t>
            </w:r>
          </w:p>
        </w:tc>
        <w:tc>
          <w:tcPr>
            <w:tcW w:w="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 (o)</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23,921</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485,383</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(28,079)</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457,304</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Contract drilling services (expense)</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344,228</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(28,670)</w:t>
            </w: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 (p)</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315,558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Reimbursables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23,811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(3,492)</w:t>
            </w:r>
          </w:p>
        </w:tc>
        <w:tc>
          <w:tcPr>
            <w:tcW w:w="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20,319</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52,241</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(11,907)</w:t>
            </w: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40,334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34,211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34,211</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Merger and integration costs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18,578</w:t>
            </w:r>
          </w:p>
        </w:tc>
        <w:tc>
          <w:tcPr>
            <w:tcW w:w="16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18,578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operating assets, net</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(3,459)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(3,459)</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Hurricane losses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472,415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(44,069)</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428,346</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12,968</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15,990</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28,958</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(15,395)</w:t>
            </w:r>
          </w:p>
        </w:tc>
        <w:tc>
          <w:tcPr>
            <w:tcW w:w="16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(15,395)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debt, net</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1,531</w:t>
            </w:r>
          </w:p>
        </w:tc>
        <w:tc>
          <w:tcPr>
            <w:tcW w:w="16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Reorganization items, net</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Gain on bargain purchase</w:t>
            </w:r>
          </w:p>
        </w:tc>
        <w:tc>
          <w:tcPr>
            <w:tcW w:w="1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 before income taxes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15,990</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15,094</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(348)</w:t>
            </w: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74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15,642</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16,043</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1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(j)</w:t>
            </w:r>
          </w:p>
        </w:tc>
        <w:tc>
          <w:tcPr>
            <w:tcW w:w="0" w:type="dxa"/>
            <w:vAlign w:val="bottom"/>
          </w:tcPr>
          <w:p>
            <w:pPr>
              <w:spacing w:after="0" w:line="20" w:lineRule="exact"/>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174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0.21</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68,722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68,722</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w:t>
            </w: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81,285</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77,059</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w:t>
            </w:r>
          </w:p>
        </w:tc>
        <w:tc>
          <w:tcPr>
            <w:tcW w:w="0" w:type="dxa"/>
            <w:vAlign w:val="bottom"/>
          </w:tcPr>
          <w:p>
            <w:pPr>
              <w:spacing w:after="0"/>
              <w:rPr>
                <w:sz w:val="1"/>
                <w:szCs w:val="1"/>
                <w:color w:val="auto"/>
              </w:rPr>
            </w:pPr>
          </w:p>
        </w:tc>
      </w:tr>
      <w:tr>
        <w:trPr>
          <w:trHeight w:val="346"/>
        </w:trPr>
        <w:tc>
          <w:tcPr>
            <w:tcW w:w="5060" w:type="dxa"/>
            <w:vAlign w:val="bottom"/>
          </w:tcPr>
          <w:p>
            <w:pPr>
              <w:spacing w:after="0"/>
              <w:rPr>
                <w:sz w:val="24"/>
                <w:szCs w:val="24"/>
                <w:color w:val="auto"/>
              </w:rPr>
            </w:pPr>
          </w:p>
        </w:tc>
        <w:tc>
          <w:tcPr>
            <w:tcW w:w="15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Twelve Months Ended December 31, 2021</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2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Noble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Noble Reorganization</w:t>
            </w: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7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Predecessor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76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Historical</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Noble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Period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Successor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From</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Historical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76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60" w:type="dxa"/>
            <w:vAlign w:val="bottom"/>
          </w:tcPr>
          <w:p>
            <w:pPr>
              <w:spacing w:after="0"/>
              <w:rPr>
                <w:sz w:val="11"/>
                <w:szCs w:val="11"/>
                <w:color w:val="auto"/>
              </w:rPr>
            </w:pPr>
          </w:p>
        </w:tc>
        <w:tc>
          <w:tcPr>
            <w:tcW w:w="84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Period From</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Twelve</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Pro Forma</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ind w:right="30"/>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February 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Months</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Noble</w:t>
            </w:r>
          </w:p>
        </w:tc>
        <w:tc>
          <w:tcPr>
            <w:tcW w:w="80" w:type="dxa"/>
            <w:vAlign w:val="bottom"/>
          </w:tcPr>
          <w:p>
            <w:pPr>
              <w:spacing w:after="0"/>
              <w:rPr>
                <w:sz w:val="11"/>
                <w:szCs w:val="11"/>
                <w:color w:val="auto"/>
              </w:rPr>
            </w:pPr>
          </w:p>
        </w:tc>
        <w:tc>
          <w:tcPr>
            <w:tcW w:w="1180" w:type="dxa"/>
            <w:vAlign w:val="bottom"/>
            <w:gridSpan w:val="2"/>
          </w:tcPr>
          <w:p>
            <w:pPr>
              <w:jc w:val="center"/>
              <w:ind w:right="5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Removal of</w:t>
            </w:r>
          </w:p>
        </w:tc>
        <w:tc>
          <w:tcPr>
            <w:tcW w:w="8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Noble</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60" w:type="dxa"/>
            <w:vAlign w:val="bottom"/>
          </w:tcPr>
          <w:p>
            <w:pPr>
              <w:spacing w:after="0"/>
              <w:rPr>
                <w:sz w:val="11"/>
                <w:szCs w:val="11"/>
                <w:color w:val="auto"/>
              </w:rPr>
            </w:pPr>
          </w:p>
        </w:tc>
        <w:tc>
          <w:tcPr>
            <w:tcW w:w="84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2021 through</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(including</w:t>
            </w:r>
          </w:p>
        </w:tc>
        <w:tc>
          <w:tcPr>
            <w:tcW w:w="80" w:type="dxa"/>
            <w:vAlign w:val="bottom"/>
          </w:tcPr>
          <w:p>
            <w:pPr>
              <w:spacing w:after="0"/>
              <w:rPr>
                <w:sz w:val="11"/>
                <w:szCs w:val="11"/>
                <w:color w:val="auto"/>
              </w:rPr>
            </w:pPr>
          </w:p>
        </w:tc>
        <w:tc>
          <w:tcPr>
            <w:tcW w:w="1180" w:type="dxa"/>
            <w:vAlign w:val="bottom"/>
            <w:gridSpan w:val="2"/>
          </w:tcPr>
          <w:p>
            <w:pPr>
              <w:jc w:val="center"/>
              <w:ind w:right="520"/>
              <w:spacing w:after="0" w:line="135" w:lineRule="exact"/>
              <w:rPr>
                <w:sz w:val="20"/>
                <w:szCs w:val="20"/>
                <w:color w:val="auto"/>
              </w:rPr>
            </w:pPr>
            <w:r>
              <w:rPr>
                <w:rFonts w:ascii="Times New Roman" w:cs="Times New Roman" w:eastAsia="Times New Roman" w:hAnsi="Times New Roman"/>
                <w:sz w:val="13"/>
                <w:szCs w:val="13"/>
                <w:b w:val="1"/>
                <w:bCs w:val="1"/>
                <w:color w:val="auto"/>
                <w:w w:val="92"/>
              </w:rPr>
              <w:t>Noble</w:t>
            </w:r>
          </w:p>
        </w:tc>
        <w:tc>
          <w:tcPr>
            <w:tcW w:w="8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Post-</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76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February 5,</w:t>
            </w:r>
          </w:p>
        </w:tc>
        <w:tc>
          <w:tcPr>
            <w:tcW w:w="60" w:type="dxa"/>
            <w:vAlign w:val="bottom"/>
          </w:tcPr>
          <w:p>
            <w:pPr>
              <w:spacing w:after="0"/>
              <w:rPr>
                <w:sz w:val="11"/>
                <w:szCs w:val="11"/>
                <w:color w:val="auto"/>
              </w:rPr>
            </w:pPr>
          </w:p>
        </w:tc>
        <w:tc>
          <w:tcPr>
            <w:tcW w:w="84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80" w:type="dxa"/>
            <w:vAlign w:val="bottom"/>
          </w:tcPr>
          <w:p>
            <w:pPr>
              <w:spacing w:after="0"/>
              <w:rPr>
                <w:sz w:val="11"/>
                <w:szCs w:val="11"/>
                <w:color w:val="auto"/>
              </w:rPr>
            </w:pPr>
          </w:p>
        </w:tc>
        <w:tc>
          <w:tcPr>
            <w:tcW w:w="84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14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Reorganization</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Fresh Start</w:t>
            </w:r>
          </w:p>
        </w:tc>
        <w:tc>
          <w:tcPr>
            <w:tcW w:w="320" w:type="dxa"/>
            <w:vAlign w:val="bottom"/>
          </w:tcPr>
          <w:p>
            <w:pPr>
              <w:spacing w:after="0"/>
              <w:rPr>
                <w:sz w:val="11"/>
                <w:szCs w:val="11"/>
                <w:color w:val="auto"/>
              </w:rPr>
            </w:pPr>
          </w:p>
        </w:tc>
        <w:tc>
          <w:tcPr>
            <w:tcW w:w="98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reorganization</w:t>
            </w:r>
          </w:p>
        </w:tc>
        <w:tc>
          <w:tcPr>
            <w:tcW w:w="1260" w:type="dxa"/>
            <w:vAlign w:val="bottom"/>
            <w:gridSpan w:val="3"/>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Reorganization</w:t>
            </w:r>
          </w:p>
        </w:tc>
        <w:tc>
          <w:tcPr>
            <w:tcW w:w="90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reorganization</w:t>
            </w:r>
          </w:p>
        </w:tc>
        <w:tc>
          <w:tcPr>
            <w:tcW w:w="0" w:type="dxa"/>
            <w:vAlign w:val="bottom"/>
          </w:tcPr>
          <w:p>
            <w:pPr>
              <w:spacing w:after="0"/>
              <w:rPr>
                <w:sz w:val="1"/>
                <w:szCs w:val="1"/>
                <w:color w:val="auto"/>
              </w:rPr>
            </w:pPr>
          </w:p>
        </w:tc>
      </w:tr>
      <w:tr>
        <w:trPr>
          <w:trHeight w:val="155"/>
        </w:trPr>
        <w:tc>
          <w:tcPr>
            <w:tcW w:w="2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items, net)</w:t>
            </w:r>
          </w:p>
        </w:tc>
        <w:tc>
          <w:tcPr>
            <w:tcW w:w="80" w:type="dxa"/>
            <w:vAlign w:val="bottom"/>
          </w:tcPr>
          <w:p>
            <w:pPr>
              <w:spacing w:after="0"/>
              <w:rPr>
                <w:sz w:val="13"/>
                <w:szCs w:val="13"/>
                <w:color w:val="auto"/>
              </w:rPr>
            </w:pPr>
          </w:p>
        </w:tc>
        <w:tc>
          <w:tcPr>
            <w:tcW w:w="118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w w:val="93"/>
              </w:rPr>
              <w:t>items, net</w:t>
            </w:r>
          </w:p>
        </w:tc>
        <w:tc>
          <w:tcPr>
            <w:tcW w:w="8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Pro Forma</w:t>
            </w:r>
          </w:p>
        </w:tc>
        <w:tc>
          <w:tcPr>
            <w:tcW w:w="0" w:type="dxa"/>
            <w:vAlign w:val="bottom"/>
          </w:tcPr>
          <w:p>
            <w:pPr>
              <w:spacing w:after="0"/>
              <w:rPr>
                <w:sz w:val="1"/>
                <w:szCs w:val="1"/>
                <w:color w:val="auto"/>
              </w:rPr>
            </w:pPr>
          </w:p>
        </w:tc>
      </w:tr>
      <w:tr>
        <w:trPr>
          <w:trHeight w:val="128"/>
        </w:trPr>
        <w:tc>
          <w:tcPr>
            <w:tcW w:w="28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Operating revenues</w:t>
            </w: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Contract drilling services (revenue)</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74,051</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708,131</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782,182</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(5,210)</w:t>
            </w:r>
          </w:p>
        </w:tc>
        <w:tc>
          <w:tcPr>
            <w:tcW w:w="3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(c)</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776,972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776,972</w:t>
            </w: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Reimbursables and other</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3,430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62,194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65,624</w:t>
            </w:r>
          </w:p>
        </w:tc>
        <w:tc>
          <w:tcPr>
            <w:tcW w:w="14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65,624</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65,624</w:t>
            </w:r>
          </w:p>
        </w:tc>
        <w:tc>
          <w:tcPr>
            <w:tcW w:w="0" w:type="dxa"/>
            <w:vAlign w:val="bottom"/>
          </w:tcPr>
          <w:p>
            <w:pPr>
              <w:spacing w:after="0"/>
              <w:rPr>
                <w:sz w:val="1"/>
                <w:szCs w:val="1"/>
                <w:color w:val="auto"/>
              </w:rPr>
            </w:pPr>
          </w:p>
        </w:tc>
      </w:tr>
      <w:tr>
        <w:trPr>
          <w:trHeight w:val="163"/>
        </w:trPr>
        <w:tc>
          <w:tcPr>
            <w:tcW w:w="28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77,481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770,325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847,806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top w:val="single" w:sz="8" w:color="auto"/>
              <w:bottom w:val="single" w:sz="8" w:color="auto"/>
            </w:tcBorders>
          </w:tcPr>
          <w:p>
            <w:pPr>
              <w:ind w:left="5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(5,210)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842,596</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ind w:left="5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842,596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costs and expense</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Contract drilling services (expense)</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46,965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639,442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686,407</w:t>
            </w:r>
          </w:p>
        </w:tc>
        <w:tc>
          <w:tcPr>
            <w:tcW w:w="140" w:type="dxa"/>
            <w:vAlign w:val="bottom"/>
          </w:tcPr>
          <w:p>
            <w:pPr>
              <w:spacing w:after="0"/>
              <w:rPr>
                <w:sz w:val="12"/>
                <w:szCs w:val="12"/>
                <w:color w:val="auto"/>
              </w:rPr>
            </w:pPr>
          </w:p>
        </w:tc>
        <w:tc>
          <w:tcPr>
            <w:tcW w:w="88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2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687,327</w:t>
            </w:r>
          </w:p>
        </w:tc>
        <w:tc>
          <w:tcPr>
            <w:tcW w:w="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687,327</w:t>
            </w: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Reimbursables</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2,737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55,832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58,569</w:t>
            </w:r>
          </w:p>
        </w:tc>
        <w:tc>
          <w:tcPr>
            <w:tcW w:w="14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58,569</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58,569</w:t>
            </w: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20,622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89,535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110,157</w:t>
            </w:r>
          </w:p>
        </w:tc>
        <w:tc>
          <w:tcPr>
            <w:tcW w:w="140" w:type="dxa"/>
            <w:vAlign w:val="bottom"/>
          </w:tcPr>
          <w:p>
            <w:pPr>
              <w:spacing w:after="0"/>
              <w:rPr>
                <w:sz w:val="12"/>
                <w:szCs w:val="12"/>
                <w:color w:val="auto"/>
              </w:rPr>
            </w:pPr>
          </w:p>
        </w:tc>
        <w:tc>
          <w:tcPr>
            <w:tcW w:w="88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(11,123)</w:t>
            </w:r>
          </w:p>
        </w:tc>
        <w:tc>
          <w:tcPr>
            <w:tcW w:w="3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(d)</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99,034</w:t>
            </w:r>
          </w:p>
        </w:tc>
        <w:tc>
          <w:tcPr>
            <w:tcW w:w="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99,034</w:t>
            </w: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5,727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62,476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68,203</w:t>
            </w:r>
          </w:p>
        </w:tc>
        <w:tc>
          <w:tcPr>
            <w:tcW w:w="14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803</w:t>
            </w:r>
          </w:p>
        </w:tc>
        <w:tc>
          <w:tcPr>
            <w:tcW w:w="2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69,006</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69,006</w:t>
            </w: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Merger and integration costs</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24,792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24,792</w:t>
            </w:r>
          </w:p>
        </w:tc>
        <w:tc>
          <w:tcPr>
            <w:tcW w:w="140" w:type="dxa"/>
            <w:vAlign w:val="bottom"/>
          </w:tcPr>
          <w:p>
            <w:pPr>
              <w:spacing w:after="0"/>
              <w:rPr>
                <w:sz w:val="12"/>
                <w:szCs w:val="12"/>
                <w:color w:val="auto"/>
              </w:rPr>
            </w:pPr>
          </w:p>
        </w:tc>
        <w:tc>
          <w:tcPr>
            <w:tcW w:w="88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24,792</w:t>
            </w:r>
          </w:p>
        </w:tc>
        <w:tc>
          <w:tcPr>
            <w:tcW w:w="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24,792</w:t>
            </w: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Gain on sale of operating assets, net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(185,934)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(185,934)</w:t>
            </w:r>
          </w:p>
        </w:tc>
        <w:tc>
          <w:tcPr>
            <w:tcW w:w="14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(185,934)</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(185,934)</w:t>
            </w:r>
          </w:p>
        </w:tc>
        <w:tc>
          <w:tcPr>
            <w:tcW w:w="0" w:type="dxa"/>
            <w:vAlign w:val="bottom"/>
          </w:tcPr>
          <w:p>
            <w:pPr>
              <w:spacing w:after="0"/>
              <w:rPr>
                <w:sz w:val="1"/>
                <w:szCs w:val="1"/>
                <w:color w:val="auto"/>
              </w:rPr>
            </w:pPr>
          </w:p>
        </w:tc>
      </w:tr>
      <w:tr>
        <w:trPr>
          <w:trHeight w:val="156"/>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Hurricane losses</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23,350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23,350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bottom w:val="single" w:sz="8" w:color="auto"/>
            </w:tcBorders>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23,350</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23,350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76,051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709,493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785,544</w:t>
            </w:r>
          </w:p>
        </w:tc>
        <w:tc>
          <w:tcPr>
            <w:tcW w:w="14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1,723</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(11,123)</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776,144</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776,144</w:t>
            </w:r>
          </w:p>
        </w:tc>
        <w:tc>
          <w:tcPr>
            <w:tcW w:w="0" w:type="dxa"/>
            <w:vAlign w:val="bottom"/>
          </w:tcPr>
          <w:p>
            <w:pPr>
              <w:spacing w:after="0"/>
              <w:rPr>
                <w:sz w:val="1"/>
                <w:szCs w:val="1"/>
                <w:color w:val="auto"/>
              </w:rPr>
            </w:pPr>
          </w:p>
        </w:tc>
      </w:tr>
      <w:tr>
        <w:trPr>
          <w:trHeight w:val="156"/>
        </w:trPr>
        <w:tc>
          <w:tcPr>
            <w:tcW w:w="28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Operating income (loss)</w:t>
            </w: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1,430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60,832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62,262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(1,723)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5,913</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66,452</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ind w:left="5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66,452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income (expense)</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 of amounts capitalized</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(31,735)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(31,964)</w:t>
            </w:r>
          </w:p>
        </w:tc>
        <w:tc>
          <w:tcPr>
            <w:tcW w:w="14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(3,518)</w:t>
            </w:r>
          </w:p>
        </w:tc>
        <w:tc>
          <w:tcPr>
            <w:tcW w:w="2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(b)</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(35,482)</w:t>
            </w:r>
          </w:p>
        </w:tc>
        <w:tc>
          <w:tcPr>
            <w:tcW w:w="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(35,482)</w:t>
            </w: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Gain on extinguishment of debt, net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income and other, net</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10,945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11,344</w:t>
            </w:r>
          </w:p>
        </w:tc>
        <w:tc>
          <w:tcPr>
            <w:tcW w:w="140" w:type="dxa"/>
            <w:vAlign w:val="bottom"/>
          </w:tcPr>
          <w:p>
            <w:pPr>
              <w:spacing w:after="0"/>
              <w:rPr>
                <w:sz w:val="12"/>
                <w:szCs w:val="12"/>
                <w:color w:val="auto"/>
              </w:rPr>
            </w:pPr>
          </w:p>
        </w:tc>
        <w:tc>
          <w:tcPr>
            <w:tcW w:w="88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11,344</w:t>
            </w:r>
          </w:p>
        </w:tc>
        <w:tc>
          <w:tcPr>
            <w:tcW w:w="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11,344</w:t>
            </w: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Reorganization items, net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252,051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252,051</w:t>
            </w:r>
          </w:p>
        </w:tc>
        <w:tc>
          <w:tcPr>
            <w:tcW w:w="14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252,051</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(252,051)  (k)</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Gain on bargain purchase</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62,305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62,305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bottom w:val="single" w:sz="8" w:color="auto"/>
            </w:tcBorders>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62,305</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62,305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8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Income (loss) from continuing operations</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253,651</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102,347</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355,998</w:t>
            </w:r>
          </w:p>
        </w:tc>
        <w:tc>
          <w:tcPr>
            <w:tcW w:w="140" w:type="dxa"/>
            <w:vAlign w:val="bottom"/>
            <w:tcBorders>
              <w:right w:val="single" w:sz="8" w:color="CCEEFF"/>
            </w:tcBorders>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(5,241)</w:t>
            </w: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5,913</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356,670</w:t>
            </w:r>
          </w:p>
        </w:tc>
        <w:tc>
          <w:tcPr>
            <w:tcW w:w="80" w:type="dxa"/>
            <w:vAlign w:val="bottom"/>
            <w:shd w:val="clear" w:color="auto" w:fill="CCEEFF"/>
          </w:tcPr>
          <w:p>
            <w:pPr>
              <w:spacing w:after="0"/>
              <w:rPr>
                <w:sz w:val="10"/>
                <w:szCs w:val="10"/>
                <w:color w:val="auto"/>
              </w:rPr>
            </w:pPr>
          </w:p>
        </w:tc>
        <w:tc>
          <w:tcPr>
            <w:tcW w:w="118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(252,051)</w:t>
            </w: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104,619</w:t>
            </w:r>
          </w:p>
        </w:tc>
        <w:tc>
          <w:tcPr>
            <w:tcW w:w="0" w:type="dxa"/>
            <w:vAlign w:val="bottom"/>
          </w:tcPr>
          <w:p>
            <w:pPr>
              <w:spacing w:after="0"/>
              <w:rPr>
                <w:sz w:val="1"/>
                <w:szCs w:val="1"/>
                <w:color w:val="auto"/>
              </w:rPr>
            </w:pPr>
          </w:p>
        </w:tc>
      </w:tr>
      <w:tr>
        <w:trPr>
          <w:trHeight w:val="173"/>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before income taxes</w:t>
            </w:r>
          </w:p>
        </w:tc>
        <w:tc>
          <w:tcPr>
            <w:tcW w:w="8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benefit (provision)</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(3,423)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(3,788)</w:t>
            </w:r>
          </w:p>
        </w:tc>
        <w:tc>
          <w:tcPr>
            <w:tcW w:w="140" w:type="dxa"/>
            <w:vAlign w:val="bottom"/>
          </w:tcPr>
          <w:p>
            <w:pPr>
              <w:spacing w:after="0"/>
              <w:rPr>
                <w:sz w:val="12"/>
                <w:szCs w:val="12"/>
                <w:color w:val="auto"/>
              </w:rPr>
            </w:pPr>
          </w:p>
        </w:tc>
        <w:tc>
          <w:tcPr>
            <w:tcW w:w="88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353</w:t>
            </w:r>
          </w:p>
        </w:tc>
        <w:tc>
          <w:tcPr>
            <w:tcW w:w="2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1,094</w:t>
            </w:r>
          </w:p>
        </w:tc>
        <w:tc>
          <w:tcPr>
            <w:tcW w:w="3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(e)</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(2,341)</w:t>
            </w:r>
          </w:p>
        </w:tc>
        <w:tc>
          <w:tcPr>
            <w:tcW w:w="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(2,341)</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 (loss)</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250,228</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101,982</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352,210</w:t>
            </w:r>
          </w:p>
        </w:tc>
        <w:tc>
          <w:tcPr>
            <w:tcW w:w="1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(4,888)</w:t>
            </w:r>
          </w:p>
        </w:tc>
        <w:tc>
          <w:tcPr>
            <w:tcW w:w="2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7,007</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354,329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(252,051)</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102,278</w:t>
            </w: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Basic net income (loss)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40" w:type="dxa"/>
            <w:vAlign w:val="bottom"/>
            <w:vMerge w:val="continue"/>
          </w:tcPr>
          <w:p>
            <w:pPr>
              <w:spacing w:after="0"/>
              <w:rPr>
                <w:sz w:val="12"/>
                <w:szCs w:val="12"/>
                <w:color w:val="auto"/>
              </w:rPr>
            </w:pPr>
          </w:p>
        </w:tc>
        <w:tc>
          <w:tcPr>
            <w:tcW w:w="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Diluted net income (loss) per share</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0.98</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Weighted average shares outstanding</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251,115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63,186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256,571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67,628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2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Pacific Drilling Merger</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Pacific</w:t>
            </w: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From</w:t>
            </w:r>
          </w:p>
        </w:tc>
        <w:tc>
          <w:tcPr>
            <w:tcW w:w="120" w:type="dxa"/>
            <w:vAlign w:val="bottom"/>
          </w:tcPr>
          <w:p>
            <w:pPr>
              <w:spacing w:after="0"/>
              <w:rPr>
                <w:sz w:val="12"/>
                <w:szCs w:val="12"/>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Pacific</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120" w:type="dxa"/>
            <w:vAlign w:val="bottom"/>
          </w:tcPr>
          <w:p>
            <w:pPr>
              <w:spacing w:after="0"/>
              <w:rPr>
                <w:sz w:val="12"/>
                <w:szCs w:val="12"/>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Drilling</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Merger</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Noble</w:t>
            </w:r>
          </w:p>
        </w:tc>
        <w:tc>
          <w:tcPr>
            <w:tcW w:w="80" w:type="dxa"/>
            <w:vAlign w:val="bottom"/>
          </w:tcPr>
          <w:p>
            <w:pPr>
              <w:spacing w:after="0"/>
              <w:rPr>
                <w:sz w:val="12"/>
                <w:szCs w:val="12"/>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Noble 2021</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rPr>
              <w:t>Noble 2022</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Noble Post-</w:t>
            </w:r>
          </w:p>
        </w:tc>
        <w:tc>
          <w:tcPr>
            <w:tcW w:w="80" w:type="dxa"/>
            <w:vAlign w:val="bottom"/>
          </w:tcPr>
          <w:p>
            <w:pPr>
              <w:spacing w:after="0"/>
              <w:rPr>
                <w:sz w:val="12"/>
                <w:szCs w:val="12"/>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through</w:t>
            </w: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Transaction</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/Pacific</w:t>
            </w:r>
          </w:p>
        </w:tc>
        <w:tc>
          <w:tcPr>
            <w:tcW w:w="80" w:type="dxa"/>
            <w:vAlign w:val="bottom"/>
          </w:tcPr>
          <w:p>
            <w:pPr>
              <w:spacing w:after="0"/>
              <w:rPr>
                <w:sz w:val="12"/>
                <w:szCs w:val="1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Rig Disposal</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Rig Disposal</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reorganization</w:t>
            </w: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April 15,</w:t>
            </w: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Accounting</w:t>
            </w:r>
          </w:p>
        </w:tc>
        <w:tc>
          <w:tcPr>
            <w:tcW w:w="400" w:type="dxa"/>
            <w:vAlign w:val="bottom"/>
          </w:tcPr>
          <w:p>
            <w:pPr>
              <w:spacing w:after="0"/>
              <w:rPr>
                <w:sz w:val="12"/>
                <w:szCs w:val="12"/>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80" w:type="dxa"/>
            <w:vAlign w:val="bottom"/>
          </w:tcPr>
          <w:p>
            <w:pPr>
              <w:spacing w:after="0"/>
              <w:rPr>
                <w:sz w:val="12"/>
                <w:szCs w:val="12"/>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Accounting</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rPr>
              <w:t>Accounting</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Noble</w:t>
            </w:r>
          </w:p>
        </w:tc>
        <w:tc>
          <w:tcPr>
            <w:tcW w:w="0" w:type="dxa"/>
            <w:vAlign w:val="bottom"/>
          </w:tcPr>
          <w:p>
            <w:pPr>
              <w:spacing w:after="0"/>
              <w:rPr>
                <w:sz w:val="1"/>
                <w:szCs w:val="1"/>
                <w:color w:val="auto"/>
              </w:rPr>
            </w:pPr>
          </w:p>
        </w:tc>
      </w:tr>
      <w:tr>
        <w:trPr>
          <w:trHeight w:val="165"/>
        </w:trPr>
        <w:tc>
          <w:tcPr>
            <w:tcW w:w="2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80" w:type="dxa"/>
            <w:vAlign w:val="bottom"/>
          </w:tcPr>
          <w:p>
            <w:pPr>
              <w:spacing w:after="0"/>
              <w:rPr>
                <w:sz w:val="14"/>
                <w:szCs w:val="14"/>
                <w:color w:val="auto"/>
              </w:rPr>
            </w:pPr>
          </w:p>
        </w:tc>
        <w:tc>
          <w:tcPr>
            <w:tcW w:w="540" w:type="dxa"/>
            <w:vAlign w:val="bottom"/>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80" w:type="dxa"/>
            <w:vAlign w:val="bottom"/>
          </w:tcPr>
          <w:p>
            <w:pPr>
              <w:spacing w:after="0"/>
              <w:rPr>
                <w:sz w:val="14"/>
                <w:szCs w:val="14"/>
                <w:color w:val="auto"/>
              </w:rPr>
            </w:pP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40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83"/>
        </w:trPr>
        <w:tc>
          <w:tcPr>
            <w:tcW w:w="258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Operating revenues</w:t>
            </w: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Contract drilling services (revenue)</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776,972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30,893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807,865</w:t>
            </w:r>
          </w:p>
        </w:tc>
        <w:tc>
          <w:tcPr>
            <w:tcW w:w="12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(84,546)</w:t>
            </w:r>
          </w:p>
        </w:tc>
        <w:tc>
          <w:tcPr>
            <w:tcW w:w="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(48,369)</w:t>
            </w:r>
          </w:p>
        </w:tc>
        <w:tc>
          <w:tcPr>
            <w:tcW w:w="5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w:t>
            </w: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$ 674,950</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Reimbursables and other</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65,624</w:t>
            </w: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1,791</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67,415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(1,874)</w:t>
            </w: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(3,321)</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 (o)</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62,220</w:t>
            </w:r>
          </w:p>
        </w:tc>
        <w:tc>
          <w:tcPr>
            <w:tcW w:w="0" w:type="dxa"/>
            <w:vAlign w:val="bottom"/>
          </w:tcPr>
          <w:p>
            <w:pPr>
              <w:spacing w:after="0"/>
              <w:rPr>
                <w:sz w:val="1"/>
                <w:szCs w:val="1"/>
                <w:color w:val="auto"/>
              </w:rPr>
            </w:pPr>
          </w:p>
        </w:tc>
      </w:tr>
      <w:tr>
        <w:trPr>
          <w:trHeight w:val="217"/>
        </w:trPr>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842,596</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32,684</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875,280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(86,420)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(51,690</w:t>
            </w: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737,170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costs and expense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Contract drilling services (expense)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687,327</w:t>
            </w: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43,586</w:t>
            </w:r>
          </w:p>
        </w:tc>
        <w:tc>
          <w:tcPr>
            <w:tcW w:w="120" w:type="dxa"/>
            <w:vAlign w:val="bottom"/>
          </w:tcPr>
          <w:p>
            <w:pPr>
              <w:spacing w:after="0"/>
              <w:rPr>
                <w:sz w:val="18"/>
                <w:szCs w:val="18"/>
                <w:color w:val="auto"/>
              </w:rPr>
            </w:pPr>
          </w:p>
        </w:tc>
        <w:tc>
          <w:tcPr>
            <w:tcW w:w="62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4"/>
              </w:rPr>
              <w:t>2,108</w:t>
            </w:r>
          </w:p>
        </w:tc>
        <w:tc>
          <w:tcPr>
            <w:tcW w:w="16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(56,746)</w:t>
            </w:r>
          </w:p>
        </w:tc>
        <w:tc>
          <w:tcPr>
            <w:tcW w:w="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(113,710)</w:t>
            </w:r>
          </w:p>
        </w:tc>
        <w:tc>
          <w:tcPr>
            <w:tcW w:w="5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 (p)</w:t>
            </w: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562,565</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Reimbursables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58,569</w:t>
            </w: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1,090</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59,659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(1,008)</w:t>
            </w: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(3,086)</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55,565</w:t>
            </w:r>
          </w:p>
        </w:tc>
        <w:tc>
          <w:tcPr>
            <w:tcW w:w="0" w:type="dxa"/>
            <w:vAlign w:val="bottom"/>
          </w:tcPr>
          <w:p>
            <w:pPr>
              <w:spacing w:after="0"/>
              <w:rPr>
                <w:sz w:val="1"/>
                <w:szCs w:val="1"/>
                <w:color w:val="auto"/>
              </w:rPr>
            </w:pPr>
          </w:p>
        </w:tc>
      </w:tr>
      <w:tr>
        <w:trPr>
          <w:trHeight w:val="213"/>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99,034</w:t>
            </w: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12,026</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(7,656)</w:t>
            </w:r>
          </w:p>
        </w:tc>
        <w:tc>
          <w:tcPr>
            <w:tcW w:w="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(7,593)</w:t>
            </w:r>
          </w:p>
        </w:tc>
        <w:tc>
          <w:tcPr>
            <w:tcW w:w="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(20,836)</w:t>
            </w:r>
          </w:p>
        </w:tc>
        <w:tc>
          <w:tcPr>
            <w:tcW w:w="5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w:t>
            </w: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74,975</w:t>
            </w:r>
          </w:p>
        </w:tc>
        <w:tc>
          <w:tcPr>
            <w:tcW w:w="0" w:type="dxa"/>
            <w:vAlign w:val="bottom"/>
          </w:tcPr>
          <w:p>
            <w:pPr>
              <w:spacing w:after="0"/>
              <w:rPr>
                <w:sz w:val="1"/>
                <w:szCs w:val="1"/>
                <w:color w:val="auto"/>
              </w:rPr>
            </w:pPr>
          </w:p>
        </w:tc>
      </w:tr>
      <w:tr>
        <w:trPr>
          <w:trHeight w:val="205"/>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69,006</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25,441</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94,447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94,447</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Merger and integration costs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24,792</w:t>
            </w:r>
          </w:p>
        </w:tc>
        <w:tc>
          <w:tcPr>
            <w:tcW w:w="8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7"/>
                <w:szCs w:val="17"/>
                <w:color w:val="auto"/>
              </w:rPr>
            </w:pP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24,792</w:t>
            </w: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sale of operating assets, net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(185,934)</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8"/>
              </w:rPr>
              <w:t>(185,934)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(73,499)</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(q)</w:t>
            </w:r>
          </w:p>
        </w:tc>
        <w:tc>
          <w:tcPr>
            <w:tcW w:w="11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(259,433)</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Hurricane losses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23,350</w:t>
            </w:r>
          </w:p>
        </w:tc>
        <w:tc>
          <w:tcPr>
            <w:tcW w:w="8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7"/>
                <w:szCs w:val="17"/>
                <w:color w:val="auto"/>
              </w:rPr>
            </w:pP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23,350</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776,144</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82,143</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(5,548)</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852,739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(65,347)</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(211,131)</w:t>
            </w:r>
          </w:p>
        </w:tc>
        <w:tc>
          <w:tcPr>
            <w:tcW w:w="5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576,261</w:t>
            </w:r>
          </w:p>
        </w:tc>
        <w:tc>
          <w:tcPr>
            <w:tcW w:w="0" w:type="dxa"/>
            <w:vAlign w:val="bottom"/>
          </w:tcPr>
          <w:p>
            <w:pPr>
              <w:spacing w:after="0"/>
              <w:rPr>
                <w:sz w:val="1"/>
                <w:szCs w:val="1"/>
                <w:color w:val="auto"/>
              </w:rPr>
            </w:pPr>
          </w:p>
        </w:tc>
      </w:tr>
      <w:tr>
        <w:trPr>
          <w:trHeight w:val="207"/>
        </w:trPr>
        <w:tc>
          <w:tcPr>
            <w:tcW w:w="2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66,452</w:t>
            </w: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(49,459)</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w w:val="94"/>
              </w:rPr>
              <w:t>5,548</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22,541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(21,073)</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159,441</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160,909</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 of amounts</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(l) (m)</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capitalized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(35,482)</w:t>
            </w: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tcPr>
          <w:p>
            <w:pPr>
              <w:spacing w:after="0"/>
              <w:rPr>
                <w:sz w:val="18"/>
                <w:szCs w:val="18"/>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371</w:t>
            </w:r>
          </w:p>
        </w:tc>
        <w:tc>
          <w:tcPr>
            <w:tcW w:w="16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(h)</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(35,482)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10,683</w:t>
            </w: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(24,799)</w:t>
            </w:r>
          </w:p>
        </w:tc>
        <w:tc>
          <w:tcPr>
            <w:tcW w:w="0" w:type="dxa"/>
            <w:vAlign w:val="bottom"/>
          </w:tcPr>
          <w:p>
            <w:pPr>
              <w:spacing w:after="0"/>
              <w:rPr>
                <w:sz w:val="1"/>
                <w:szCs w:val="1"/>
                <w:color w:val="auto"/>
              </w:rPr>
            </w:pPr>
          </w:p>
        </w:tc>
      </w:tr>
      <w:tr>
        <w:trPr>
          <w:trHeight w:val="205"/>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extinguishment of debt, net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(2,664)</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(2,664)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(2,664)</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and other, net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11,344</w:t>
            </w: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7"/>
                <w:szCs w:val="17"/>
                <w:color w:val="auto"/>
              </w:rPr>
            </w:pP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11,319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7"/>
                <w:szCs w:val="17"/>
                <w:color w:val="auto"/>
              </w:rPr>
            </w:pP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11,319</w:t>
            </w: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Reorganization items, net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Gain on bargain purchase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62,305</w:t>
            </w:r>
          </w:p>
        </w:tc>
        <w:tc>
          <w:tcPr>
            <w:tcW w:w="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62,305</w:t>
            </w:r>
          </w:p>
        </w:tc>
        <w:tc>
          <w:tcPr>
            <w:tcW w:w="0" w:type="dxa"/>
            <w:vAlign w:val="bottom"/>
          </w:tcPr>
          <w:p>
            <w:pPr>
              <w:spacing w:after="0"/>
              <w:rPr>
                <w:sz w:val="1"/>
                <w:szCs w:val="1"/>
                <w:color w:val="auto"/>
              </w:rPr>
            </w:pPr>
          </w:p>
        </w:tc>
      </w:tr>
      <w:tr>
        <w:trPr>
          <w:trHeight w:val="187"/>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(loss) from continuing</w:t>
            </w:r>
          </w:p>
        </w:tc>
        <w:tc>
          <w:tcPr>
            <w:tcW w:w="2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operations before income taxes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104,619</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(52,519)</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4"/>
              </w:rPr>
              <w:t>5,919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(10,390)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159,441</w:t>
            </w:r>
          </w:p>
        </w:tc>
        <w:tc>
          <w:tcPr>
            <w:tcW w:w="5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207,070</w:t>
            </w:r>
          </w:p>
        </w:tc>
        <w:tc>
          <w:tcPr>
            <w:tcW w:w="0" w:type="dxa"/>
            <w:vAlign w:val="bottom"/>
          </w:tcPr>
          <w:p>
            <w:pPr>
              <w:spacing w:after="0"/>
              <w:rPr>
                <w:sz w:val="1"/>
                <w:szCs w:val="1"/>
                <w:color w:val="auto"/>
              </w:rPr>
            </w:pPr>
          </w:p>
        </w:tc>
      </w:tr>
      <w:tr>
        <w:trPr>
          <w:trHeight w:val="213"/>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(2,341)</w:t>
            </w: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w:t>
            </w:r>
          </w:p>
        </w:tc>
        <w:tc>
          <w:tcPr>
            <w:tcW w:w="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1,544</w:t>
            </w:r>
          </w:p>
        </w:tc>
        <w:tc>
          <w:tcPr>
            <w:tcW w:w="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(3,946)</w:t>
            </w:r>
          </w:p>
        </w:tc>
        <w:tc>
          <w:tcPr>
            <w:tcW w:w="5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w:t>
            </w:r>
          </w:p>
        </w:tc>
        <w:tc>
          <w:tcPr>
            <w:tcW w:w="116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(5,014)</w:t>
            </w:r>
          </w:p>
        </w:tc>
        <w:tc>
          <w:tcPr>
            <w:tcW w:w="0" w:type="dxa"/>
            <w:vAlign w:val="bottom"/>
          </w:tcPr>
          <w:p>
            <w:pPr>
              <w:spacing w:after="0"/>
              <w:rPr>
                <w:sz w:val="1"/>
                <w:szCs w:val="1"/>
                <w:color w:val="auto"/>
              </w:rPr>
            </w:pPr>
          </w:p>
        </w:tc>
      </w:tr>
      <w:tr>
        <w:trPr>
          <w:trHeight w:val="30"/>
        </w:trPr>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102,278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(52,782)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5,911</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55,407</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(8,846)</w:t>
            </w:r>
          </w:p>
        </w:tc>
        <w:tc>
          <w:tcPr>
            <w:tcW w:w="6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155,495</w:t>
            </w:r>
          </w:p>
        </w:tc>
        <w:tc>
          <w:tcPr>
            <w:tcW w:w="5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$ 202,056</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Basic net income (loss) per share</w:t>
            </w:r>
          </w:p>
        </w:tc>
        <w:tc>
          <w:tcPr>
            <w:tcW w:w="3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3.03</w:t>
            </w:r>
          </w:p>
        </w:tc>
        <w:tc>
          <w:tcPr>
            <w:tcW w:w="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w:t>
            </w:r>
          </w:p>
        </w:tc>
      </w:tr>
      <w:tr>
        <w:trPr>
          <w:trHeight w:val="205"/>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net income (loss) per share</w:t>
            </w:r>
          </w:p>
        </w:tc>
        <w:tc>
          <w:tcPr>
            <w:tcW w:w="3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2.84</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w:t>
            </w:r>
          </w:p>
        </w:tc>
      </w:tr>
      <w:tr>
        <w:trPr>
          <w:trHeight w:val="20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3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39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66,615</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w:t>
            </w: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390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71,058</w:t>
            </w:r>
          </w:p>
        </w:tc>
        <w:tc>
          <w:tcPr>
            <w:tcW w:w="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w:t>
            </w:r>
          </w:p>
        </w:tc>
      </w:tr>
    </w:tbl>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Noble Reorganization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Reorganization Adjustments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 Stock based compensation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Reflects an increase in stock-based compensation expense based on the new awards issued in connection with the Noble Reorganization.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 Interest expense</w:t>
      </w:r>
    </w:p>
    <w:p>
      <w:pPr>
        <w:spacing w:after="0" w:line="11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adjustment reflects change of interest expense for the Predecessor as a result of the Noble Plan. Under the Noble Plan, all amounts outstanding under the 2017 Credit Facility (as defined in the 2021 Form 10-K), including the interest, were paid in full and all of Noble’s then outstanding senior notes were settled for the Noble Shares, Tranche 1 Warrants and Tranche 2 Warrants (each as defined in the 2021 Form 10-K). Upon emergence, Noble entered into a senior secured revolving credit agreement (the “Revolving Credit Agreement”) that provides for a $675.0 million senior secured revolving credit facility (with a $67.5 million sublimit for the issuance of letters of credit thereunder) (the “Successor Revolving Credit Facility”) and issued $216.0 million senior secured second lien notes (the “Notes”) with an interest rate of LIBOR + 4.75% and 11% payable semi-annually, respectively. The pro forma adjustment to interest expense was calculated as follows:</w:t>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Reversal of Predecessor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7" w:lineRule="exact"/>
        <w:rPr>
          <w:sz w:val="20"/>
          <w:szCs w:val="20"/>
          <w:color w:val="auto"/>
        </w:rPr>
      </w:pPr>
    </w:p>
    <w:p>
      <w:pPr>
        <w:ind w:left="2060" w:right="838" w:hanging="179"/>
        <w:spacing w:after="0" w:line="258" w:lineRule="auto"/>
        <w:rPr>
          <w:sz w:val="20"/>
          <w:szCs w:val="20"/>
          <w:color w:val="auto"/>
        </w:rPr>
      </w:pPr>
      <w:r>
        <w:rPr>
          <w:rFonts w:ascii="Times New Roman" w:cs="Times New Roman" w:eastAsia="Times New Roman" w:hAnsi="Times New Roman"/>
          <w:sz w:val="18"/>
          <w:szCs w:val="18"/>
          <w:color w:val="auto"/>
        </w:rPr>
        <w:t>Pro forma interest on the Successor Revolving Credit Facility and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0</wp:posOffset>
            </wp:positionV>
            <wp:extent cx="474916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Amortization of Successor deferred financing costs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1818"/>
        <w:spacing w:after="0"/>
        <w:rPr>
          <w:sz w:val="20"/>
          <w:szCs w:val="20"/>
          <w:color w:val="auto"/>
        </w:rPr>
      </w:pPr>
      <w:r>
        <w:rPr>
          <w:rFonts w:ascii="Times New Roman" w:cs="Times New Roman" w:eastAsia="Times New Roman" w:hAnsi="Times New Roman"/>
          <w:sz w:val="14"/>
          <w:szCs w:val="14"/>
          <w:b w:val="1"/>
          <w:bCs w:val="1"/>
          <w:color w:val="auto"/>
        </w:rPr>
        <w:t>Twelve Months Ended</w:t>
      </w:r>
    </w:p>
    <w:p>
      <w:pPr>
        <w:spacing w:after="0" w:line="6" w:lineRule="exact"/>
        <w:rPr>
          <w:sz w:val="20"/>
          <w:szCs w:val="20"/>
          <w:color w:val="auto"/>
        </w:rPr>
      </w:pPr>
    </w:p>
    <w:p>
      <w:pPr>
        <w:jc w:val="center"/>
        <w:ind w:right="1818"/>
        <w:spacing w:after="0"/>
        <w:rPr>
          <w:sz w:val="20"/>
          <w:szCs w:val="20"/>
          <w:color w:val="auto"/>
        </w:rPr>
      </w:pPr>
      <w:r>
        <w:rPr>
          <w:rFonts w:ascii="Times New Roman" w:cs="Times New Roman" w:eastAsia="Times New Roman" w:hAnsi="Times New Roman"/>
          <w:sz w:val="14"/>
          <w:szCs w:val="14"/>
          <w:b w:val="1"/>
          <w:bCs w:val="1"/>
          <w:color w:val="auto"/>
        </w:rPr>
        <w:t>31 December 2021</w:t>
      </w:r>
    </w:p>
    <w:p>
      <w:pPr>
        <w:spacing w:after="0" w:line="9" w:lineRule="exact"/>
        <w:rPr>
          <w:sz w:val="20"/>
          <w:szCs w:val="20"/>
          <w:color w:val="auto"/>
        </w:rPr>
      </w:pPr>
    </w:p>
    <w:p>
      <w:pPr>
        <w:ind w:left="1042" w:hanging="1042"/>
        <w:spacing w:after="0"/>
        <w:tabs>
          <w:tab w:leader="none" w:pos="104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(229)</w:t>
      </w:r>
    </w:p>
    <w:p>
      <w:pPr>
        <w:spacing w:after="0" w:line="205"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3,505</w:t>
      </w:r>
    </w:p>
    <w:p>
      <w:pPr>
        <w:spacing w:after="0" w:line="27"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743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14" w:lineRule="exact"/>
        <w:rPr>
          <w:sz w:val="20"/>
          <w:szCs w:val="20"/>
          <w:color w:val="auto"/>
        </w:rPr>
      </w:pPr>
    </w:p>
    <w:p>
      <w:pPr>
        <w:sectPr>
          <w:pgSz w:w="11900" w:h="16838" w:orient="portrait"/>
          <w:cols w:equalWidth="0" w:num="2">
            <w:col w:w="7158" w:space="720"/>
            <w:col w:w="3202"/>
          </w:cols>
          <w:pgMar w:left="320" w:top="455" w:right="499" w:bottom="1440" w:gutter="0" w:footer="0" w:header="0"/>
          <w:type w:val="continuous"/>
        </w:sectPr>
      </w:pPr>
    </w:p>
    <w:p>
      <w:pPr>
        <w:ind w:left="2240"/>
        <w:spacing w:after="0"/>
        <w:tabs>
          <w:tab w:leader="none" w:pos="7860" w:val="left"/>
          <w:tab w:leader="none" w:pos="8840" w:val="left"/>
        </w:tabs>
        <w:rPr>
          <w:sz w:val="20"/>
          <w:szCs w:val="20"/>
          <w:color w:val="auto"/>
        </w:rPr>
      </w:pPr>
      <w:r>
        <w:rPr>
          <w:rFonts w:ascii="Times New Roman" w:cs="Times New Roman" w:eastAsia="Times New Roman" w:hAnsi="Times New Roman"/>
          <w:sz w:val="18"/>
          <w:szCs w:val="18"/>
          <w:b w:val="1"/>
          <w:bCs w:val="1"/>
          <w:color w:val="auto"/>
        </w:rPr>
        <w:t>Pro forma adjustment for interest expense</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3,518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19685</wp:posOffset>
            </wp:positionV>
            <wp:extent cx="8743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87439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36830</wp:posOffset>
            </wp:positionV>
            <wp:extent cx="8743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2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Assuming an increase in interest rates on the Revolving Credit Agreement and Notes of 1/8%, pro forma interest would increase by $0.1 million.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Fresh Start Adjustments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 Amortization of favorable contract</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Adjustment reflects the amortization of favorable contracts with customers as a result of adopting fresh start accounting. The remaining useful life of the favorable contracts range between 1-3 years.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 Depreciation and amortization</w:t>
      </w:r>
    </w:p>
    <w:p>
      <w:pPr>
        <w:spacing w:after="0" w:line="11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Reflects the pro forma decrease in depreciation expense based on new preliminary asset values for the Predecessor as a result of adopting fresh start accounting. The pro forma adjustment to depreciation expense was calculated as follows: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31 December 2021</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Removal of Predecessor depreciation expense</w:t>
            </w: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Pro forma depreciation expense</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9,499</w:t>
            </w:r>
          </w:p>
        </w:tc>
        <w:tc>
          <w:tcPr>
            <w:tcW w:w="0" w:type="dxa"/>
            <w:vAlign w:val="bottom"/>
          </w:tcPr>
          <w:p>
            <w:pPr>
              <w:spacing w:after="0"/>
              <w:rPr>
                <w:sz w:val="1"/>
                <w:szCs w:val="1"/>
                <w:color w:val="auto"/>
              </w:rPr>
            </w:pPr>
          </w:p>
        </w:tc>
      </w:tr>
      <w:tr>
        <w:trPr>
          <w:trHeight w:val="194"/>
        </w:trPr>
        <w:tc>
          <w:tcPr>
            <w:tcW w:w="4920" w:type="dxa"/>
            <w:vAlign w:val="bottom"/>
            <w:shd w:val="clear" w:color="auto" w:fill="CCEEFF"/>
          </w:tcPr>
          <w:p>
            <w:pPr>
              <w:ind w:left="360"/>
              <w:spacing w:after="0" w:line="194" w:lineRule="exact"/>
              <w:rPr>
                <w:sz w:val="20"/>
                <w:szCs w:val="20"/>
                <w:color w:val="auto"/>
              </w:rPr>
            </w:pPr>
            <w:r>
              <w:rPr>
                <w:rFonts w:ascii="Times New Roman" w:cs="Times New Roman" w:eastAsia="Times New Roman" w:hAnsi="Times New Roman"/>
                <w:sz w:val="18"/>
                <w:szCs w:val="18"/>
                <w:b w:val="1"/>
                <w:bCs w:val="1"/>
                <w:color w:val="auto"/>
              </w:rPr>
              <w:t>Pro forma adjustment for depreciation and</w:t>
            </w:r>
          </w:p>
        </w:tc>
        <w:tc>
          <w:tcPr>
            <w:tcW w:w="10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1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(11,123)</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3660"/>
              <w:spacing w:after="0"/>
              <w:rPr>
                <w:sz w:val="20"/>
                <w:szCs w:val="20"/>
                <w:color w:val="auto"/>
              </w:rPr>
            </w:pPr>
            <w:r>
              <w:rPr>
                <w:rFonts w:ascii="Times New Roman" w:cs="Times New Roman" w:eastAsia="Times New Roman" w:hAnsi="Times New Roman"/>
                <w:sz w:val="18"/>
                <w:szCs w:val="18"/>
                <w:color w:val="auto"/>
              </w:rPr>
              <w:t>33</w:t>
            </w: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Drilling equipment and facilities are depreciated using the straight-line method over their estimated useful lives as of the date placed in service or date of major refurbishment. Estimated useful lives of Noble’s drilling equipment range from three to thirty years. Other property and equipment is depreciated using the straight-line method over useful lives ranging from two to forty years.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 Income tax</w:t>
      </w:r>
    </w:p>
    <w:p>
      <w:pPr>
        <w:spacing w:after="0" w:line="119"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Reflects the pro forma adjustment to tax expense as a result of reorganization adjustments and adopting fresh start accounting. The income tax impact was calculated by applying the appropriate statutory tax rate of the respective tax jurisdictions to which the pro forma adjustments relate, and which are reasonably expected to occur.</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Pacific Successor Historical from January 1, 2021 through April 15, 2021</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reclassifications were made as a result of the Pacific Drilling Merger to conform Pacific’s historical financial information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Noble’s presentation:</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960" w:type="dxa"/>
            <w:vAlign w:val="bottom"/>
            <w:gridSpan w:val="3"/>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Pacific Drilling</w:t>
            </w: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Pacific Drilling</w:t>
            </w:r>
          </w:p>
        </w:tc>
        <w:tc>
          <w:tcPr>
            <w:tcW w:w="0" w:type="dxa"/>
            <w:vAlign w:val="bottom"/>
          </w:tcPr>
          <w:p>
            <w:pPr>
              <w:spacing w:after="0"/>
              <w:rPr>
                <w:sz w:val="1"/>
                <w:szCs w:val="1"/>
                <w:color w:val="auto"/>
              </w:rPr>
            </w:pPr>
          </w:p>
        </w:tc>
      </w:tr>
      <w:tr>
        <w:trPr>
          <w:trHeight w:val="148"/>
        </w:trPr>
        <w:tc>
          <w:tcPr>
            <w:tcW w:w="1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Statement Line Item</w:t>
            </w:r>
          </w:p>
        </w:tc>
        <w:tc>
          <w:tcPr>
            <w:tcW w:w="2080" w:type="dxa"/>
            <w:vAlign w:val="bottom"/>
            <w:vMerge w:val="restart"/>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116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4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0" w:type="dxa"/>
            <w:vAlign w:val="bottom"/>
          </w:tcPr>
          <w:p>
            <w:pPr>
              <w:spacing w:after="0"/>
              <w:rPr>
                <w:sz w:val="1"/>
                <w:szCs w:val="1"/>
                <w:color w:val="auto"/>
              </w:rPr>
            </w:pPr>
          </w:p>
        </w:tc>
      </w:tr>
      <w:tr>
        <w:trPr>
          <w:trHeight w:val="180"/>
        </w:trPr>
        <w:tc>
          <w:tcPr>
            <w:tcW w:w="1880" w:type="dxa"/>
            <w:vAlign w:val="bottom"/>
            <w:tcBorders>
              <w:bottom w:val="single" w:sz="8" w:color="auto"/>
            </w:tcBorders>
            <w:vMerge w:val="continue"/>
          </w:tcPr>
          <w:p>
            <w:pPr>
              <w:spacing w:after="0"/>
              <w:rPr>
                <w:sz w:val="15"/>
                <w:szCs w:val="15"/>
                <w:color w:val="auto"/>
              </w:rPr>
            </w:pPr>
          </w:p>
        </w:tc>
        <w:tc>
          <w:tcPr>
            <w:tcW w:w="208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1960" w:type="dxa"/>
            <w:vAlign w:val="bottom"/>
            <w:gridSpan w:val="3"/>
          </w:tcPr>
          <w:p>
            <w:pPr>
              <w:jc w:val="center"/>
              <w:ind w:right="1020"/>
              <w:spacing w:after="0" w:line="160" w:lineRule="exact"/>
              <w:rPr>
                <w:sz w:val="20"/>
                <w:szCs w:val="20"/>
                <w:color w:val="auto"/>
              </w:rPr>
            </w:pPr>
            <w:r>
              <w:rPr>
                <w:rFonts w:ascii="Times New Roman" w:cs="Times New Roman" w:eastAsia="Times New Roman" w:hAnsi="Times New Roman"/>
                <w:sz w:val="14"/>
                <w:szCs w:val="14"/>
                <w:b w:val="1"/>
                <w:bCs w:val="1"/>
                <w:color w:val="auto"/>
              </w:rPr>
              <w:t>Presentation</w:t>
            </w:r>
          </w:p>
        </w:tc>
        <w:tc>
          <w:tcPr>
            <w:tcW w:w="104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as Presented</w:t>
            </w:r>
          </w:p>
        </w:tc>
        <w:tc>
          <w:tcPr>
            <w:tcW w:w="0" w:type="dxa"/>
            <w:vAlign w:val="bottom"/>
          </w:tcPr>
          <w:p>
            <w:pPr>
              <w:spacing w:after="0"/>
              <w:rPr>
                <w:sz w:val="1"/>
                <w:szCs w:val="1"/>
                <w:color w:val="auto"/>
              </w:rPr>
            </w:pPr>
          </w:p>
        </w:tc>
      </w:tr>
      <w:tr>
        <w:trPr>
          <w:trHeight w:val="203"/>
        </w:trPr>
        <w:tc>
          <w:tcPr>
            <w:tcW w:w="39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Contract drilling services</w:t>
            </w:r>
          </w:p>
        </w:tc>
        <w:tc>
          <w:tcPr>
            <w:tcW w:w="1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1,791</w:t>
            </w:r>
          </w:p>
        </w:tc>
        <w:tc>
          <w:tcPr>
            <w:tcW w:w="10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5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Reimbursables and other</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44,959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drilling services (expense)</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43,586</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Reimbursables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Pacific Drilling Merger</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 Contract drilling services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Noble has an accounting policy to expense costs for materials and supplies as received or deployed to the drilling units, while Pacific’s historical policy was to carry inventory at average cost and recognize them in earnings upon consumption. Adjustment reflects the change in contract drilling services expense related to Pacific’s materials and supplies inventory during the period from January 1, 2021 through April 15, 2021 to align with Noble’s treatment of such costs.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 Depreciation and amortization</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Reflects the replacement of historical depreciation expense with the pro forma depreciation expense based on the estimated fair value of Pacific’s property and equipment upon the Pacific Drilling Merger. For pro forma purposes it is assumed that the Pacific Drilling Merger occurred on January 1, 2021. The pro forma adjustment to depreciation expense for the twelve months ended December 31, 2021 was calculated as follows:</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Twelve Months</w:t>
            </w: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5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31 December 2021</w:t>
            </w:r>
          </w:p>
        </w:tc>
        <w:tc>
          <w:tcPr>
            <w:tcW w:w="0" w:type="dxa"/>
            <w:vAlign w:val="bottom"/>
          </w:tcPr>
          <w:p>
            <w:pPr>
              <w:spacing w:after="0"/>
              <w:rPr>
                <w:sz w:val="1"/>
                <w:szCs w:val="1"/>
                <w:color w:val="auto"/>
              </w:rPr>
            </w:pPr>
          </w:p>
        </w:tc>
      </w:tr>
      <w:tr>
        <w:trPr>
          <w:trHeight w:val="209"/>
        </w:trPr>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Removal of historical depreciation expense</w:t>
            </w: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Pro forma depreciation expense</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Pro forma adjustment for depreciation and amortization</w:t>
            </w:r>
          </w:p>
        </w:tc>
        <w:tc>
          <w:tcPr>
            <w:tcW w:w="8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(7,656)</w:t>
            </w:r>
          </w:p>
        </w:tc>
        <w:tc>
          <w:tcPr>
            <w:tcW w:w="0" w:type="dxa"/>
            <w:vAlign w:val="bottom"/>
          </w:tcPr>
          <w:p>
            <w:pPr>
              <w:spacing w:after="0"/>
              <w:rPr>
                <w:sz w:val="1"/>
                <w:szCs w:val="1"/>
                <w:color w:val="auto"/>
              </w:rPr>
            </w:pPr>
          </w:p>
        </w:tc>
      </w:tr>
      <w:tr>
        <w:trPr>
          <w:trHeight w:val="20"/>
        </w:trPr>
        <w:tc>
          <w:tcPr>
            <w:tcW w:w="5480" w:type="dxa"/>
            <w:vAlign w:val="bottom"/>
            <w:vMerge w:val="restart"/>
          </w:tcPr>
          <w:p>
            <w:pPr>
              <w:jc w:val="right"/>
              <w:ind w:right="1550"/>
              <w:spacing w:after="0"/>
              <w:rPr>
                <w:sz w:val="20"/>
                <w:szCs w:val="20"/>
                <w:color w:val="auto"/>
              </w:rPr>
            </w:pPr>
            <w:r>
              <w:rPr>
                <w:rFonts w:ascii="Times New Roman" w:cs="Times New Roman" w:eastAsia="Times New Roman" w:hAnsi="Times New Roman"/>
                <w:sz w:val="18"/>
                <w:szCs w:val="18"/>
                <w:color w:val="auto"/>
              </w:rPr>
              <w:t>34</w:t>
            </w: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5" w:right="5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Drilling equipment and facilities are depreciated using the straight-line method over their estimated useful lives as of the date placed in service or date of major refurbishment. Estimated useful lives of Noble’s drilling equipment range from three to thirty years. Other property and equipment is depreciated using the straight-line method over useful lives ranging from two to forty years.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 Interest expense</w:t>
      </w:r>
    </w:p>
    <w:p>
      <w:pPr>
        <w:spacing w:after="0" w:line="11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Reflects the elimination of interest expense recorded at the successor entity of Pacific which was associated with the new senior secured delayed draw term loan facility entered into on December 31, 2020. In connection with the Pacific Drilling Merger, the facility was terminated, and the related interest expense removed from the unaudited pro forma condensed combined statement of operations.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 Income tax</w:t>
      </w:r>
    </w:p>
    <w:p>
      <w:pPr>
        <w:spacing w:after="0" w:line="11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Reflects the pro forma adjustment to tax expense. The income tax impact was calculated by applying the appropriate statutory tax rates of the respective tax jurisdictions to which the pro forma adjustments relate.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 Weighted average shares outstanding</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Noble pro forma weighted average shares outstanding calculation for the six months ended June 30, 2022 and twelve months ended December 31, 2021 assumes the Noble Reorganization, the Pacific Drilling Merger, the Noble 2021 Rig Disposal, and the Noble 2022 Rig Disposal had occurred on January 1, 2021. The table below presents the components of the numerator and denominator for the Noble pro forma income per share calculation for the periods presented:</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2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00" w:type="dxa"/>
            <w:vAlign w:val="bottom"/>
          </w:tcPr>
          <w:p>
            <w:pPr>
              <w:spacing w:after="0"/>
              <w:rPr>
                <w:sz w:val="13"/>
                <w:szCs w:val="13"/>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Twelve Months</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10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Noble</w:t>
            </w:r>
          </w:p>
        </w:tc>
        <w:tc>
          <w:tcPr>
            <w:tcW w:w="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16,043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202,056</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Basic shares: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Noble ordinary shares (excluding penny warrants)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62,259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60,152</w:t>
            </w:r>
          </w:p>
        </w:tc>
        <w:tc>
          <w:tcPr>
            <w:tcW w:w="0" w:type="dxa"/>
            <w:vAlign w:val="bottom"/>
          </w:tcPr>
          <w:p>
            <w:pPr>
              <w:spacing w:after="0"/>
              <w:rPr>
                <w:sz w:val="1"/>
                <w:szCs w:val="1"/>
                <w:color w:val="auto"/>
              </w:rPr>
            </w:pPr>
          </w:p>
        </w:tc>
      </w:tr>
      <w:tr>
        <w:trPr>
          <w:trHeight w:val="223"/>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Noble penny warrants</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weighted average shares outstanding, basic</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68,722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66,615</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shares:</w:t>
            </w: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 average shares outstanding, basic</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68,722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66,615</w:t>
            </w: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Noble in-the-money warrants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4,959</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effect from unvested Noble RSU Awards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3,180</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 forma weighted average shares outstanding, diluted</w:t>
            </w: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77,059</w:t>
            </w:r>
          </w:p>
        </w:tc>
        <w:tc>
          <w:tcPr>
            <w:tcW w:w="8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attributable to Noble, basic</w:t>
            </w:r>
          </w:p>
        </w:tc>
        <w:tc>
          <w:tcPr>
            <w:tcW w:w="7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attributable to Noble, diluted</w:t>
            </w:r>
          </w:p>
        </w:tc>
        <w:tc>
          <w:tcPr>
            <w:tcW w:w="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346"/>
        </w:trPr>
        <w:tc>
          <w:tcPr>
            <w:tcW w:w="486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35</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5" w:right="5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(k) Reorganization items</w:t>
      </w:r>
    </w:p>
    <w:p>
      <w:pPr>
        <w:spacing w:after="0" w:line="119" w:lineRule="exact"/>
        <w:rPr>
          <w:sz w:val="20"/>
          <w:szCs w:val="20"/>
          <w:color w:val="auto"/>
        </w:rPr>
      </w:pPr>
    </w:p>
    <w:p>
      <w:pPr>
        <w:ind w:left="120" w:right="1060" w:firstLine="440"/>
        <w:spacing w:after="0" w:line="282" w:lineRule="auto"/>
        <w:rPr>
          <w:sz w:val="20"/>
          <w:szCs w:val="20"/>
          <w:color w:val="auto"/>
        </w:rPr>
      </w:pPr>
      <w:r>
        <w:rPr>
          <w:rFonts w:ascii="Times New Roman" w:cs="Times New Roman" w:eastAsia="Times New Roman" w:hAnsi="Times New Roman"/>
          <w:sz w:val="18"/>
          <w:szCs w:val="18"/>
          <w:color w:val="auto"/>
        </w:rPr>
        <w:t>Reflects the removal of Reorganization items within the Predecessor period of Noble. All expenses are directly related to the Noble Reorganization and are not expected to have a continuing impact in future periods.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Noble 2021 Rig Disposal</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adjustments outlined below reflect adjustments to Noble’s historical statement of operations for the twelve months ended December 31, 2021 assuming the Noble 2021 Rig Disposal had occurred on January 1, 2021. For the twelve months ended December 31, 2021, Noble recognized a non-recurring after-tax gain of $168.3 million on the Noble 2021 Rig Disposal.</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 Noble 2021 Rig Disposal historical activity</w:t>
      </w:r>
    </w:p>
    <w:p>
      <w:pPr>
        <w:spacing w:after="0" w:line="11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Reflects the pro forma adjustments to eliminate the historical activity attributed to the Noble 2021 Rig Disposal from the unaudited pro forma condensed combined statement of operations.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 Interest expense</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Reflects the elimination of total interest expense of $10.7 million associated with the Successor Revolving Credit Facility, including $1.2 million of pro forma interest expense recorded for the Noble Predecessor historical period and $9.5 million of interest expense recorded during the Noble Successor historical period. The Successor Revolving Credit Facility was fully paid down using the cash proceeds obtained through the Noble 2021 Rig Disposal.</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Noble 2022 Rig Disposal</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adjustments outlined below reflect adjustments to Noble’s historical statements of operations for the six months ended June 30, 2022 and twelve months ended December 31, 2021 assuming the Noble 2022 Rig Disposal had occurred on January 1, 2021.</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 Noble 2022 Rig Disposal historical activity</w:t>
      </w:r>
    </w:p>
    <w:p>
      <w:pPr>
        <w:spacing w:after="0" w:line="11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Reflects the pro forma adjustments to eliminate the historical activity attributed to the disposed assets from the unaudited pro forma condensed combined statement of operations. The historical activity associated with the NLN Rig has not been eliminated as Noble is entitled to third-party contract drilling revenues and is responsible for third-party contract drilling expenses under the terms of NLN Charter Agreement with Shelf Drilling during the term of the agreement.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 Transitional Services Agreement</w:t>
      </w:r>
    </w:p>
    <w:p>
      <w:pPr>
        <w:spacing w:after="0" w:line="11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Reflects the estimated revenue of $0.8 million attributable to Noble’s transitional services agreement with Shelf Drilling to be entered into upon completion of the transactions contemplated under the Asset Purchase Agreement. These transitional services are not expected to recur in any period beyond twelve months from the close of the Noble 2022 Rig Disposal.</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 Bareboat Charter</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Noble will incur a charge for the charter rate value related to the NLN Charter Agreement with Shelf Drilling in periods where the activities associated with the NLN Rig result in income and be reimbursed for losses in periods where activities associated with the rig results in a loss. Assuming the Noble 2022 Rig Disposal occurred on January 1, 2021 for pro forma purposes resulted in a charter rate value charge of $7.3 million for the six months ended June 30, 2022 and a reimbursement of $40.1 million for the twelve months ended December 31, 2021.</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80"/>
          </w:cols>
          <w:pgMar w:left="320" w:top="455"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(q) Gain on sale of Noble 2022 Rig Disposal</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Reflects the estimated pre-tax gain on the Noble 2022 Rig Disposal. This adjustment includes total cash consideration of $375.0 million less</w:t>
      </w:r>
    </w:p>
    <w:p>
      <w:pPr>
        <w:spacing w:after="0" w:line="27" w:lineRule="exact"/>
        <w:rPr>
          <w:sz w:val="20"/>
          <w:szCs w:val="20"/>
          <w:color w:val="auto"/>
        </w:rPr>
      </w:pPr>
    </w:p>
    <w:p>
      <w:pPr>
        <w:ind w:left="120" w:right="40" w:hanging="4"/>
        <w:spacing w:after="0" w:line="252"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basis of the net assets and liabilities divested of $284.2 million and (ii) approximately $7.9 million of estimated transaction costs to be incurred subsequent to June 30, 2022 by Noble in connection with the rig disposal, which were not reflected in Noble’s historical statement of operations. This adjustment excludes $1.1 million of transaction costs incurred in the six months ended June 30, 2022 by Noble in connection with the Noble 2022 Rig Disposal. No transaction costs related to the Noble 2022 Rig Disposal were incurred by Noble during 2021. These transaction costs and gain are not expected to recur in any period beyond twelve months from the close of the Noble 2022 Rig Disposal. The calculation of the gain on sale is preliminary and does not reflect final working capital and other post-closing adjustments. The actual gain or loss on the Noble 2022 Rig Disposal based on the Remedy Proposals could materially differ from the assumptions used herein.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 Income tax</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Reflects the pro forma adjustments to tax expense related to the Noble 2022 Rig Disposal.</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8. Noble Pro Forma Financial Position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provides for the Noble pro forma financial position assuming the Noble 2022 Rig Disposal had occurred on June 30, 2022. No pro forma adjustments were made for the Completed Transactions in the table below because the effects of these transactions were fully reflected in the historical balance sheet of Noble as of June 30, 2022.</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of June 30, 2022</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Noble Successor</w:t>
            </w: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Noble 2022 Rig</w:t>
            </w: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Noble</w:t>
            </w:r>
          </w:p>
        </w:tc>
        <w:tc>
          <w:tcPr>
            <w:tcW w:w="0" w:type="dxa"/>
            <w:vAlign w:val="bottom"/>
          </w:tcPr>
          <w:p>
            <w:pPr>
              <w:spacing w:after="0"/>
              <w:rPr>
                <w:sz w:val="1"/>
                <w:szCs w:val="1"/>
                <w:color w:val="auto"/>
              </w:rPr>
            </w:pPr>
          </w:p>
        </w:tc>
      </w:tr>
      <w:tr>
        <w:trPr>
          <w:trHeight w:val="173"/>
        </w:trPr>
        <w:tc>
          <w:tcPr>
            <w:tcW w:w="6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40" w:type="dxa"/>
            <w:vAlign w:val="bottom"/>
          </w:tcPr>
          <w:p>
            <w:pPr>
              <w:spacing w:after="0"/>
              <w:rPr>
                <w:sz w:val="15"/>
                <w:szCs w:val="15"/>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Disposal</w:t>
            </w: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6"/>
        </w:trPr>
        <w:tc>
          <w:tcPr>
            <w:tcW w:w="6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160,175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367,078</w:t>
            </w:r>
          </w:p>
        </w:tc>
        <w:tc>
          <w:tcPr>
            <w:tcW w:w="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(aa)</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527,253</w:t>
            </w: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258,780</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258,780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receivable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16,906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16,906</w:t>
            </w:r>
          </w:p>
        </w:tc>
        <w:tc>
          <w:tcPr>
            <w:tcW w:w="0" w:type="dxa"/>
            <w:vAlign w:val="bottom"/>
          </w:tcPr>
          <w:p>
            <w:pPr>
              <w:spacing w:after="0"/>
              <w:rPr>
                <w:sz w:val="1"/>
                <w:szCs w:val="1"/>
                <w:color w:val="auto"/>
              </w:rPr>
            </w:pPr>
          </w:p>
        </w:tc>
      </w:tr>
      <w:tr>
        <w:trPr>
          <w:trHeight w:val="230"/>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44,794</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(4,568)</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(bb)</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40,226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480,655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362,510</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843,165</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33,495</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1,624,636</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(318,476)</w:t>
            </w:r>
          </w:p>
        </w:tc>
        <w:tc>
          <w:tcPr>
            <w:tcW w:w="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(bb)</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1,306,160</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4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(128,100)</w:t>
            </w:r>
          </w:p>
        </w:tc>
        <w:tc>
          <w:tcPr>
            <w:tcW w:w="1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29,575</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(bb)</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(98,525)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1,496,536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(288,901)</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1,207,635</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(bb)(cc)</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87,260</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(5,562)</w:t>
            </w:r>
          </w:p>
        </w:tc>
        <w:tc>
          <w:tcPr>
            <w:tcW w:w="9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81,698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2,097,946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68,047</w:t>
            </w: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2,165,993</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136,144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136,144</w:t>
            </w: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1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33,754</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33,754</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24,322</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2,532</w:t>
            </w:r>
          </w:p>
        </w:tc>
        <w:tc>
          <w:tcPr>
            <w:tcW w:w="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(cc)</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26,854</w:t>
            </w: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payable</w:t>
            </w:r>
          </w:p>
        </w:tc>
        <w:tc>
          <w:tcPr>
            <w:tcW w:w="1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8,921</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8,921</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44,498</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(235)</w:t>
            </w:r>
          </w:p>
        </w:tc>
        <w:tc>
          <w:tcPr>
            <w:tcW w:w="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(bb)</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44,263</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247,639</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216,000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216,000</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6,700</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6,700</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118,813</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(1,891)</w:t>
            </w:r>
          </w:p>
        </w:tc>
        <w:tc>
          <w:tcPr>
            <w:tcW w:w="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(bb)</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116,922</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589,152</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589,558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1,402,608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1,402,608</w:t>
            </w:r>
          </w:p>
        </w:tc>
        <w:tc>
          <w:tcPr>
            <w:tcW w:w="0" w:type="dxa"/>
            <w:vAlign w:val="bottom"/>
          </w:tcPr>
          <w:p>
            <w:pPr>
              <w:spacing w:after="0"/>
              <w:rPr>
                <w:sz w:val="1"/>
                <w:szCs w:val="1"/>
                <w:color w:val="auto"/>
              </w:rPr>
            </w:pPr>
          </w:p>
        </w:tc>
      </w:tr>
      <w:tr>
        <w:trPr>
          <w:trHeight w:val="230"/>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4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102,383</w:t>
            </w:r>
          </w:p>
        </w:tc>
        <w:tc>
          <w:tcPr>
            <w:tcW w:w="1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67,641</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(dd)</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170,024</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3,802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3,802</w:t>
            </w:r>
          </w:p>
        </w:tc>
        <w:tc>
          <w:tcPr>
            <w:tcW w:w="0" w:type="dxa"/>
            <w:vAlign w:val="bottom"/>
          </w:tcPr>
          <w:p>
            <w:pPr>
              <w:spacing w:after="0"/>
              <w:rPr>
                <w:sz w:val="1"/>
                <w:szCs w:val="1"/>
                <w:color w:val="auto"/>
              </w:rPr>
            </w:pPr>
          </w:p>
        </w:tc>
      </w:tr>
      <w:tr>
        <w:trPr>
          <w:trHeight w:val="230"/>
        </w:trPr>
        <w:tc>
          <w:tcPr>
            <w:tcW w:w="64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1,508,794</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67,641</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1,576,435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2,097,946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68,047</w:t>
            </w: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2,165,993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(aa) Cash and cash equivalents</w:t>
      </w:r>
    </w:p>
    <w:p>
      <w:pPr>
        <w:spacing w:after="0" w:line="119" w:lineRule="exact"/>
        <w:rPr>
          <w:sz w:val="20"/>
          <w:szCs w:val="20"/>
          <w:color w:val="auto"/>
        </w:rPr>
      </w:pPr>
    </w:p>
    <w:p>
      <w:pPr>
        <w:jc w:val="both"/>
        <w:ind w:left="120" w:right="620" w:firstLine="440"/>
        <w:spacing w:after="0" w:line="312" w:lineRule="auto"/>
        <w:rPr>
          <w:sz w:val="20"/>
          <w:szCs w:val="20"/>
          <w:color w:val="auto"/>
        </w:rPr>
      </w:pPr>
      <w:r>
        <w:rPr>
          <w:rFonts w:ascii="Times New Roman" w:cs="Times New Roman" w:eastAsia="Times New Roman" w:hAnsi="Times New Roman"/>
          <w:sz w:val="17"/>
          <w:szCs w:val="17"/>
          <w:color w:val="auto"/>
        </w:rPr>
        <w:t>Reflects expected cash proceeds of $375.0 million from the Noble 2022 Rig Disposal less $7.9 million of estimated transaction costs to be incurred subsequent to June 30, 2022 by Noble in connection with the rig disposal, which were not reflected in Noble’s historical balance sheet.</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(bb) Noble 2022 Rig Disposal historical balances</w:t>
      </w:r>
    </w:p>
    <w:p>
      <w:pPr>
        <w:spacing w:after="0" w:line="11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Reflects the pro forma adjustments to (i) eliminate the historical property and equipment and accumulated depreciation balances associated with the Noble 2022 Rig Disposal, (ii) eliminate the historical operating lease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right-of-use assets from other assets and the short-term and long-term portions of operating lease liabilities from other current liabilities and other liabilities, respectively, for office and equipment leases being transferred in connection with the Noble 2022 Rig Disposal, (iii) eliminate the fuel inventory balances associated with the Noble 2022 Rig Disposal from prepaid expenses and other current assets and (iv) eliminate the deferred costs associated with the Noble 2022 Rig Disposal from prepaid expenses and other current assets.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(cc) Income tax</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Reflects the pro forma adjustments to income tax related accounts in connection with the Noble 2022 Rig Disposal.</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(dd) Retained earnings (accumulated deficit)</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Reflects the cumulative impact of the pro forma adjustments associated with the Noble 2022 Rig Disposal, such as the estimated pre-tax gain and related income tax effect.</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320" w:top="455" w:right="5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ind w:left="120" w:right="340" w:firstLine="440"/>
        <w:spacing w:after="0" w:line="255" w:lineRule="auto"/>
        <w:rPr>
          <w:sz w:val="20"/>
          <w:szCs w:val="20"/>
          <w:color w:val="auto"/>
        </w:rPr>
      </w:pPr>
      <w:r>
        <w:rPr>
          <w:rFonts w:ascii="Times New Roman" w:cs="Times New Roman" w:eastAsia="Times New Roman" w:hAnsi="Times New Roman"/>
          <w:sz w:val="18"/>
          <w:szCs w:val="18"/>
          <w:color w:val="auto"/>
        </w:rPr>
        <w:t>This prospectus relates to the resale, from time to time, by the selling shareholders included in the table below and their pledgees, donees, transferees, or any of their successors in interest selling shares received from a named selling shareholder as a gift, partnership distribution or other permitted transfer after the date of this prospectus, which we refer to collectively as the selling shareholders, of up to 18,143,769 Ordinary Shares, including up to 620,538 Ordinary Shares issuable upon the exercise of the Warrants. The Warrants are exercisable at the option of the holder thereof until February 4, 2028. This prospectus also relates to an indeterminate number of Ordinary Shares that may become issuable upon exercise of the Warrants as a result of anti-dilution adjustments. The Ordinary Shares are being registered pursuant to registration rights granted to the selling shareholders under the Bankruptcy RRA and the Pacific Drilling Merger RRA.</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information provided below with respect to the selling shareholders has been furnished to us by or on behalf of the selling shareholders and is current as of September 30, 2022, unless otherwise indicated below. The information provided below with respect to the selling shareholders may change over time, and selling shareholders may be added. Any changed or new information given to us by the selling shareholders, including regarding the identity of, and the securities held by, each selling shareholder, will be set forth in a prospectus supplement or amendments to the registration statement of which this prospectus is a part, if and when necessary.</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selling shareholders may offer any or all of their Ordinary Shares for resale from time to time pursuant to this prospectus. However, the selling shareholders are under no obligation to sell any of the Ordinary Shares offered pursuant to this prospectus. Because the selling shareholders may sell none, all or some of the Ordinary Shares owned by them, we cannot estimate the number or percentage of Ordinary Shares that will be beneficially owned by the selling shareholders after this offering and have therefore made certain assumptions with respect thereto as indicated in the table below. In addition, the selling shareholders may sell, transfer or otherwise dispose of, at any time or from time to time since the date on which the selling shareholders provided the information regarding the Ordinary Shares owned by them, all or some of the Ordinary Shares owned by them in transactions exempt from the registration requirements of the Securities Act.</w:t>
      </w:r>
    </w:p>
    <w:p>
      <w:pPr>
        <w:spacing w:after="0" w:line="189"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7"/>
          <w:szCs w:val="17"/>
          <w:color w:val="auto"/>
        </w:rPr>
        <w:t>To our knowledge, none of the selling shareholders has, or has had within the past three years, any position, office or other material relationship with us or any of our predecessors or affiliates, other than their ownership of the Ordinary Shares or the ordinary shares, par value $0.00001 per share, of Noble Cayman (“Noble Cayman Shares”), as applicable, except in connection with (i) the Bankruptcy RRA (as described under “Description of Share Capital—Registration Rights”), (ii) the Plan, (iii) a Restructuring Support Agreement, dated July 31, 2020 (as amended by the First Amendment thereto, dated August 20, 2020), among Legacy Noble and certain of its subsidiaries that filed the chapter 11 bankruptcy proceedings (the “Debtors”) and certain noteholders of Legacy Noble, (iv) a Backstop Commitment Agreement, dated October 12, 2020, among the Debtors and the backstop parties thereto, pursuant to which Noble Cayman and Noble Finance Company (formerly known as Noble Corporation), an exempted company incorporated in the Cayman Islands with limited liability, consummated on the Effective Date a rights offering of senior secured second lien notes and associated Noble Cayman Shares at an aggregate subscription price of $200 million, (v) the Bankruptcy Relationship Agreement (as defined and described below),</w:t>
      </w:r>
    </w:p>
    <w:p>
      <w:pPr>
        <w:spacing w:after="0" w:line="5" w:lineRule="exact"/>
        <w:rPr>
          <w:sz w:val="20"/>
          <w:szCs w:val="20"/>
          <w:color w:val="auto"/>
        </w:rPr>
      </w:pPr>
    </w:p>
    <w:p>
      <w:pPr>
        <w:ind w:left="120" w:hanging="4"/>
        <w:spacing w:after="0" w:line="253" w:lineRule="auto"/>
        <w:tabs>
          <w:tab w:leader="none" w:pos="4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Observer Agreement (as defined and described below), (vii) the director designation right previously applicable to Noble Cayman (as described below), (viii) the Pacific Drilling Merger Agreement (as defined and described below), (ix) the Pacific Drilling Voting Agreements (as defined and described below), (x) the Pacific Drilling Merger RRA (as described under “Description of Share Capital—Registration Rights”), (xi) the Business Combination Agreement (as described below), (xii) the Maersk Drilling Voting Agreements (as defined and described below) and (xiii) the New Relationship Agreement (as defined and described below). For more information, see “—Relationships.”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9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5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80" w:type="dxa"/>
            <w:vAlign w:val="bottom"/>
            <w:gridSpan w:val="2"/>
            <w:vMerge w:val="continue"/>
          </w:tcPr>
          <w:p>
            <w:pPr>
              <w:spacing w:after="0"/>
              <w:rPr>
                <w:sz w:val="12"/>
                <w:szCs w:val="12"/>
                <w:color w:val="auto"/>
              </w:rPr>
            </w:pPr>
          </w:p>
        </w:tc>
        <w:tc>
          <w:tcPr>
            <w:tcW w:w="14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Ordinary</w:t>
            </w: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1480" w:type="dxa"/>
            <w:vAlign w:val="bottom"/>
            <w:gridSpan w:val="2"/>
            <w:vMerge w:val="continue"/>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14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4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May Be</w:t>
            </w: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48"/>
        </w:trPr>
        <w:tc>
          <w:tcPr>
            <w:tcW w:w="1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Shareholder (1)</w:t>
            </w:r>
          </w:p>
        </w:tc>
        <w:tc>
          <w:tcPr>
            <w:tcW w:w="2740" w:type="dxa"/>
            <w:vAlign w:val="bottom"/>
            <w:vMerge w:val="restart"/>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w:t>
            </w:r>
          </w:p>
        </w:tc>
        <w:tc>
          <w:tcPr>
            <w:tcW w:w="14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Offered</w:t>
            </w: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80"/>
        </w:trPr>
        <w:tc>
          <w:tcPr>
            <w:tcW w:w="1980" w:type="dxa"/>
            <w:vAlign w:val="bottom"/>
            <w:tcBorders>
              <w:bottom w:val="single" w:sz="8" w:color="auto"/>
            </w:tcBorders>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150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to Offering (2)</w:t>
            </w:r>
          </w:p>
        </w:tc>
        <w:tc>
          <w:tcPr>
            <w:tcW w:w="148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Hereby (2)</w:t>
            </w:r>
          </w:p>
        </w:tc>
        <w:tc>
          <w:tcPr>
            <w:tcW w:w="148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Offering (3)</w:t>
            </w:r>
          </w:p>
        </w:tc>
        <w:tc>
          <w:tcPr>
            <w:tcW w:w="9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Offering (3)</w:t>
            </w:r>
          </w:p>
        </w:tc>
        <w:tc>
          <w:tcPr>
            <w:tcW w:w="0" w:type="dxa"/>
            <w:vAlign w:val="bottom"/>
          </w:tcPr>
          <w:p>
            <w:pPr>
              <w:spacing w:after="0"/>
              <w:rPr>
                <w:sz w:val="1"/>
                <w:szCs w:val="1"/>
                <w:color w:val="auto"/>
              </w:rPr>
            </w:pPr>
          </w:p>
        </w:tc>
      </w:tr>
      <w:tr>
        <w:trPr>
          <w:trHeight w:val="171"/>
        </w:trPr>
        <w:tc>
          <w:tcPr>
            <w:tcW w:w="472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Investors for which Pacific Investment Management</w:t>
            </w:r>
          </w:p>
        </w:tc>
        <w:tc>
          <w:tcPr>
            <w:tcW w:w="10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 LLC serves as investment manager, adviser or</w:t>
            </w: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sub-adviser (4)</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18,143,769</w:t>
            </w: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18,143,769</w:t>
            </w:r>
          </w:p>
        </w:tc>
        <w:tc>
          <w:tcPr>
            <w:tcW w:w="14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right="340" w:hanging="424"/>
        <w:spacing w:after="0" w:line="25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Ordinary Shares shown in the table includes Ordinary Shares that would be held in the beneficial owner’s name or jointly with others, or in the name of a bank, nominee or trustee for the beneficial owner’s account.</w:t>
      </w:r>
    </w:p>
    <w:p>
      <w:pPr>
        <w:ind w:left="540" w:right="540" w:hanging="424"/>
        <w:spacing w:after="0" w:line="25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Ordinary Shares owned prior to the offering and the number of Ordinary Shares that may be offered hereby include both the Ordinary Shares previously issued and the Ordinary Shares issuable upon the exercise of Warrants.</w:t>
      </w:r>
    </w:p>
    <w:p>
      <w:pPr>
        <w:ind w:left="540" w:right="180" w:hanging="424"/>
        <w:spacing w:after="0" w:line="25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(i) the exercise of all Warrants whose Ordinary Shares are being offered hereby and (ii) the selling shareholders sell all of the Ordinary Shares offered pursuant to this prospectus. The percentage of Ordinary Shares beneficially owned is based upon 70,353,759 Ordinary Shares outstanding as of September 30, 2022.</w:t>
      </w:r>
    </w:p>
    <w:p>
      <w:pPr>
        <w:spacing w:after="0" w:line="1" w:lineRule="exact"/>
        <w:rPr>
          <w:rFonts w:ascii="Times New Roman" w:cs="Times New Roman" w:eastAsia="Times New Roman" w:hAnsi="Times New Roman"/>
          <w:sz w:val="18"/>
          <w:szCs w:val="18"/>
          <w:color w:val="auto"/>
        </w:rPr>
      </w:pPr>
    </w:p>
    <w:p>
      <w:pPr>
        <w:ind w:left="540" w:hanging="424"/>
        <w:spacing w:after="0" w:line="252"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information provided by Pacific Investment Management Company LLC, the number of Ordinary Shares beneficially owned prior to the offering consists of 17,523,231 Ordinary Shares previously issued and 620,538 Ordinary Shares issuable upon the exercise of outstanding Warrants, and the number of Ordinary Shares that may be offered hereby consists of 17,523,231 Ordinary Shares previously issued and 620,538 Ordinary Shares issuable upon the exercise of outstanding Warrants. Pacific Investment Management Company LLC, as the investment manager, adviser or sub-adviser of the funds and accounts who are the holders of record of the referenced Ordinary Shares to be registered, may be deemed to have or to share voting and dispositive power over the referenced Ordinary Shares. The address for such funds and accounts is c/o Pacific Investment Management Company LLC, 650 Newport Center Drive, Newport Beach, California 92660.</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Relationships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the Plan, on the Effective Date, Noble Cayman, certain funds and accounts (the “Investors”) for which Pacific Investment Management Company LLC (the “Investor Manager”) serves as investment manager, adviser or sub-adviser, as applicable, and certain of the former holders (or investment advisors or managers to such holders) of certain series of Legacy Noble’s then outstanding senior notes entered into a Relationship Agreement (the “Bankruptcy Relationship Agreement”), pursuant to which, among other things, Noble Cayman agreed that until the earlier of such time as the Investors cease to hold in the aggregate 35% or more of the Outstanding Ordinary Shares (as defined in the Bankruptcy Relationship Agreement) and the fourth anniversary of the Effective Date, Noble Cayman will not remove its Chief Executive Officer or appoint a replacement Chief Executive Officer unless it obtains the prior written consent of the Investors by the Investor Manager acting on their behalf (such consent not to be unreasonably withheld, conditioned or delayed).</w:t>
      </w:r>
    </w:p>
    <w:p>
      <w:pPr>
        <w:spacing w:after="0" w:line="19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Also on the Effective Date, Noble Cayman and the Investor Manager entered into a Board Observer Agreement (the “Board Observer Agreement”), pursuant to which, among other things, Noble Cayman agreed that until such time as the Investors ceased to hold in the aggregate 20% or more of the outstanding Ordinary Shares, the Investor Manager would have the right to designate an individual to attend meetings of the board of directors of Noble Cayman (the “Noble Cayman Board”) and of committees of the Noble Cayman Board, subject to customary exceptions and conditions. The Board Observer Agreement was terminated in December 2021.</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Pursuant to the Amended and Restated Articles of Association of Noble Cayman (the “Noble Cayman Articles”), subject to certain conditions and limitations, for so long as the Designated Entities (as defined below) held, in the aggregate, no fewer than 20% of the outstanding and issued Noble Cayman Shares, the Designated Entities (with such right exercised by their designating party) were entitled to nominate, and the Noble Cayman Board would appoint, and remove one director (the “Investor Director”). For so long as the Designated Entities held, in aggregate, no fewer than 20% of the outstanding and issued Noble Cayman Shares, the Investor Director could be removed by, and only by, the affirmative vote or written consent of the designating party. If the designating party entitled to designate a person to fill any directorship failed to do so, then such directorship would remain vacant until filled by such designating party. “Designated Entities” meant the funds and accounts for which the same person served as investment manager, advisor or sub-advisor (as applicable) on the Effective Date and which funds and accounts owned, in the aggregate, in excess of 35% of the issued and outstanding Noble Cayman Shares upon effectiveness of the Plan on the Effective Date. The Investor Manager was the designating party for the Designated Entities. The Investor Manager had designated an Investor Director, pursuant to which the Noble Cayman Board appointed Paul Aronzon to serve as a director on April 19, 2021. Such director designation right terminated at the effective time of the Merger (the “Merger Effective Time”).</w:t>
      </w:r>
    </w:p>
    <w:p>
      <w:pPr>
        <w:spacing w:after="0" w:line="182"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On March 25, 2021, Noble Cayman entered into an Agreement and Plan of Merger (the “Pacific Drilling Merger Agreement”) with Duke Merger Sub, LLC, a wholly-owned subsidiary of Noble Cayman (“Duke Merger Sub”), and Pacific Drilling Company LLC (“Pacific Drilling”), providing for the merger of Duke Merger Sub with and into Pacific Drilling (the “Pacific Drilling Merger”), with Pacific Drilling continuing as the surviving company and a wholly-owned subsidiary of Noble Cayman. The Noble Cayman Board and the board of directors of Pacific Drilling unanimously approved and adopted the Pacific Drilling Merger Agreement. On April 15, 2021, Noble Cayman completed the Pacific Drilling Merger with Pacific Drilling. In connection with the Pacific Drilling Merger, and pursuant to the terms and conditions set forth in the Pacific Drilling Merger Agreement, (a) each membership interest in Pacific Drilling (the “Membership Interests”) was converted into the right to receive 6.366 Noble Cayman Shares and (b) each of Pacific Drilling’s warrants outstanding immediately prior to the effective time of the Pacific Drilling Merger (the “Pacific Warrants”) was converted into the right to receive 1.553 Noble Cayman Shares. As part of the transaction, Pacific Drilling’s equity holders received 16,600,140 Noble Cayman Shares.</w:t>
      </w:r>
    </w:p>
    <w:p>
      <w:pPr>
        <w:spacing w:after="0" w:line="17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Concurrently with the entry into the Pacific Drilling Merger Agreement, Noble Cayman and certain equity holders of Pacific Drilling (each, a “Member” and, collectively, the “Members”), which collectively represented approximately 66% of the issued and outstanding Membership Interests and 64% of the Pacific Warrants, entered into voting and support agreements (collectively, the “Pacific Drilling Voting Agreements”) in connection with the Pacific Drilling Merger Agreement. Among other things, each Pacific Drilling Voting Agreement required that each Member that was party to such Pacific Drilling Voting Agreement (a) vote (or cause to be voted) its Membership Interests (i) in favor of the approval and adoption of the Pacific Drilling Merger, the Pacific Drilling Merger Agreement and all other transactions contemplated by the Pacific Drilling Merger Agreement, (ii) among other things, against any merger agreement or merger (other than the Pacific Drilling Merger Agreement, the Pacific Drilling Merger and the transactions contemplated thereby), any action or any other takeover proposal relating to Pacific Drilling, (b) be bound by certain other covenants and agreements relating to the Pacific Drilling Merger, including the delivery of any notices and documentation required to effect a “Drag-Along Sale” as defined in the Pacific Drilling limited liability company agreement, and (c) be bound by certain transfer restrictions with respect to such securities subject to certain exceptions. The Pacific Drilling Voting Agreements terminated at the effective time of the Pacific Drilling Merger.</w:t>
      </w:r>
    </w:p>
    <w:p>
      <w:pPr>
        <w:spacing w:after="0" w:line="19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 November 10, 2021, Noble Cayman entered into a Business Combination Agreement (as amended, the “Business Combination Agreement”) with Topco, Noble Newco Sub Limited, a Cayman Islands exempted company and a direct, wholly owned subsidiary of Topco (“Merger Sub”), and Maersk Drilling. The Merger and the other transactions contemplated by the Business Combination Agreement, including a voluntary tender exchange offer to Maersk Drilling’s shareholders (the “Offer”), are referred to herein as the “Business Combination.”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firstLine="440"/>
        <w:spacing w:after="0" w:line="270" w:lineRule="auto"/>
        <w:rPr>
          <w:sz w:val="20"/>
          <w:szCs w:val="20"/>
          <w:color w:val="auto"/>
        </w:rPr>
      </w:pPr>
      <w:r>
        <w:rPr>
          <w:rFonts w:ascii="Times New Roman" w:cs="Times New Roman" w:eastAsia="Times New Roman" w:hAnsi="Times New Roman"/>
          <w:sz w:val="17"/>
          <w:szCs w:val="17"/>
          <w:color w:val="auto"/>
        </w:rPr>
        <w:t>Concurrently with the entry into the Business Combination Agreement, Noble Cayman and Maersk Drilling entered into voting agreements (collectively, the “Maersk Drilling Voting Agreements”) with certain Noble Cayman shareholders (each, a “Noble Cayman Supporting Shareholder”), which collectively held approximately 53% of the issued and outstanding Noble Cayman Shares as of the date of the Maersk Drilling Voting Agreements. Pursuant to the Maersk Drilling Voting Agreements, each Noble Cayman Supporting Shareholder, among other things, agreed to</w:t>
      </w:r>
    </w:p>
    <w:p>
      <w:pPr>
        <w:spacing w:after="0" w:line="3" w:lineRule="exact"/>
        <w:rPr>
          <w:sz w:val="20"/>
          <w:szCs w:val="20"/>
          <w:color w:val="auto"/>
        </w:rPr>
      </w:pPr>
    </w:p>
    <w:p>
      <w:pPr>
        <w:ind w:left="120" w:right="80" w:hanging="4"/>
        <w:spacing w:after="0" w:line="252" w:lineRule="auto"/>
        <w:tabs>
          <w:tab w:leader="none" w:pos="3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and vote (or cause to be voted) its Noble Cayman Shares (i) in favor of all matters, actions and proposals contemplated by the Business Combination Agreement for which Noble Cayman shareholder approval is required and any other matters, actions or proposals required to consummate the Business Combination in accordance with the Business Combination Agreement, and (ii) among other things, against any competing alternative proposal; (b) be bound by certain other covenants and agreements relating to the Business Combination; and (c) subject to certain exceptions, be bound by certain transfer restrictions with respect to a portion of their securities. The Maersk Drilling Voting Agreements terminated on September 10, 2022, which was the date that was ten months from the date of the Maersk Drilling Voting Agreements.</w:t>
      </w:r>
    </w:p>
    <w:p>
      <w:pPr>
        <w:spacing w:after="0" w:line="190"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On the Merger Effective Date, pursuant to the Business Combination Agreement, Noble Cayman merged with and into Merger Sub (the “Merger”), with Merger Sub surviving the Merger as a wholly owned subsidiary of Topco, and (i) each Noble Cayman Share issued and outstanding prior to the Merger Effective Time was converted into one newly and validly issued, fully paid and non-assessable Ordinary Share, and (ii) (a) each warrant to purchase Noble Cayman Shares issued pursuant to the applicable Noble Cayman Warrant Agreements (as defined herein) and outstanding immediately prior to the Merger Effective Time (collectively, the “Noble Cayman Warrants”) was converted automatically into a warrant to acquire a number of Ordinary Shares equal to the number of Noble Cayman Shares underlying such warrant, with the same terms as were in effect immediately prior to the Merger Effective Time under the terms of the applicable Noble Cayman Warrant Agreement (collectively, the “Company Warrants”), (b) the</w:t>
      </w:r>
    </w:p>
    <w:p>
      <w:pPr>
        <w:spacing w:after="0" w:line="2" w:lineRule="exact"/>
        <w:rPr>
          <w:sz w:val="20"/>
          <w:szCs w:val="20"/>
          <w:color w:val="auto"/>
        </w:rPr>
      </w:pPr>
    </w:p>
    <w:p>
      <w:pPr>
        <w:ind w:left="120" w:right="60" w:hanging="4"/>
        <w:spacing w:after="0" w:line="252" w:lineRule="auto"/>
        <w:tabs>
          <w:tab w:leader="none" w:pos="3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1 Warrant Agreement, (II) Tranche 2 Warrant Agreement and (III) Tranche 3 Warrant Agreement, each dated as of February 5, 2021, by and among Noble Cayman, Computershare Inc. and Computershare Trust Company, N.A. (collectively, the “Noble Cayman Warrant Agreements”) were terminated and (c) Topco entered into a new (I) Tranche 1 Warrant Agreement (the “Tranche 1 Warrant Agreement”), (II) Tranche 2 Warrant Agreement (the “Tranche 2 Warrant Agreement”) and (III) Tranche 3 Warrant Agreement, each dated as of September 30, 2022, by and among Topco, Computershare Inc. and Computershare Trust Company, N.A. (collectively, the “Company Warrant Agreements”). The Company Warrant Agreements have substantially similar terms as were in effect immediately prior to the Merger Effective Time pursuant to the Noble Cayman Warrant Agreements. Immediately following completion of the Business Combination, there will be 14,539,883 Company Warrants outstanding.</w:t>
      </w:r>
    </w:p>
    <w:p>
      <w:pPr>
        <w:spacing w:after="0" w:line="188"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Merger, Topco became the ultimate parent of Noble Cayman and its respective subsidiaries effective as of the Merger Effective Time, and the Ordinary Shares began trading on the NYSE under the symbol “NE” on the Merger Effective Date.</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October 3, 2022 (the “Closing Date”), Topco will enter into a Relationship Agreement (the “New Relationship Agreement”) with certain funds and accounts (the “Existing Noble Investor”) party to the Bankruptcy Relationship Agreement and APMH Invest A/S, a company incorporated in Denmark with registration number 36 53 38 46 and whose registered office is Esplanaden 50, 1263 Copenhagen, Denmark (“APMH Invest”), which will set forth certain director designation rights of such Topco shareholders following the closing of the Business Combination. In particular, pursuant to the New Relationship Agreement, each of the Existing Noble Investor and APMH Invest will be entitled to designate (a) two nominees to the board of directors of Topco (the “Topco Board”) so long as the Existing Noble Investor or APMH Invest, as applicable, owns no fewer than 20% of the then outstanding Ordinary Shares and (b) one nominee to the Topco Board so long as the Existing Noble Investor or APMH Invest, as applicable, owns fewer than 20% but no fewer than 15% of the then outstanding Ordinary Shares. Each nominee of the Existing Noble Investor and APMH Invest will meet the independence standards of the NYSE with respect to Topco; provided, however, that APMH Invest shall be permitted to have one nominee who does not meet such independence standards so long as such nominee is not an employee of Topco or any of its subsidiaries.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is a description of our share capital and related provisions of the Amended and Restated Articles of Association of Topco (the “Topco Articles of Association”) and applicable English law and the Company Warrant Agreements. This description is only a summary and does not purport to be complete and is qualified in its entirety by reference to, and should be read in conjunction with, the full text of the Topco Articles of Association and the Company Warrant Agreements, each of which is filed as an exhibit to the registration statement of which this prospectus forms a part, and applicable English law.</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Ordinary Shares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of Ordinary Shares is a summary. This summary does not purport to be complete and is qualified in its entirety by reference to the complete text of the Topco Articles of Association. You are urged to read the Topco Articles of Association and relevant provisions of the Companies Act of 2006 of the United Kingdom, as amended from time to time (the “Companies Act”), for a more complete understanding of the rights conferred by Ordinary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Structure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rights of, and restrictions applicable to, the Ordinary Shares are prescribed in the Topco Articles of Association, subject to the Companies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 Capital</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English law, the directors of a public limited company do not, save in certain limited circumstances (such as in respect of employee share schemes), have authority to allot new shares in the capital of a company without the authority of an ordinary resolution of its shareholders. Noble Corporation 2022 Limited, as the sole shareholder of Topco prior to the Merger Effective Date passed: (i) prior to commencement of the Offer, an ordinary resolution granting the directors authority to allot Ordinary Shares up to an aggregate nominal amount of US$1,565 in connection with the Business Combination and the Offer; and (ii) prior to the Merger Effective Time, an ordinary resolution granting the directors authority, conditional on Topco acquiring at least 90% of the issued and outstanding shares of Maersk Drilling, nominal value Danish krone 10 per share, to allot that number of Capitalization shares (as defined below) which have an aggregate nominal value equal to the amount that would be credited to Topco’s merger reserve on its balance sheet as a result of the Offer. As noted below, the Capitalization shares have no entitlement to dividends or any right to participate in any distribution on a winding up of Topco save that, after the return of the nominal value paid up or credited as paid up on every other class of share in the capital of Topco and the distribution of US$100,000,000 to each holder thereof, the Capitalization share shall be entitled to GBP£1. The Capitalization shares issued immediately following completion of the Business Combination (which for this purpose means upon completion of the Offer) will be cancelled in their entirety pursuant to the reduction of capital to be undertaken following completion of the Business Combination. Noble Corporation 2022 Limited, as the sole shareholder of Topco prior to the Merger Effective Date, also passed an ordinary resolution to grant the directors authority to allot shares, for a period of five years, up to an aggregate nominal amount of US$271. Shareholder approval will be necessary no less frequently than every five years to renew this authorization.</w:t>
      </w:r>
    </w:p>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Topco’s share capital will consist of:</w:t>
      </w:r>
    </w:p>
    <w:p>
      <w:pPr>
        <w:spacing w:after="0" w:line="221" w:lineRule="exact"/>
        <w:rPr>
          <w:sz w:val="20"/>
          <w:szCs w:val="20"/>
          <w:color w:val="auto"/>
        </w:rPr>
      </w:pPr>
    </w:p>
    <w:p>
      <w:pPr>
        <w:ind w:left="120" w:right="2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Ordinary Shares</w:t>
      </w:r>
      <w:r>
        <w:rPr>
          <w:rFonts w:ascii="Times New Roman" w:cs="Times New Roman" w:eastAsia="Times New Roman" w:hAnsi="Times New Roman"/>
          <w:sz w:val="18"/>
          <w:szCs w:val="18"/>
          <w:color w:val="auto"/>
        </w:rPr>
        <w:t>: A ordinary shares are denominated in US Dollars with a nominal value of US$0.00001 each. A ordinary shares shall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issued with voting rights attached to them and each A ordinary share shall rank equally with all other shares in the capital of Topco that have voting rights for voting purposes. Each A ordinary</w:t>
      </w:r>
    </w:p>
    <w:p>
      <w:pPr>
        <w:spacing w:after="0" w:line="10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320" w:top="455" w:right="5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share shall rank equally with all other shares in the capital of Topco for any dividend declared. Each A ordinary share shall rank equally with all other shares in the capital of Topco for any distribution made on a winding up of the Topco.</w:t>
      </w:r>
    </w:p>
    <w:p>
      <w:pPr>
        <w:spacing w:after="0" w:line="158"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 Ordinary Shares</w:t>
      </w:r>
      <w:r>
        <w:rPr>
          <w:rFonts w:ascii="Times New Roman" w:cs="Times New Roman" w:eastAsia="Times New Roman" w:hAnsi="Times New Roman"/>
          <w:sz w:val="18"/>
          <w:szCs w:val="18"/>
          <w:color w:val="auto"/>
        </w:rPr>
        <w:t>: B ordinary shares are denominated in British Pounds Sterling with a nominal value of GBP£1 each. B ordinary shares shall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issued without voting rights attached to them. B ordinary shares shall have no entitlement to dividends. B ordinary shares do not have any right to participate in any distribution on a winding up of Topco save that after the return of the nominal value paid up or credited as paid up on every A ordinary share in the capital of Topco and the distribution of £100,000,000 to each holder thereof, each B ordinary share shall be entitled to £1. The B ordinary shares may be issued as redeemable shares.</w:t>
      </w:r>
    </w:p>
    <w:p>
      <w:pPr>
        <w:spacing w:after="0" w:line="179" w:lineRule="exact"/>
        <w:rPr>
          <w:sz w:val="20"/>
          <w:szCs w:val="20"/>
          <w:color w:val="auto"/>
        </w:rPr>
      </w:pPr>
    </w:p>
    <w:p>
      <w:pPr>
        <w:jc w:val="both"/>
        <w:ind w:left="120" w:right="18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Capitalization Shares</w:t>
      </w:r>
      <w:r>
        <w:rPr>
          <w:rFonts w:ascii="Times New Roman" w:cs="Times New Roman" w:eastAsia="Times New Roman" w:hAnsi="Times New Roman"/>
          <w:sz w:val="18"/>
          <w:szCs w:val="18"/>
          <w:color w:val="auto"/>
        </w:rPr>
        <w:t>: Capitalization shares shall be denominated in US Dollars with a nominal value of US$1 each. Capitalization shares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issued without voting rights attached to them. Capitalization shares shall have no entitlement to dividends. Capitalization shares shall not have any right to participate in any distribution on a winding up of Topco save that after the return of the nominal value paid up or credited as paid up on every other class of share in the capital of Topco and the distribution of US$100,000,000 to each holder thereof, each Capitalization share shall be entitled to US$1. The Capitalization shares may be issued as redeemable shares.</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Merger, Topco issued Ordinary Shares to Noble Cayman shareholders. Additionally, in connection with the consummation of the Offer, Ordinary Shares will be issued to the Maersk Drilling shareholders as of the Closing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 Share Warrants and Options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Companies Act grants pre-emptive rights on the issue of Ordinary Shares. Consequently, the Topco Board, save in limited circumstances, can only issue shares if they are first offered to existing Ordinary Shareholders in proportion to their existing holdings, unless a special resolution has been passed to grant them authority to issue shares on a non pre-emptive basis. Prior to the Merger Effective Time, Noble Corporation 2022 Limited, as the sole shareholder of Topco at such time, passed a special resolution excluding pre-emptive rights for a period of five years with respect to the allotment of up to a maximum nominal amount of US$271. Shareholder approval will be necessary no less frequently than every five years to renew this authorization.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Each Noble Cayman Warrant issued pursuant to the Noble Cayman Warrant Agreements and outstanding immediately prior to the Merger Effective Time converted automatically into a Company Warrant to acquire a number of Ordinary Shares equal to the number of Noble Cayman Shares underlying such Company Warrant, with the same terms as were in effect immediately prior to the Merger Effective Time under the terms of the applicable Noble Cayman Warrant Agreement.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Immediately following completion of the Business Combination, there will be 14,539,883 Company Warrants outstanding.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Companies Act, Topco may pay a dividend out of its distributable profits.</w:t>
      </w:r>
    </w:p>
    <w:p>
      <w:pPr>
        <w:spacing w:after="0" w:line="225"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Under the Topco Articles of Association, the Topco Board may from time to time recommend, and Topco may pay, dividends on its outstanding shares in the manner and upon the terms and conditions provided by the Companies Act and the Topco Articles of Association. Except as otherwise provided by the rights attached to the shares, all shares will carry a pro rata entitlement to the receipt of dividends. Dividends may be declared and paid</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any currency or currencies that the Topco Board may determine, using an exchange rate selected by the Topco Board for any currency conversions required. No dividend or other money payable in respect of an Ordinary Share shall bear interest against Topco, unless otherwise provided by the rights attached to the share.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Repurchases, Redemptions and Conversions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Repurchase</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Subject to the Companies Act and to any pre-emptive rights the holders of Ordinary Shares may have, Topco may repurchase any of its own shares (including any redeemable shares, if the Topco Board should decide to issue any) by way of “off market purchases” with the prior approval of an Ordinary Shareholder resolution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passed with the majority of the votes cast). Such approval may be for a specific repurchase or constitute a general authority lasting for up to five years from the date of the resolution, and renewal of such approval for additional five-year terms may be sought more frequently. However, shares may only be repurchased out of distributable reserves or, subject to certain exceptions, the proceeds of a fresh issue of shares made for that purpose. Noble Corporation 2022 Limited, as the sole shareholder of Topco prior to the Merger Effective Date, passed an ordinary resolution authorizing the repurchase of up to 15% per annum of the issued share capital as of the beginning of each fiscal year for a five year period (subject to an overall aggregate maximum of 20,601,161).</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Under the Companies Act, Topco may issue shares which will or can be redeemed by Topco or by the holder of such redeemable shares. The Ordinary Shares are not subject to any redemption or exchange provisions.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Treasury Shares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the Companies Act, following the redemption or repurchase of shares, Topco may hold the shares in treasury (and subsequently cancel them, sell them, or transfer them for the purpose of or under an employees’ share scheme) to the extent it is authorized to do so by an ordinary resolution (passed by a simple majority of those voting in person or by proxy) of the Topco shareholders. There must at all times be sufficient shares in Topco outstanding that are not held in treasury to satisfy the minimum share capital requirements under the Companies Act.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Consolidation and Division; Subdivision</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Under the Companies Act, Topco may, by ordinary resolution (passed by a simple majority of those voting in person or by proxy), consolidate all or any of its share capital into shares of larger amount than its existing shares, or subdivide all or any of its existing shares into shares of a smaller amount than its existing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Reduction of Share Capital</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Under the Companies Act, Topco may reduce its capital only by way of a court approved procedure, preceded by the approval of a majority of three-quarters of its shareholders.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General Meetings of Shareholders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Topco must hold its annual general meeting in each period of six months beginning with the day following its accounting reference date (which is its accounting year end of December 31).</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notice of the general meeting must state the time, date and place of the meeting and the general nature of the business to be dealt with, and must state whether the meeting is a physical meeting or a hybrid meeting.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Under English law and the Topco Articles of Association, an annual general meeting must be called by at least 21 clear days’ notice. This notice period can be shortened if all shareholders who are permitted to attend and vote agree to the shorter notice. A meeting other than the annual general meeting must be called by not less than 14 clear days’ notice, but this too can be longer or shortened by agreement.</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clear days</w:t>
      </w:r>
      <w:r>
        <w:rPr>
          <w:rFonts w:ascii="Times New Roman" w:cs="Times New Roman" w:eastAsia="Times New Roman" w:hAnsi="Times New Roman"/>
          <w:sz w:val="18"/>
          <w:szCs w:val="18"/>
          <w:color w:val="auto"/>
        </w:rPr>
        <w:t>” means calendar days and excludes (1) the date on which a notice is given or a request received; and (2) the date of the meeting itself.</w:t>
      </w:r>
    </w:p>
    <w:p>
      <w:pPr>
        <w:spacing w:after="0" w:line="227"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One or more shareholders holding at least 5% of the total voting rights of all shareholders who have the right to vote on the resolution, or at least 100 shareholders who have a right to vote and hold (on average) at least £100 per shareholder of paid-up share capital can require resolutions to be put before the annual general meeting (including, for the avoidance of doubt, a resolution to appoint a director).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Meetings of Shareholders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Companies Act requires the Topco Board, if it receives a written requisition from Topco shareholders representing at least 5% of such of the paid up capital of Topco as carries the right of voting at general meetings (the “Requisitioners”) to, within 21 days, call a general meeting of Topco shareholders or a meeting of the holders of that class of shares, as applicable, to be held as soon as practicable and in any event not later than 28 days after the date of the notice convening the meeting. The requisition must state the business to be considered at the meeting, must be signed by or on behalf of the Requisitioners, and must be submitted to Topco’s registered office.</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Companies Act, if the Topco Board does not, within 21 days of the date of the deposit of a valid requisition from Requisitioners, call a meeting of Topco shareholders to be held within 28 days of the notice convening the meeting, the Requisitioners (or those representing more than a one half of the total voting rights of the Requisitioners) may call a meeting of Topco shareholders to be held within three months of the date of deposit of the requisition. A meeting called by the Requisitioners in this manner must be called in the same manner, as nearly as possible, as meetings are called by the Topco Board. Topco must reimburse any reasonable expenses incurred by the Requisitioners in calling the meeting if the Topco Board has failed to properly call a requisitioned meeting.</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Topco Articles of Association, a general meeting of Topco shareholders may also be called by the Topco Board.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 for Meetings of Shareholders</w:t>
      </w:r>
    </w:p>
    <w:p>
      <w:pPr>
        <w:spacing w:after="0" w:line="121"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Under the Topco Articles of Association, except as otherwise provided by law or the Topco Articles of Association, a quorum shall be members who, present in person (which, in the case of a corporate member shall include being present by a representative) or by proxy, together represent at least the majority of the total voting rights of all the members entitled to vote in relation to the meeting. Certain specified matters require a quorum</w:t>
      </w:r>
    </w:p>
    <w:p>
      <w:pPr>
        <w:spacing w:after="0" w:line="1" w:lineRule="exact"/>
        <w:rPr>
          <w:sz w:val="20"/>
          <w:szCs w:val="20"/>
          <w:color w:val="auto"/>
        </w:rPr>
      </w:pPr>
    </w:p>
    <w:p>
      <w:pPr>
        <w:ind w:left="120" w:right="680"/>
        <w:spacing w:after="0" w:line="260" w:lineRule="auto"/>
        <w:rPr>
          <w:sz w:val="20"/>
          <w:szCs w:val="20"/>
          <w:color w:val="auto"/>
        </w:rPr>
      </w:pPr>
      <w:r>
        <w:rPr>
          <w:rFonts w:ascii="Times New Roman" w:cs="Times New Roman" w:eastAsia="Times New Roman" w:hAnsi="Times New Roman"/>
          <w:sz w:val="18"/>
          <w:szCs w:val="18"/>
          <w:color w:val="auto"/>
        </w:rPr>
        <w:t>of two-thirds of the total voting rights, being (i) the adoption of a resolution to remove a serving board member; and (ii) amendments to certain provisions of the Topco Articles of Association.</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Topco Articles of Association, all resolutions at an annual general meeting or other general meeting must be decided on a poll.</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On a poll, each Topco shareholder present in person or by proxy is entitled to one vote for each Topco Share in the name of the shareholder on record at the relevant record date.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Under the Companies Act, an ordinary resolution proposed at an annual general meeting or other general meeting of the shareholders requires approval by a simple majority of the voting rights represented in person or by proxy at the meeting. Matters requiring an ordinary resolution under the Companies Act include the following:</w:t>
      </w:r>
    </w:p>
    <w:p>
      <w:pPr>
        <w:spacing w:after="0" w:line="8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directors’ long-term service contracts, substantial property transactions with or loans to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acts by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directors’ remuneration report and remuneration policy;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subdivision or consolidation of share capital;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redenomination of share capital;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off-market share purchases.</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Under the Companies Act, a special resolution proposed at an annual general meeting or other general meeting of the shareholders requires approval by not less than 75% of the voting rights represented in person or by proxy at the meeting. Matters requiring a special resolution under the Companies Act include the following:</w:t>
      </w:r>
    </w:p>
    <w:p>
      <w:pPr>
        <w:spacing w:after="0" w:line="81"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altering a company’s articles of association;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re-registration of a company from public to private or from private to public;</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name of a company (unless otherwise provided for in the company’s articles of association—the Topco Articles of Association permit the company’s name to be changed by the Topco Board);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the class rights of shares, unless otherwise provided for in the articles of association;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share capital;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 scheme of arrangement;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or terminating a member’s voluntary winding up.</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Variation of Rights Attaching to a Class of Shares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Companies Act, any variation of class rights attaching to the issued shares of Topco requires the approval of a special resolution passed by a majority of not less than 75% of the voting rights of that class represented in person or by proxy at a separate meeting of the shareholders of the relevant class.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Under the Companies Act, a company’s register of shareholders must be kept available for inspection. Inspection is free for Topco shareholders but Topco may charge a prescribed fee to any other person who intends to inspect the register. In addition, anyone may request a copy of an English company’s register of shareholders on payment of a prescribed fee and delivery to the company of a written request containing certain information, including the purpose for which the copy register will be used.</w:t>
      </w:r>
    </w:p>
    <w:p>
      <w:pPr>
        <w:spacing w:after="0" w:line="180"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English law also provides that certain corporate records of Topco, including a register of its directors, secretary, directors’ indemnities and directors’ service contracts, must be open for inspection for at least two hours in each business day.</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accounting records of a public English company must be open at all times to inspection by its officers. Topco’s statutory books and records shall, to the extent required by the Companies Act, be kept at Topco’s registered office.</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60"/>
          </w:cols>
          <w:pgMar w:left="320" w:top="455" w:right="5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An English private limited company may be acquired in a number of ways, including by means of a “scheme of arrangement” between the company and its shareholders or by means of a takeover offer.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Scheme of Arrangement</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 “scheme of arrangement” is a statutory procedure under the Companies Act pursuant to which the English courts may approve an arrangement between an English company and some or all of its shareholders. In a “scheme of arrangement,” the company would make an initial application to the court to convene a meeting or meetings of its shareholders at which a majority in number of shareholders representing 75% of the voting rights of the shareholders present and voting either in person or by proxy at the meeting must agree to the arrangement by which they will sell their shares in exchange for the consideration being offered by the bidder. If the shareholders so agree, the company will return to court to request the court to sanction the arrangement. Upon such a scheme of arrangement becoming effective in accordance with its terms and the Companies Act, it will bind the company and such shareholders.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Takeover Offer</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takeover offer is an offer to acquire all of the outstanding shares of a company (other than shares which at the date of the offer are already held by the offeror). The offer must be made on identical terms to all holders of shares to which the offer relates. If the offeror, by virtue of acceptances of the offer, acquires or contracts to acquire more than 90% in par value of the shares to which the offer relates, the Companies Act allows the offeror to give notice to any non-accepting shareholder that the offeror intends to acquire his or her shares through a compulsory acquisition (also referred to as a “squeeze out”), and the shares of such non-accepting shareholders will be acquired by the offeror six weeks later on the same terms as the offer, unless the shareholder objects to the English court and the court enters an order that the offeror is not entitled to acquire the shares or specifying terms of the acquisition different from those of the offer.</w:t>
      </w:r>
    </w:p>
    <w:p>
      <w:pPr>
        <w:spacing w:after="0" w:line="18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Companies Act permits a scheme of arrangement or takeover offer to be made relating only to a particular class or classes of a company’s shares.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Additionally, following the listing the Ordinary Shares in Denmark on Nasdaq Copenhagen A/S (“Nasdaq Copenhagen”), certain Danish takeover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restrictions will likely apply to attempted takeovers of Topco. The Executive Order No. 636 of 15 May 2020 on Takeover Bids (in Danish: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bekendtgørelse om overtagelsestilbud</w:t>
      </w:r>
      <w:r>
        <w:rPr>
          <w:rFonts w:ascii="Times New Roman" w:cs="Times New Roman" w:eastAsia="Times New Roman" w:hAnsi="Times New Roman"/>
          <w:sz w:val="18"/>
          <w:szCs w:val="18"/>
          <w:color w:val="auto"/>
        </w:rPr>
        <w:t>”) (the “Danish Takeover Order”) includes rules concerning public tender offers for the acquisition of shares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admitted to trading on a regulated market (including Nasdaq Copenhagen). Pursuant to the Danish rules on mandatory tender offers, if a shareholding 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transferred, directly or indirectly, in a company with one or more share classes admitted to trading on a regulated market, to an acquirer or to persons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acting in concert with such acquirer, the acquirer and the persons acting in concert with such acquirer, if applicable, shall give all shareholders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the option to dispose of their shares on identical terms, if the acquirer, or the persons acting in concert with such acquirer, as a result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transfer, gains control over the company as a result of the transfer. Control exists if the acquirer, or persons acting in concert with such acquirer, directly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indirectly, holds at least one-third of the voting rights in the company, unless it can be clearly proven in special cases that such ownership does not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constitute control. Exemptions from the mandatory tender offer rules may only be granted under special circumstances by the Danish Financial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Supervisory Authority (in Danish: “</w:t>
      </w:r>
      <w:r>
        <w:rPr>
          <w:rFonts w:ascii="Times New Roman" w:cs="Times New Roman" w:eastAsia="Times New Roman" w:hAnsi="Times New Roman"/>
          <w:sz w:val="18"/>
          <w:szCs w:val="18"/>
          <w:i w:val="1"/>
          <w:iCs w:val="1"/>
          <w:color w:val="auto"/>
        </w:rPr>
        <w:t>Finanstilsynet</w:t>
      </w:r>
      <w:r>
        <w:rPr>
          <w:rFonts w:ascii="Times New Roman" w:cs="Times New Roman" w:eastAsia="Times New Roman" w:hAnsi="Times New Roman"/>
          <w:sz w:val="18"/>
          <w:szCs w:val="18"/>
          <w:color w:val="auto"/>
        </w:rPr>
        <w:t>”) (the “DFSA”).</w:t>
      </w:r>
    </w:p>
    <w:p>
      <w:pPr>
        <w:spacing w:after="0" w:line="205" w:lineRule="exact"/>
        <w:rPr>
          <w:sz w:val="20"/>
          <w:szCs w:val="20"/>
          <w:color w:val="auto"/>
        </w:rPr>
      </w:pPr>
    </w:p>
    <w:p>
      <w:pPr>
        <w:ind w:left="120" w:right="6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The application of the mandatory tender offer rule could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have a deterrent effect on potential acquirers of Ordinary Shares if such acquisition would result in a transfer of control over Topco, if this would trigger an obligation to make a mandatory tender offer.</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Disclosure of Interests in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Requirements under the Companies Act</w:t>
      </w:r>
    </w:p>
    <w:p>
      <w:pPr>
        <w:spacing w:after="0" w:line="121"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Topco shareholders will also be subject to section 793 of the Companies Act, which is also incorporated in the Topco Articles of Association. Section 793 provides that a company may give notice to any person who it knows or has reasonable cause to believe to be interested in the company’s shares (or to have been interested in the previous three years) requiring that person to provide to the company details of the person’s interest.</w:t>
      </w:r>
    </w:p>
    <w:p>
      <w:pPr>
        <w:spacing w:after="0" w:line="158" w:lineRule="exact"/>
        <w:rPr>
          <w:sz w:val="20"/>
          <w:szCs w:val="20"/>
          <w:color w:val="auto"/>
        </w:rPr>
      </w:pPr>
    </w:p>
    <w:p>
      <w:pPr>
        <w:jc w:val="both"/>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If a Topco shareholder fails to respond to such a request within 14 calendar days, Topco can impose sanctions on that holder which include the suspension of voting rights in the relevant shares and, where the relevant shares represent at least 0.25% of the class (excluding treasury shares), the suspension of dividend and share transfer rights. The Topco Board may suspend or terminate any and all of the sanctions in its discretion at any time. These sanctions automatically cease when the Topco shareholder complies with the request.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Requirements under the Exchange Act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Ordinary Shares shall be subject to certain reporting requirements under the Exchange Act.</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Shareholders owning more than 5% of any class of equity securities registered pursuant to Section 12 of the Exchange Act must comply with disclosure obligations under Section 13 of the Exchange Act. Sections 13(d) and 13(g) of the Exchange Act require any person or group of persons who owns or acquires beneficial ownership of more than 5% of certain classes of equity securities to file ownership reports with the SEC on either Schedule 13D or (for passive investors) the short form Schedule 13G.</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the shareholder is required to file a report on Schedule 13D, such a report must include information on, among other things, the acquisition of securities by which the shareholder exceeded the 5% threshold and be filed within 10 days after the acquisition. The schedule is filed with the SEC and is provided to the issuer, as well as to each stock exchange on which the security is traded. Schedule 13G is a shorter alternative to Schedule 13D, which is available to beneficial owners of more than 5% of a class of securities that are considered passive investors. Generally, passive investors are investors that do not intend to control or change the control of a company. A Schedule 13G filing has different information and timing requirements than a Schedule 13D filing.</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 filer must, among other things, amend a Schedule 13G promptly upon acquiring beneficial ownership of more than 10% of a registered class of equity securities and must thereafter promptly amend the Schedule 13G upon increasing or decreasing its beneficial ownership by more than 5% of the class. A Schedule 13G filer must change to filing Schedule 13D within 10 days after beneficial ownership first equals or exceeds 20% of the class and is prohibited from voting or acquiring additional securities of the class until 10 days after the Schedule 13D is filed.</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Directors and officers of the issuer with a registered class of equity securities, and any person or group that has beneficial ownership of more than 10% of such class, face additional requirements regarding the disclosure of ownership and equity trading. Each such director, officer, person or group will be considered an insider under Section 16(a) of the Exchange Act and the rules and regulations promulgated thereunder. Insiders must make an initial filing on Form 3 within 10 days after the filer’s becoming an insider and must disclose beneficial ownership of all securities of the issuer. Insiders must also file Form 4 reports disclosing transactions resulting in a change in beneficial ownership within two business days following the execution date of the transaction, except for limited types of transactions eligible for deferred reporting on Form 5. In addition, insiders are required to report on Form 5 within 45 days after the issuer’s fiscal year-end any transactions or holdings that should have been, but were not, reported on Form 3 or 4 during the issuer’s most recent fiscal year and any transactions eligible for deferred reporting.</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Requirements under Nasdaq Copenhagen</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Shareholders in companies with shares admitted to trading and official listing on Nasdaq Copenhagen are, pursuant to Section 38 of the Danish Capital Markets Act, required to give simultaneous notice to the company and the DFSA of the shareholding in the company, when the shareholding reaches, exceeds or falls below thresholds of 5%, 10%, 15%, 20%, 25%, 50% or 90% and limits of one-third or two-thirds of the voting rights or nominal value of the total share capital.</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 shareholder in a company means a natural or legal person who, directly or indirectly, holds: (i) shares in the company on behalf of himself/herself/itself and for his/her/its own account; (ii) shares in the company on behalf of himself/herself/itself, but for the account of another natural or legal person; or (iii) depository receipts, where such holder is considered a shareholder in relation to the underlying shares represented by the depository receipts.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duty to notify set forth above further applies to natural and legal persons who are entitled to acquire, sell or exercise voting rights which are:</w:t>
      </w:r>
    </w:p>
    <w:p>
      <w:pPr>
        <w:spacing w:after="0" w:line="131" w:lineRule="exact"/>
        <w:rPr>
          <w:sz w:val="20"/>
          <w:szCs w:val="20"/>
          <w:color w:val="auto"/>
        </w:rPr>
      </w:pPr>
    </w:p>
    <w:p>
      <w:pPr>
        <w:ind w:left="1080" w:right="2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by a third party with whom that natural or legal person has concluded an agreement, which obliges them to adopt, by concerted exercise of the voting rights they hold, a lasting common policy towards the management of the issuer in question (common duty to inform for all parties to the agreement);</w:t>
      </w:r>
    </w:p>
    <w:p>
      <w:pPr>
        <w:spacing w:after="0" w:line="81"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by a third party under an agreement concluded with that natural or legal person providing for the temporary transfer of the voting rights in question in return for consideration;</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to shares which are lodged as collateral for that natural or legal person, provided the person controls the voting rights and declares an intention of exercising them;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to shares in which that natural or legal person has a lifelong right of disposal;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or may be exercised within the meaning of (i) to (iv), by an undertaking controlled by that person or entity;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to shares deposited with that natural or legal person and which the person can exercise at his/her/its own discretion in the absence of specific instructions from the shareholders;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by a third party in its own name on behalf of that person; or</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exercisable by that person through a proxy where that person may exercise the voting rights at his/her/its discretion in the absence of specific instructions of the shareholder.</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duty to notify set forth above also applies to anyone, who directly or indirectly holds (a) financial instruments that afford the holder either an unconditional right to acquire or the discretion as to his/her/its right to acquire existing shares (e.g., share options); and/or (b) financial instruments based on existing shares and with an economic effect equal to that of the financial instruments mentioned in (a), regardless of them not affording the right to purchase existing shares (e.g., cash-settled derivatives linked to the value of the shares in question). Holding these kinds of financial instruments counts towards the thresholds mentioned above and may thus trigger a duty to notify by itself or when accumulated with a shareholding.</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notification shall be made promptly but no later than four weekdays after the shareholder was aware or should have become aware of the completion of the transaction, and in accordance with the provisions of Danish Executive Order no. 1172 of 31 October 2017 on Major Shareholders. The shareholder is deemed to have become aware of the completion of the transaction two weekdays after the completion of the transaction. The shareholder shall disclose the change in voting rights and shares, including the number of voting rights (and the distribution of voting rights among share classes, if applicable) and shares held directly or indirectly by the shareholder following the transaction. The notification shall further state the transaction date on which the threshold was reached or no longer reached and the identity of the shareholder as well as the identity of any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natural or legal person with the right to vote on behalf of the shareholder and in the case of a group structure, the chain of controlled undertakings through which voting rights are effectively held. The information shall be notified to the company and simultaneously submitted electronically to the DFSA. Failure to comply with the notification requirements is punishable by fine or suspension of voting rights in instances of gross or repeated non-compliance.</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When an obligation to notify rests on more than one natural or legal person the notification may be made through a joint notification. However, use of a joint notification does not exempt the individual shareholders or natural or legal persons from their responsibilities in connection with the obligation to notify or the contents of the notification.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receipt of the notification, the company shall promptly, but not later than three weekdays thereafter, publish the contents of the notification.</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 similar duty, as set forth above, also applies to a company’s holding of treasury shares. A company with shares admitted to trading and official listing on Nasdaq Copenhagen is required to promptly, but not later than four weekdays thereafter, publish an announcement specifying the company’s, direct or indirect, holding of treasury shares, when the holding reaches, exceeds or falls below the thresholds of 5% or 10% of the voting rights or the nominal value of the share capital. This duty applies regardless of whether the company holds the treasury shares itself or through a person acting in his own name but on the company’s behalf.</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Short Selling Regulation (236/2012/EU) includes certain notification requirements in connection with short selling and imposes restrictions on uncovered short selling of shares admitted to trading on a trading venue (including Nasdaq Copenhagen).</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When a natural or legal person reaches, exceeds or falls below a net short position of 0.2% of the issued share capital of a company that has shares admitted to trading on a trading venue, such person shall make a notification to the relevant competent authority, which in Denmark is the DFSA. The obligation to notify the DFSA, moreover, applies in each case where the net short position reaches, exceeds or falls below each 0.1% threshold above the 0.2% threshold. In addition, when a natural or legal person reaches, exceeds or falls below a net short position of 0.5% of the issued share capital of a company that has shares admitted to trading on a trading venue in the European Union and each 0.1% above that, such person shall make a public notification of its net short position via the DFSA. The notification requirements apply to both physical and synthetic short positions. In addition uncovered short selling (naked short selling) of shares admitted to trading on a trading venue is prohibited.</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 natural or legal person is prohibited from entering into a short sale of shares admitted to trading on a trading venue unless one of the following conditions is satisfied: (i) the natural or legal person has borrowed the share or has made alternative provisions resulting in a similar legal effect; (ii) the natural or legal person has entered into an agreement to borrow the share or has another absolutely enforceable claim under contract or property law to be transferred ownership of a corresponding number of securities of the same class so that settlement can be effected when it is due; or (iii) the natural or legal person has an arrangement with a third party under which that third party has confirmed that the share has been located and has taken</w:t>
      </w:r>
    </w:p>
    <w:p>
      <w:pPr>
        <w:spacing w:after="0" w:line="3"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measures vis-à-vis third parties necessary for the natural or legal person to have a reasonable expectation that settlement can be effected when it is due. Certain exemptions apply to the prohibition, such as in the case of market-makers or in connection with stabilization in accordance with the Commission Delegated Regulation (EU) 2016/1052.</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Applicability of the UK Takeover Code and Danish Takeover Rules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Takeover offers and certain other transactions in respect of certain public companies are regulated by the Takeover Code, which is administered by the Takeover Panel, a body consisting of representatives of the City of London financial and professional institutions which oversees the conduct of takeovers (the “Takeover Panel”).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An English public limited company is potentially subject to the protections afforded by the Takeover Code if, among other factors, a majority of its directors are resident within the UK, the Channel Islands or the Isle of Man. Based upon Topco’s current and intended plans for its directors, it is anticipated that the Takeover Code will not apply to Topco. However, it is possible that, in the future, circumstances could change that may cause the Takeover Code to apply to Topco.</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protections afforded by the Takeover Code include the requirement that if (i) a person acquires an interest in shares in a company to which the Takeover Code applies, which when taken together with shares already held by him or persons acting in concert with him, carry 30 per cent. or more of the voting rights in the company or (ii) a person who, together with persons acting in concert with him, has an interest in not less than 30 per cent. of the voting rights of the company but does not hold shares carrying more than 50 per cent. of the voting rights in the company acquires additional interests in shares which increase the percentage of shares carrying voting rights in which that person has an interest, the acquiror and, depending on the circumstances, its concert parties, would be required (except with the consent of the Takeover Panel) to make a cash offer for the outstanding shares in the company at a price not less than the highest price paid for any interests in the shares by the acquiror or its concert parties during the previous 12 months.</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Following Brexit, it is not clear, and the Takeover Panel and the DFSA would need to be consulted with if the Takeover Code ever applied to Topco, how the takeover restrictions in each of the Takeover Code and the Danish Takeover Order would both be applied to Topco if the Takeover Code applied to Topco. The potential application of two differing sets of takeover restrictions could, inter alia, have a deterrent effect on potential acquirers of Ordinary Shares if such acquisition would trigger an obligation to make a mandatory bid and/or a mandatory tender offer, as applicable.</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Additionally, following the listing of the Ordinary Shares in Denmark on Nasdaq Copenhagen, certain Danish takeover restrictions will likely apply to attempted takeovers of Topco. The Danish Takeover Order includes rules concerning public tender offers for the acquisition of shares admitted to trading on a regulated market (including Nasdaq Copenhagen). Pursuant to the Danish rules on mandatory tender offers, if a shareholding is transferred directly or indirectly, in a company with one or more share classes admitted to trading on a regulated market, to, directly or indirectly, in a company with one or more share classes admitted to trading on a regulated market, to an acquirer or to persons acting in concert with such acquirer, the acquirer and the persons acting in concert with such acquirer, if applicable, shall give all shareholders of the company the option to dispose of their shares on identical terms, if the acquirer, or the persons acting in concert with such acquirer, as a result of the transfer, gains control over the company as a result of the transfer. Control exists if the acquirer, or persons acting in concert with such acquirer, directly or indirectly, holds at least one-third of the voting rights in the company, unless it can be clearly proven in special cases that such ownership does not constitute control. Mandatory tender offers may also be subject to certain restrictions regarding the price per share to be offered to the shareholders in the company in question. Exemptions from the mandatory tender offer rules may only be granted under special circumstances by the DFSA.</w:t>
      </w:r>
    </w:p>
    <w:p>
      <w:pPr>
        <w:spacing w:after="0" w:line="190" w:lineRule="exact"/>
        <w:rPr>
          <w:sz w:val="20"/>
          <w:szCs w:val="20"/>
          <w:color w:val="auto"/>
        </w:rPr>
      </w:pPr>
    </w:p>
    <w:p>
      <w:pPr>
        <w:ind w:left="120" w:right="6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The application of the mandatory tender offer rule could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have a deterrent effect on potential acquirers of Ordinary Shares if such acquisition would result in a transfer of control over Topco, if this would trigger an obligation to make a mandatory tender offer.</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Under English law and the Topco Articles of Association, the authority for the overall management of Topco is vested in the Topco Board. The Topco Board may delegate any of its powers on such terms as it thinks fit in accordance with the Topco Articles of Association and English law. Despite this delegation, the Topco Board remains responsible, as a matter of English law, for the proper management of the affairs of Topco and the directors are not allowed to leave the performance of their duties to others. The directors must ensure that any delegation is and remains appropriate and that an adequate system of control and supervision is in place.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Committees may be established by the Topco Board which may meet as they see fit, subject to the requirements of the Topco Articles of Association and such committee’s charter document adopted by the Topco Board from time to time. Under the Topco Articles of Association, the quorum necessary for the transaction of business at any committee meeting may be fixed by the Topco Board. If the quorum is not fixed by the Topco Board, the quorum is a majority of the members of that committee then in office.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Name; Formation; Fiscal Year; Registered Office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Topco was incorporated in England and Wales on October 16, 2020 as a public limited company with company number 12958050. Topco subsequently re-registered as a private limited company on January 13, 2021. Topco subsequently re-registered as a public limited company on May 12, 2022. Topco’s fiscal year ends on December 31 each year. Topco’s registered office address is 3rd Floor 1 Ashley Road, Altrincham, Cheshire, United Kingdom, WA14 2DT. For more information regarding Topco, see “Where You Can Find More Information.”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 of Shareholders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Topco’s register of shareholders is maintained by Computershare Trust Company, N.A.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Negotiability and Transferability</w:t>
      </w:r>
    </w:p>
    <w:p>
      <w:pPr>
        <w:spacing w:after="0" w:line="121"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The Ordinary Shares are negotiable instruments, and no restrictions under the Topco Articles of Association or English law apply to the transferability of the Ordinary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Compulsory Acquisition of Shares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Under sections 974 to 991 of the Companies Act, if an offeror acquires or contracts to acquire (pursuant to a ‘takeover offer’ as that term is defined in section 974 of the Companies Act) not less than 90 per cent. of the shares (in value and by voting rights) to which such offer relates it may then compulsorily acquire the outstanding shares not assented to the offer. It would do so by sending a notice to outstanding holders of shares telling them that it will compulsorily acquire their shares and then, six weeks later, it would execute a transfer of the outstanding shares in its favor and pay the consideration to Topco, which would hold the consideration on trust for the outstanding holders of shares. The consideration offered to the holders whose shares are compulsorily acquired under the Companies Act must, in general, be the same as the consideration that was available under the takeover offer.</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addition, pursuant to section 983 of the Companies Act, if an offeror acquires or agrees to acquire not less than 90 per cent. of the shares (in value and by voting rights) to which the offer relates, any holder of shares to which the offer relates who has not accepted the offer may require the offeror to acquire his shares on the same terms as the takeover offer. The offeror would be required to give any holder of shares notice of his right to be bought out within one month of that right arising. Sell-out rights cannot be exercised after the end of the period of three months from the last date on which the offer can be accepted or, if later, three months from the date on which the notice is served on the holder of shares notifying them of their sell-out rights. If a holder of shares exercises his/her rights, the offeror is bound to acquire those shares on the terms of the offer or on such other terms as may be agreed.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Appointment of Directors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Topco Articles of Association provide that the number of directors shall not be less than three nor more than eleven. The Topco Board is currently comprised of four members, and, immediately following the completion of the Business Combination, the Topco Board is expected to expand to seven members.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60"/>
          </w:cols>
          <w:pgMar w:left="320" w:top="455" w:right="5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Topco Board has the power to appoint a person as a director by simple majority resolution, either to fill a vacancy or as an additional position.</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Removal of Directors and Vacancies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Under English law and pursuant to the Topco Articles of Association, the Topco shareholders may remove a director without cause by ordinary resolution, irrespective of any provisions in the Topco Articles of Association, provided that 28 “clear days” notice of the resolution is given to the company.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Topco Articles of Association, a person ceases to be a director if:</w:t>
      </w:r>
    </w:p>
    <w:p>
      <w:pPr>
        <w:spacing w:after="0" w:line="131" w:lineRule="exact"/>
        <w:rPr>
          <w:sz w:val="20"/>
          <w:szCs w:val="20"/>
          <w:color w:val="auto"/>
        </w:rPr>
      </w:pPr>
    </w:p>
    <w:p>
      <w:pPr>
        <w:ind w:left="1080" w:right="5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bankruptcy order is made against that person or a composition is made with that person’s creditors generally in satisfaction of that person’s debts;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registered medical practitioner who is treating that person gives a written opinion to Topco stating that person has become physically or mentally incapable of acting as a director and may remain so for more than three months;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absent from meetings of the Topco Board for six consecutive months without permission of the Topco Board and the Topco Board resolves that the relevant director’s office be vacated;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ceases to be a director by virtue of any provision of the Companies Act or is prohibited from being a director by law; or</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notification is received by Topco from that person that he is resigning or retiring from his office as director, and such resignation or retirement has taken effect in accordance with its terms.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Duration, Dissolution and Rights upon Liquidation</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Topco’s duration will be unlimited but Topco may be dissolved and wound up at any time. There are three types of winding up procedure under the Companies Act:</w:t>
      </w:r>
    </w:p>
    <w:p>
      <w:pPr>
        <w:spacing w:after="0" w:line="67"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member’s voluntary winding-up;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creditors’ voluntary winding-up;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compulsory winding-up.</w:t>
      </w:r>
    </w:p>
    <w:p>
      <w:pPr>
        <w:spacing w:after="0" w:line="225" w:lineRule="exact"/>
        <w:rPr>
          <w:sz w:val="20"/>
          <w:szCs w:val="20"/>
          <w:color w:val="auto"/>
        </w:rPr>
      </w:pPr>
    </w:p>
    <w:p>
      <w:pPr>
        <w:jc w:val="both"/>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Generally, a member’s voluntary winding up occurs when the company is solvent and a creditors’ voluntary winding up occurs when it is insolvent. Both processes are initiated by the company passing a special resolution. A liquidator (a qualified insolvency practitioner) needs to be appointed for a creditors’ voluntary winding up.</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Upon dissolution, after satisfaction of the claims of creditors, the assets of Topco would be distributed to shareholders in accordance with their respective interests.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Uncertificated Shares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Shares of Topco may be held in either certificated or uncertificated form.</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Liability for Further Calls or Assessments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shares to be issued in the Business Combination will be duly and validly issued and fully paid and non-assessable.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Under the Topco Articles of Association, subject to the Companies Act, certificated shares may be transferred by an instrument of transfer (in any usual form), duly executed, with such evidence as the Topco Board may reasonably require to show the right of the transferor to make the transfer.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Certain persons who are and, immediately after consummation of the Business Combination, will be holders of Ordinary Shares are, or will be, entitled to registration rights, as described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Bankruptcy RRA</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the Effective Date, Noble Cayman entered into the Bankruptcy RRA with certain parties who received Noble Cayman Shares and Noble Cayman Warrants under the Plan (the “Bankruptcy RRA Holders”). Under the Bankruptcy RRA, Bankruptcy RRA Holders have certain demand and piggyback registration rights, subject to the limitations set forth in the Bankruptcy RRA. Pursuant to their underwritten offering registration rights, Bankruptcy RRA Holders have the right to demand that Topco (as successor to Noble Cayman under the Bankruptcy RRA), register underwritten offerings of any or all of their Registrable Securities (as defined in the Bankruptcy RRA, the “Bankruptcy Registrable Securities”) pursuant to an effective registration statement, subject to certain conditions, including that the aggregate proceeds expected to be received from such an offering is equal to or greater than $20 million, unless such demand is not pursuant to a shelf registration statement, in which case certain Bankruptcy RRA Holders may require that Topco register an underwritten offering for an amount that would enable all remaining Bankruptcy Registrable Securities to be included in such offering. In addition, the Bankruptcy RRA requires Topco to register for resale such Bankruptcy Registrable Securities pursuant to Rule 415 under the Securities Act, including by filing a registration statement on Form S-1 or Form S-3 in accordance with the terms and conditions set forth in the Bankruptcy RRA.</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Pacific Drilling Merger RRA</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On April 15, 2021, in connection with the closing of the Pacific Drilling Merger, Noble Cayman entered into the Pacific Drilling Merger RRA with each of the holders identified therein (the “Pacific Drilling Merger RRA Holders”), pursuant to which, among other things, Topco (as successor to Noble Cayman under the Pacific Drilling Merger RRA) is required to file with the SEC a registration statement registering for resale the Registrable Securities (as defined in the Pacific Drilling Merger RRA, the “Pacific Drilling Merger Registrable Securities”) issued to the Pacific Drilling Merger RRA Holders upon consummation of the Pacific Drilling Merger, and subject to certain limitations set forth therein, certain Pacific Drilling Merger RRA Holders have customary shelf, demand and piggyback registration rights with respect to the Pacific Drilling Merger Registrable Securities. In addition, pursuant to the Pacific Drilling Merger RRA, certain Pacific Drilling Merger RRA Holders have the right to require Topco, subject to certain limitations set forth therein, to effect a distribution of any or all of their Pacific Drilling Merger Registrable Securities by means of an underwritten offering. Topco is not obligated to effect any underwritten offering unless the dollar amount of the Pacific Drilling Merger Registrable Securities of the Pacific Drilling Merger RRA Holder(s) demanding such underwritten offering to be included therein is reasonably likely to result in gross sale proceeds of at least $20 million.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RRA</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the Closing Date, Topco will enter into a registration rights agreement (the “Business Combination RRA”) with APMH Invest, pursuant to which, among other things, and subject to certain limitations set forth therein, APMH Invest will have customary demand and piggyback registration rights. In addition, pursuant to the Business Combination RRA, APMH Invest will have the right to require Topco, subject to certain limitations set forth therein, to effect a distribution of any or all of its Ordinary Shares by means of an underwritten offering. Topco is not obligated to effect any underwritten offering unless the dollar amount of the securities of APMH Invest to be sold is reasonably likely to result in gross sale proceeds of at least $20 million.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of Ordinary Shares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Ordinary Shares are listed and trade on the NYSE under the symbol “NE.” Topco intends to list the Ordinary Shares on Nasdaq Copenhagen under “NOBLE” in connection with the closing of the Business Combination.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discussion summarizes certain United States (for purposes of this section, “U.S.”) federal income tax considerations of owning and disposing of the Ordinary Shares by a U.S. Holder (defined below).</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summary is based on the U.S. Internal Revenue Code of 1986, as amended (the “Code”), the U.S. Treasury Regulations promulgated thereunder (the “Treasury Regulations”), judicial decisions and published administrative rules and pronouncements of the U.S. Internal Revenue Service (the “IRS”), all as in effect on the date hereof (collectively, “Applicable U.S. Tax Law”). Changes in the rules or new interpretations of the rules may have retroactive effect and could significantly affect the U.S. federal income tax considerations described below. We have not requested, and will not request, any ruling or determination from the IRS or any other taxing authority with respect to the tax considerations discussed herein, and the discussion below is not binding upon the IRS or the courts. No assurance can be given that the IRS would not assert, or that a court would not sustain, a different position than any position discussed herein.</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summary does not address state, local or non-income tax considerations, nor does it purport to address all aspects of U.S. federal income taxation that may be relevant to a U.S. Holder in light of its individual circumstances or to a U.S. Holder that may be subject to special tax rules (such as persons who are related to the Debtors within the meaning of the Code, persons liable for alternative minimum tax, persons whose functional currency is not the U.S. dollar, U.S. expatriates, persons who actually or constructively own or will own 10% or more (by vote or value) of the equity interest of Topco (and any person that is related to Topco), broker-dealers, banks, mutual funds, insurance companies, financial institutions, small business investment companies, regulated investment companies, tax exempt organizations, controlled foreign corporations, passive foreign investment companies, partnerships (or other entities treated as partnerships or other pass-through entities), beneficial owners of partnerships (or other entities treated as partnerships or other pass-through entities), subchapter S corporations, persons who hold the Ordinary Shares as part of a straddle, hedge, conversion transaction or other integrated investment, persons using a mark-to-market method of accounting and persons who are in bankruptcy). Furthermore, this summary assumes that the Ordinary Shares are held only as “capital assets” (within the meaning of section 1221 of the Code). This summary does not address the material U.S. federal income tax considerations of the Business Combination.</w:t>
      </w:r>
    </w:p>
    <w:p>
      <w:pPr>
        <w:spacing w:after="0" w:line="192"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For purposes of this discussion, a “U.S. Holder” is a holder of Ordinary Shares that is: (1) an individual citizen or resident of the United States for U.S. federal income tax purposes; (2) a corporation (or other entity treated as a corporation for U.S. federal income tax purposes) created or organized under the laws of the United States, any state thereof or the District of Columbia; (3) an estate the income of which is subject to U.S. federal income taxation regardless of the source of such income; or (4) a trust (A) if a court within the United States is able to exercise primary jurisdiction over the trust’s administration and one or more United States persons (within the meaning of section 7701(a)(30) of the Code) have authority to control all substantial decisions of the trust or (B) that has a valid election in effect under applicable Treasury Regulations to be treated as a United States person.</w:t>
      </w:r>
    </w:p>
    <w:p>
      <w:pPr>
        <w:spacing w:after="0" w:line="173"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If a partnership (or other entity treated as a partnership or other pass-through entity for U.S. federal income tax purposes) is a holder of Ordinary Shares, the tax treatment of a partner (or other beneficial owner) generally will depend upon the status of the partner (or other beneficial owner) and the activities of the entity. Partners (or other beneficial owners) of partnerships (or other entities treated as partnerships or other pass-through entities) that are holders of Ordinary Shares should consult their respective tax advisors regarding the U.S. federal income tax considerations of the Ordinary Shares.</w:t>
      </w:r>
    </w:p>
    <w:p>
      <w:pPr>
        <w:spacing w:after="0" w:line="16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U.S. FEDERAL INCOME TAX CONSIDERATIONS IS FOR INFORMATIONAL PURPOSES ONLY AND IS NOT A SUBSTITUTE FOR CAREFUL TAX PLANNING AND ADVICE BASED UPON THE INDIVIDUAL CIRCUMSTANCES PERTAINING TO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 HOLDER OF ORDINARY SHARES. ALL HOLDERS OF ORDINARY SHARES ARE URGED TO CONSULT THEIR TAX ADVISORS AS TO THE U.S. FEDERAL, STATE, LOCAL, NON-U.S., NON-INCOME AND OTHER TAX CONSIDERATIONS OF THE ORDINARY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Paid on the Ordinary Shares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Subject to the discussion below regarding the passive foreign investment company (“PFIC”) rules, any distributions made by Topco out of current or accumulated earnings and profits (as determined for U.S. federal income tax purposes and including any taxes withheld from such distributions) with respect to the Ordinary Shares generally should be taxable to a U.S. Holder as foreign source ordinary dividend income. Distributions in excess of current and accumulated earnings and profits should be treated as a non-taxable return of capital to the extent of a U.S. Holder’s basis in the Ordinary Shares and thereafter as capital gain. Topco does not intend to determine its earnings and profits on the basis of U.S. federal income tax principles and, as a result, U.S. Holders should expect to treat all distributions on the Ordinary Shares as dividends.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general, dividends paid with respect to the Ordinary Shares to certain non-corporate U.S. Holders will be treated as “qualified dividend income,” which is taxable to such U.S. Holder at preferential capital gain tax rates provided that (i) the Ordinary Shares are readily tradable on an established securities market in the United States (such as the NYSE) or Topco is eligible for the benefits of a comprehensive income tax treaty with the United States that the IRS has determined is satisfactory and that includes an exchange of information program, (ii) as discussed below under “—PFIC,” Topco is not a PFIC for the taxable year during which the dividend is paid or the immediately preceding taxable year, and (iii) certain holding period and other requirements are satisfied. For purposes of clause (i) above, the Ordinary Shares should be treated as readily tradable on an established securities market in the United States so long as they are listed on the NYSE. Further, Topco believes it will be eligible for the benefits of the Convention Between the Government of the United States of America and the Government of the United Kingdom of Great Britain and Northern Ireland for the Avoidance of Double Taxation and the Prevention of Fiscal Evasion with Respect to Taxes on Income and On Capital Gains, or the United States-United Kingdom income tax treaty (which the Secretary of the Treasury of the United States has determined is satisfactory for this purpose), in which case Topco would be treated as satisfying the requirements in clause (i) above.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Exchange or Other Disposition of the Ordinary Shares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Unless a non-recognition provision applies, and subject to the discussion below under “—PFIC,” U.S. Holders generally will recognize capital gain or loss upon the sale, exchange or other disposition of the Ordinary Shares. Such capital gain or loss will be long-term capital gain or loss if, at the time of the sale, exchange or other disposition, the U.S. Holder held the Ordinary Shares for more than one year. Long-term capital gains of an individual taxpayer generally are taxed at preferential rates. The deductibility of capital losses is subject to certain limitations.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PFIC</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special set of U.S. federal income tax rules applies to ownership interests in a PFIC. A non-U.S. corporation is a PFIC in any taxable year in which, after taking into account certain look-through rules, either (i) at least 75% of its gross income is passive income or (ii) at least 50% of the average value (determined on a quarterly basis) of its assets is attributable to assets that produce or are held to produce passive income. In making this determination, the non-U.S. corporation is treated as earning its proportionate share of any income and owning its proportionate share of any assets of a subsidiary corporation in which it owns, directly or indirectly, a 25% or greater interest, by value. Passive income generally includes, but is not limited to, dividends, interest, rents, royalties and capital gains. If Topco is a PFIC at any time during which a U.S. Holder owns the Ordinary Shares, the U.S. Holder would be subject to additional U.S. information return filing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requirements and the potentially materially adverse rules discussed below. While it is not free from doubt, we believe that Topco has not been, and will not become, a PFIC with respect to any taxable year.</w:t>
      </w:r>
    </w:p>
    <w:p>
      <w:pPr>
        <w:spacing w:after="0" w:line="162" w:lineRule="exact"/>
        <w:rPr>
          <w:sz w:val="20"/>
          <w:szCs w:val="20"/>
          <w:color w:val="auto"/>
        </w:rPr>
      </w:pPr>
    </w:p>
    <w:p>
      <w:pPr>
        <w:ind w:left="120" w:right="100" w:firstLine="440"/>
        <w:spacing w:after="0" w:line="271" w:lineRule="auto"/>
        <w:rPr>
          <w:sz w:val="20"/>
          <w:szCs w:val="20"/>
          <w:color w:val="auto"/>
        </w:rPr>
      </w:pPr>
      <w:r>
        <w:rPr>
          <w:rFonts w:ascii="Times New Roman" w:cs="Times New Roman" w:eastAsia="Times New Roman" w:hAnsi="Times New Roman"/>
          <w:sz w:val="17"/>
          <w:szCs w:val="17"/>
          <w:color w:val="auto"/>
        </w:rPr>
        <w:t>If Topco is classified as a PFIC for any taxable year during which a U.S. Holder owns Ordinary Shares, the PFIC rules may alter the tax consequences of owning the Ordinary Shares with respect to gains from the sale, exchange or other disposition of, and “excess distributions” with respect to, the Ordinary Shares. Under the “default PFIC regime,” in general, an “excess distribution” is any distribution to a U.S. Holder that is greater than 125% of the average annual distributions received by the U.S. Holder (including return of capital distributions) during the three preceding taxable years or, if shorter, a U.S. Holder’s holding period. If Topco is classified as a PFIC for any taxable year during which a U.S. Holder owns Ordinary Shares, gains from the sale, exchange or other disposition of, and “excess distributions” with respect to, the Ordinary Shares would be allocated ratably over a U.S. Holder’s entire holding period and taxed at the highest ordinary income tax rate in effect for each such taxable year (subject to certain exceptions). Moreover, interest would be charged retroactively at the rate applicable to underpayments of tax (with respect to each such tax year’s ratable allocation) through the date of the sale, exchange or other disposition of, and “excess distributions” with respect to, the Ordinary Shares.</w:t>
      </w:r>
    </w:p>
    <w:p>
      <w:pPr>
        <w:spacing w:after="0" w:line="17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Topco does not intend to prepare or provide the information that would enable a U.S. Holder to make a “qualified electing fund” election to opt out of the default PFIC regime. U.S. Holders should consult with their tax advisors with respect to whether the unfavorable PFIC rules may be avoidable by electing to mark the Ordinary Shares to market.</w:t>
      </w:r>
    </w:p>
    <w:p>
      <w:pPr>
        <w:spacing w:after="0" w:line="176" w:lineRule="exact"/>
        <w:rPr>
          <w:sz w:val="20"/>
          <w:szCs w:val="20"/>
          <w:color w:val="auto"/>
        </w:rPr>
      </w:pPr>
    </w:p>
    <w:p>
      <w:pPr>
        <w:jc w:val="both"/>
        <w:ind w:left="120" w:right="340" w:firstLine="440"/>
        <w:spacing w:after="0" w:line="312" w:lineRule="auto"/>
        <w:rPr>
          <w:sz w:val="20"/>
          <w:szCs w:val="20"/>
          <w:color w:val="auto"/>
        </w:rPr>
      </w:pPr>
      <w:r>
        <w:rPr>
          <w:rFonts w:ascii="Times New Roman" w:cs="Times New Roman" w:eastAsia="Times New Roman" w:hAnsi="Times New Roman"/>
          <w:sz w:val="17"/>
          <w:szCs w:val="17"/>
          <w:color w:val="auto"/>
        </w:rPr>
        <w:t>The rules relating to PFICs are extremely complex and U.S. Holders are urged to consult their tax advisors regarding the tax considerations of owning Ordinary Shares in the event that Topco is treated as a PFIC during any taxable year during which a U.S. Holder will own Ordinary Shares.</w:t>
      </w:r>
    </w:p>
    <w:p>
      <w:pPr>
        <w:spacing w:after="0" w:line="14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above discussion assumes Topco is not treated as a controlled foreign corporation (a “CFC”) under Applicable U.S. Tax Law, but no assurance can be made in that regard. U.S. Holders are urged to consult their tax advisors regarding the tax considerations of owning Ordinary Shares in the event that Topco is treated as a CFC.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Asset Reporting</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Each U.S. Holder that is an individual that holds, or that is a corporation, partnership or trust formed or availed for the purpose of holding, “specified foreign financial assets” with an aggregate value in excess of $50,000 on the last day of the tax year or more than $75,000 at any time during the tax year (or such larger values as specified in the applicable Treasury Regulations), generally is required to file an information report with respect to such assets with its tax returns. A U.S. Holder is urged to consult its tax advisors regarding its information reporting obligations, if any, with respect to its ownership and disposition of the Ordinary Shares.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general, information reporting requirements will apply to amounts paid to a U.S. Holder in respect of the Ordinary Shares and the proceeds received by a U.S. Holder from the sale, exchange or other disposition of the Ordinary Shares, unless such U.S. Holder is an exempt recipient, such as a corporation. Backup withholding may apply to such payments if the U.S. Holder fails to provide a taxpayer identification number or a certification that it is not subject to backup withholding.</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may be allowed as a refund or a credit against a U.S. Holder’s U.S. federal income tax liability provided the required information is timely furnished to the IRS.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UK TAX CONSIDERATIONS</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following statements are intended to apply only as a general guide to certain material UK tax considerations for Non-UK Shareholders (as defined below) as a consequence of the ownership and disposition of Ordinary Shares (following completion of the Merger), and are based on current UK tax law and current published practice of HM Revenue &amp; Customs (“HMRC”), both of which are subject to change at any time, possibly with retrospective effect.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statements relate only to certain limited aspects of the UK taxation treatment of holders of Ordinary Shares who:</w:t>
      </w:r>
    </w:p>
    <w:p>
      <w:pPr>
        <w:spacing w:after="0" w:line="131"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resident in the UK for any taxation purposes (including for the purposes of any double tax treaty);</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carry on a trade, profession, or vocation in the UK through a branch or agency or, in the case of a company, carry on a trade in the UK through a permanent establishment;</w:t>
      </w:r>
    </w:p>
    <w:p>
      <w:pPr>
        <w:spacing w:after="0" w:line="67"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hold the Ordinary Shares as investments (other than under an individual savings account or a self-invested personal pension), and not for the purposes of any branch, agency or permanent establishment in the UK;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are the absolute beneficial owners of the Ordinary Shares and any dividends paid on them,</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holders being defined henceforth in this section as “Non-UK Shareholders”).</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statements may not apply to certain classes of Non-UK Shareholders, such as (but not limited to) persons who acquired their Ordinary Shares in connection with an office or employment, or otherwise than for bona fide commercial reasons, persons connected to Topco or the combined company, dealers in securities, insurance companies, pension schemes, shareholders who are exempt from tax and collective investment schemes.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summary does not address the UK tax treatment for persons who do not fall within the definition of Non-UK Shareholders (above), including holders who are resident in the UK for any taxation purposes. This summary does not address all possible UK tax consequences relating to the Merger or the ownership and disposition of Ordinary Shares after the Merger. In particular, this summary does not address any inheritance tax considerations, or the UK tax treatment of the Company Warrants.</w:t>
      </w:r>
    </w:p>
    <w:p>
      <w:pPr>
        <w:spacing w:after="0" w:line="176"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THE SUMMARY BELOW IS FOR INFORMATIONAL PURPOSES ONLY AND DOES NOT CONSTITUTE TAX OR LEGAL ADVICE. YOU ARE URGED TO CONSULT YOUR OWN TAX ADVISOR WITH RESPECT TO THE TAX CONSEQUENCES TO YOU OF THE MERGER AND OF THE OWNERSHIP AND DISPOSITION OF ORDINARY SHARES, INCLUDING THE EFFECTS OF UK TAX LAWS.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UK Taxation of Chargeable Gains</w:t>
      </w:r>
    </w:p>
    <w:p>
      <w:pPr>
        <w:spacing w:after="0" w:line="12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Subject to the paragraph below (dealing with temporary non-residents), Non-UK Shareholders will not generally be subject to UK tax on chargeable gains on the disposal of their Ordinary Shares.</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 Non-UK Shareholder who is an individual, who has ceased to have sole UK residence for tax purposes in the UK for a period of five years or less and who disposes of Ordinary Shares during that period may be liable to UK taxation on capital gains on their return to the UK (subject to the relevant conditions being met and any available exemption or relief). If applicable, the tax charge will arise in the tax year that the individual returns to the UK.</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UK Taxation of Dividends</w:t>
      </w:r>
    </w:p>
    <w:p>
      <w:pPr>
        <w:spacing w:after="0" w:line="121" w:lineRule="exact"/>
        <w:rPr>
          <w:sz w:val="20"/>
          <w:szCs w:val="20"/>
          <w:color w:val="auto"/>
        </w:rPr>
      </w:pPr>
    </w:p>
    <w:p>
      <w:pPr>
        <w:jc w:val="both"/>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Under UK tax legislation, Topco is not required to deduct or withhold tax at source from any dividend payments it makes in respect of the Ordinary Shares. Non-UK Shareholders will not generally be subject to UK tax in respect of any dividends received from Topco in respect of the Ordinary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Stamp Duty and Stamp Duty Reserve Tax (“SDRT”)</w:t>
      </w:r>
    </w:p>
    <w:p>
      <w:pPr>
        <w:spacing w:after="0" w:line="117"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The statements below are intended as a general guide only to certain UK stamp duty and SDRT considerations of the acquisition and disposal of Ordinary Shares acquired on completion of the Business Combination, and they apply regardless of whether or not a holder of Ordinary Shares is resident or domiciled in the UK. It should be noted that certain categories of persons, including market makers, brokers, dealers and market intermediaries, are entitled to exemption from stamp duty and SDRT in respect of purchases of securities in specified circumstances. As outlined above, the statements are based on current UK tax law and current published practice of HMRC, both of which are subject to change at any time, possibly with retrospective effect.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Rules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As a general rule, no stamp duty or SDRT should be payable on an issuance of the Ordinary Shares. However, reference should be made to the statements below in respect of issuances to depositary receipt issuers and clearance services.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transfer on sale of Ordinary Shares by a written instrument of transfer will generally be liable to UK stamp duty at the rate of 0.5% of the amount or value of the consideration for the transfer (or, in certain circumstances, the market value of the Ordinary Shares), rounded up to the nearest £5 if necessary. The purchaser normally pays the stamp duty.</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An unconditional agreement to transfer Ordinary Shares or a conditional agreement to transfer Ordinary Shares which subsequently becomes unconditional (in each case outside the facilities of a clearance service such as the Depository Trust Company (“DTC”), provided an election has not been made and maintained under section 97A Finance Act 1986) will generally give rise to a liability on the purchaser to SDRT at the rate of 0.5% of the amount or value of the consideration (or, in certain circumstances, the market value of the Ordinary Shares), but where an instrument of transfer is executed and duly stamped before the expiry of a period of six years beginning with the date of that agreement (or, if the agreement was conditional, the date on which it became unconditional), (i) any SDRT that has not been paid ceases to be payable, and (ii) any SDRT that has been paid may be recovered from HMRC, generally with interest.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Depositary Receipt Issuers and Clearance Services</w:t>
      </w:r>
    </w:p>
    <w:p>
      <w:pPr>
        <w:spacing w:after="0" w:line="121"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Special rules apply where Ordinary Shares are issued or transferred to, or to a nominee or agent for, either a person whose business is or includes issuing depositary receipts within section 67 or section 93 Finance Act 1986 or a person whose business is or includes providing a clearance service within section 70 or section 96 of the Finance Act 1986, under which stamp duty or SDRT may be charged at a higher rate of 1.5%. However, where a clearance service has made and maintained an election under section 97A Finance Act 1986, the 1.5% charge will not apply as transfers of Ordinary Shares into and within that clearance service would then be subject to stamp duty or SDRT at the normal 0.5% rate (as discussed above). We understand that HMRC regards DTC as a clearance service for these purposes and that no relevant election under section 97A(1) has been made in respect of DTC.</w:t>
      </w:r>
    </w:p>
    <w:p>
      <w:pPr>
        <w:spacing w:after="0" w:line="17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the basis of European Union case law, HMRC has confirmed that it will not seek to impose stamp duty or SDRT at the rate of 1.5% on issues of UK company shares to depositary receipt issuers and/or clearance systems. HMRC’s published guidance confirms that this remains HMRC’s position following the transition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312" w:lineRule="auto"/>
        <w:rPr>
          <w:sz w:val="20"/>
          <w:szCs w:val="20"/>
          <w:color w:val="auto"/>
        </w:rPr>
      </w:pPr>
      <w:r>
        <w:rPr>
          <w:rFonts w:ascii="Times New Roman" w:cs="Times New Roman" w:eastAsia="Times New Roman" w:hAnsi="Times New Roman"/>
          <w:sz w:val="17"/>
          <w:szCs w:val="17"/>
          <w:color w:val="auto"/>
        </w:rPr>
        <w:t>period which expired on December 31, 2020 after the withdrawal of the UK from the European Union. Accordingly, no stamp duty or SDRT should generally arise on the issue of Ordinary Shares to Cede &amp; Co., as nominee of DTC (or on the issue of Ordinary Shares into a depositary receipt system).</w:t>
      </w:r>
    </w:p>
    <w:p>
      <w:pPr>
        <w:spacing w:after="0" w:line="14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However, HMRC’s published view is that the relevant case law does not have any impact upon the transfer (on sale or otherwise than on sale) of shares or securities to depositary receipt systems or clearance services that are not an integral part of an issue of share capital and so the 1.5% SDRT or stamp duty charge will generally continue to apply to such transfers. Therefore, if any Ordinary Shares are withdrawn from the facilities of DTC (which itself may give rise to a stamp duty or SDRT charge if the shares are simultaneously transferred), or if any Ordinary Shares are otherwise held outside of the facilities of DTC (and outside of the facilities of Euronext Copenhagen), a charge to stamp duty or SDRT at 1.5% may arise on a subsequent redeposit of Ordinary Shares into the facilities of DTC.</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Transfers of Ordinary Shares within DTC or Euronext Copenhagen should not be subject to stamp duty or SDRT provided no instrument of transfer is entered into and no election that applies to the Ordinary Shares is made or has been made by DTC or Euronext Copenhagen (as applicable) under section 97A Finance Act 1986. In this regard, DTC has confirmed that DTC has not made an election under section 97A Finance Act 1986 which would affect the Ordinary Shares to be issued to Cede, as nominee of DTC, on completion of the Business Combination. Similarly, Euronext Copenhagen has confirmed that Euronext Copenhagen has not made an election under section 97A Finance Act 1986.</w:t>
      </w:r>
    </w:p>
    <w:p>
      <w:pPr>
        <w:spacing w:after="0" w:line="183"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Any SDRT in respect of any transfer into a clearance service or depositary receipt system, which does arise will generally be accountable by the clearance service or depositary receipt system operator (as the case may be), but will, in practice, be payable by the participants in the clearance service or depositary receipt system.</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It is noted that Topco submitted a non-statutory clearance application to HMRC to confirm certain aspects of the stamp duty and SDRT analysis above in relation to the Merger. HMRC has granted the clearances requested.</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UK Retained EU Law (Revocation and Reform) Bill, which was introduced to Parliament in the UK on September 22, 2022, intends to repeal, or assimilate into UK domestic law, all remaining retained European Union law as at December 31, 2023. It is currently uncertain whether or not the relevant European Union law that currently prohibits stamp duty or SDRT from arising on the issue of UK company shares to depositary receipt issuers and/or clearance systems will be repealed or assimilated into UK domestic law. If the relevant European law is repealed (and not assimilated or otherwise replaced in UK domestic law), then stamp duty or SDRT may arise on the future issue of UK company shares to depositary receipt issuers and/or clearance systems.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80"/>
          </w:cols>
          <w:pgMar w:left="320" w:top="455"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ERISA CONSIDERATIONS</w:t>
      </w:r>
    </w:p>
    <w:p>
      <w:pPr>
        <w:spacing w:after="0" w:line="229" w:lineRule="exact"/>
        <w:rPr>
          <w:sz w:val="20"/>
          <w:szCs w:val="20"/>
          <w:color w:val="auto"/>
        </w:rPr>
      </w:pPr>
    </w:p>
    <w:p>
      <w:pPr>
        <w:ind w:left="120" w:right="240" w:firstLine="440"/>
        <w:spacing w:after="0" w:line="277" w:lineRule="auto"/>
        <w:rPr>
          <w:sz w:val="20"/>
          <w:szCs w:val="20"/>
          <w:color w:val="auto"/>
        </w:rPr>
      </w:pPr>
      <w:r>
        <w:rPr>
          <w:rFonts w:ascii="Times New Roman" w:cs="Times New Roman" w:eastAsia="Times New Roman" w:hAnsi="Times New Roman"/>
          <w:sz w:val="17"/>
          <w:szCs w:val="17"/>
          <w:color w:val="auto"/>
        </w:rPr>
        <w:t>An equity investment in us by a “benefit plan” may raise certain issues under the U.S. Employee Retirement Income Security Act of 1974, as amended (“ERISA”), and the Code. Certain of these issues are described below. No attempt is made in this summary to describe issues that may arise under federal, state or local laws that are not preempted by ERISA (for example, any federal, state or local laws applicable to governmental plans or other benefit plans excluded from coverage under ERISA). In addition, this summary does not discuss the laws of any country other than the United States. Prospective investors that may be subject to any such laws should therefore consult their professional advisors with regard to such laws.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Benefit Plans</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ERISA and the Code regulate “benefit plans,” which are broadly defined in Section 3(3) of ERISA as “employee benefit plans” and Section 4975(e)(1) of the Code as “plans.” For purposes of this summary, the term “benefit plan” includes, but is not limited to, qualified pension, profit-sharing, and stock bonus plans established by an employer or employer organization (also referred to herein as qualified retirement plans) and individual retirement accounts (“IRAs”).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Fiduciaries</w:t>
      </w:r>
    </w:p>
    <w:p>
      <w:pPr>
        <w:spacing w:after="0" w:line="121" w:lineRule="exact"/>
        <w:rPr>
          <w:sz w:val="20"/>
          <w:szCs w:val="20"/>
          <w:color w:val="auto"/>
        </w:rPr>
      </w:pPr>
    </w:p>
    <w:p>
      <w:pPr>
        <w:ind w:left="120" w:right="340" w:firstLine="440"/>
        <w:spacing w:after="0" w:line="276" w:lineRule="auto"/>
        <w:rPr>
          <w:sz w:val="20"/>
          <w:szCs w:val="20"/>
          <w:color w:val="auto"/>
        </w:rPr>
      </w:pPr>
      <w:r>
        <w:rPr>
          <w:rFonts w:ascii="Times New Roman" w:cs="Times New Roman" w:eastAsia="Times New Roman" w:hAnsi="Times New Roman"/>
          <w:sz w:val="17"/>
          <w:szCs w:val="17"/>
          <w:color w:val="auto"/>
        </w:rPr>
        <w:t>ERISA and the Code impose certain duties on persons who are fiduciaries of such benefit plans and prohibit certain transactions involving the assets of such benefit plans and their fiduciaries or certain parties with an interest in the benefit plans. Under ERISA and the Code, any person who</w:t>
      </w:r>
    </w:p>
    <w:p>
      <w:pPr>
        <w:spacing w:after="0" w:line="1" w:lineRule="exact"/>
        <w:rPr>
          <w:sz w:val="20"/>
          <w:szCs w:val="20"/>
          <w:color w:val="auto"/>
        </w:rPr>
      </w:pPr>
    </w:p>
    <w:p>
      <w:pPr>
        <w:ind w:left="120" w:hanging="4"/>
        <w:spacing w:after="0" w:line="253" w:lineRule="auto"/>
        <w:tabs>
          <w:tab w:leader="none" w:pos="3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exercises discretionary authority or control over the management of the benefit plan or exercises any authority or control over the management or disposition of the assets of the benefit plan, (b) renders investment advice to the benefit plan for a fee or other compensation, (c) has discretionary authority or responsibility in the administration of the benefit plan, or (d) otherwise is designated to carry out the foregoing, generally is considered to be a fiduciary of the benefit plan.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Duties of a Fiduciary</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Under ERISA, a benefit plan fiduciary is required to discharge its duties with respect to such benefit plan solely in the interest of participants and beneficiaries of the benefit plan, and for the exclusive purpose of (a) providing benefits to participants and beneficiaries, and (b) defraying reasonable expenses of the benefit plan. Such duties must be discharged with such care, skill, prudence, and diligence under the circumstances then prevailing as a prudent person acting in like capacity and familiar with such matters would use in the conduct of an enterprise of a similar character and with similar aims. A fiduciary must also (a) diversify the investments of the benefit plan so as to minimize the risk of large losses, unless under the circumstances it is clearly prudent not to do so, and (b) invest assets of the benefit plan in accordance with the documents and instruments governing the benefit plan to the extent such documents and instruments are consistent with the provisions of ERISA.</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considering an investment of a portion of the assets of any benefit plan in us, a benefit plan fiduciary must discharge its duties in accordance with ERISA and the Code. Such duties include, but are not limited to, determining, in light of the risk factors inherent in an investment in us, whether the investment is in accordance with the documents and instruments governing the benefit plan and the applicable provisions of ERISA or the Code. For instance, the benefit plan fiduciary should consider whether the investment is permitted by the applicable plan documents and governing instruments and would be considered as prudent under ERISA and whether the benefit plan will satisfy ERISA’s diversification rules after the investment is made (the fiduciary rules of ERISA generally do not apply to IRAs but IRAs are subject to the prohibited transaction rules described below and those rules should be evaluated in connection with any contemplated investment in us by an IRA). In addition, a benefit plan fiduciary should consider whether the investment will result in the recognition of unrelated business taxable income by the benefit plan, and the effect such recognition would have on the benefit plan’s after-tax investment return.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Prohibited Transactions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 “prohibited transaction” is defined to include most transactions involving “plan assets,” including (without limitation) the direct or indirect sale of property, lending of money, and provision of services, between a benefit plan and certain persons who have specified relationships with the benefit plan (such persons being a “party in interest,” and/or “disqualified person,” as described below). Acts of self-dealing by fiduciaries also constitute prohibited transactions. Unless a statutory, individual or class exemption is available, the Code imposes an excise tax on such prohibited transactions and may result in a loss of tax-exempt status with respect to an IRA. Accordingly, absent an exemption, a fiduciary of a benefit plan should not invest the assets of any benefit plan in us if Topco or any of its affiliates is a fiduciary or other “party in interest” (as defined in ERISA) or “disqualified person” (as defined in the Code) with respect to the benefit plan.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Plan Assets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Fiduciary responsibilities and prohibited transaction restrictions generally apply with respect to the assets of a benefit plan, as well as any entity whose assets include such benefit plan’s assets. The U.S. Department of Labor has promulgated regulations, 29 C.F.R. Section 2510.3-101 as modified by Section 3(42) of ERISA (the “Plan Asset Regulations”), which identify a benefit plan’s assets when a benefit plan invests in an entity. Under the Plan Asset Regulations, if a benefit plan (or an entity whose assets include such benefit plan’s assets, collectively, a “benefit plan investor” within the meaning of the Plan Asset Regulations) invests in us, unless an exception applies, the benefit plan’s assets will include its interest in us and will also include our underlying assets.</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There are four exceptions to the rule treating an entity’s underlying assets as plan assets. Generally, if a benefit plan invests in an entity, then such benefit plan’s assets will include its equity investment in the entity but will not include the entity’s underlying assets, so long as the entity is one:</w:t>
      </w:r>
    </w:p>
    <w:p>
      <w:pPr>
        <w:spacing w:after="0" w:line="65" w:lineRule="exact"/>
        <w:rPr>
          <w:sz w:val="20"/>
          <w:szCs w:val="20"/>
          <w:color w:val="auto"/>
        </w:rPr>
      </w:pPr>
    </w:p>
    <w:p>
      <w:pPr>
        <w:jc w:val="both"/>
        <w:ind w:left="1080" w:right="60" w:hanging="424"/>
        <w:spacing w:after="0" w:line="267"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security is a publicly offered security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equity interests are held by 100 or more investors independent of the issuer and each other, freely transferable within the meaning of the Plan Asset Regulations and registered under certain provisions of the federal securities laws);</w:t>
      </w:r>
    </w:p>
    <w:p>
      <w:pPr>
        <w:spacing w:after="0" w:line="8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security is registered under the Investment Company Act of 1940;</w:t>
      </w:r>
    </w:p>
    <w:p>
      <w:pPr>
        <w:spacing w:after="0" w:line="128" w:lineRule="exact"/>
        <w:rPr>
          <w:rFonts w:ascii="Times New Roman" w:cs="Times New Roman" w:eastAsia="Times New Roman" w:hAnsi="Times New Roman"/>
          <w:sz w:val="18"/>
          <w:szCs w:val="18"/>
          <w:color w:val="auto"/>
        </w:rPr>
      </w:pPr>
    </w:p>
    <w:p>
      <w:pPr>
        <w:ind w:left="1080" w:right="460" w:hanging="424"/>
        <w:spacing w:after="0" w:line="267"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an operating company, including a “venture capital operating company” or a “real estate operating company”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 entity primarily engaged in production of a product or service other than the investment of capital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 active business), an entity that primarily invests in such active businesses or invests certain real estate that is managed or developed); or</w:t>
      </w:r>
    </w:p>
    <w:p>
      <w:pPr>
        <w:spacing w:after="0" w:line="78" w:lineRule="exact"/>
        <w:rPr>
          <w:rFonts w:ascii="Times New Roman" w:cs="Times New Roman" w:eastAsia="Times New Roman" w:hAnsi="Times New Roman"/>
          <w:sz w:val="18"/>
          <w:szCs w:val="18"/>
          <w:color w:val="auto"/>
        </w:rPr>
      </w:pPr>
    </w:p>
    <w:p>
      <w:pPr>
        <w:ind w:left="1080" w:right="80" w:hanging="424"/>
        <w:spacing w:after="0" w:line="284"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equity participation by benefit plan investors is not “significant”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benefit plan investors hold less than 25% of the total value of each class of equity interests in the entity).</w:t>
      </w:r>
    </w:p>
    <w:p>
      <w:pPr>
        <w:spacing w:after="0" w:line="16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It is expected that our Ordinary Shares will constitute publicly-offered securities, within the meaning of (a) immediately above. Thus, it is expected that our underlying assets generally will not be considered as “plan assets” under the Plan Assets Regulation.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Plan Asset Consequences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our underlying assets were to be deemed to be “plan assets,” then, among other things, (a) the prudence and other fiduciary responsibility standards of ERISA would apply to our operations and (b) certain transactions in which we might seek to engage could constitute or involve “prohibited transactions” under ERISA and the Code. If a prohibited transaction occurs for which no exemption is available, Topco and any other fiduciary that has engaged in the prohibited transaction could be required (a) to restore to the benefit plan any profit realized on the transaction and (b) to reimburse the benefit plan for any losses suffered by the benefit plan as a result of the transaction. In addition, each disqualified person (within the meaning of Section 4975 of the Code) involved</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00"/>
          </w:cols>
          <w:pgMar w:left="320" w:top="455"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could be subject to an excise tax equal to 15% of the amount involved in the prohibited transaction for each year (or portion of the year) the transaction continues and, unless the transaction is corrected (e.g., unwound) within statutorily required periods, to an additional tax of 100% of the amount involved (such taxes are referred to as “prohibited transaction excise taxes”). Benefit plan fiduciaries who decide to invest in us could, under certain circumstances, be liable for prohibited transactions or other violations as a result of their investment in us or as co-fiduciaries for actions taken by or on behalf of us or our general partner and/or its affiliates. With respect to IRAs, the occurrence of a prohibited transaction involving the individual who established the IRA, or his or her beneficiaries, would cause the IRA to lose its tax-exempt status. In addition, to the extent someone other than the IRA owner or beneficiary engaged in such prohibited transaction, such person could be subject to prohibited transaction excise taxes. The foregoing discussion is not comprehensive and other significant adverse results could also arise.</w:t>
      </w:r>
    </w:p>
    <w:p>
      <w:pPr>
        <w:spacing w:after="0" w:line="18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b w:val="1"/>
          <w:bCs w:val="1"/>
          <w:color w:val="auto"/>
        </w:rPr>
        <w:t>All potential investors should consult with their own legal counsel concerning the potential impact of ERISA and the Code to such potential investor prior to making an investment in us. A benefit plan fiduciary can be personally liable for (a) losses incurred by a benefit plan resulting from a breach of fiduciary duties, (b) a civil penalty, which may be imposed by the U.S. Department of Labor, of as much as 20% of any amount recovered by the benefit plan, and (c) to the extent the benefit plan fiduciary is also a disqualified person within the meaning of Section 4975 of the Code, prohibited transaction excise taxes. Accordingly, before proceeding with an investment in us, a benefit plan fiduciary, taking into account the facts and circumstances of such benefit plan, should consider any applicable fiduciary standards and any prohibitions imposed against certain transactions under ERISA or the Code, and the permissibility of such investment under the governing documents of the benefit plan. Thus, taking into consideration the information contained herein, the benefit plan fiduciary should give special attention to</w:t>
      </w:r>
    </w:p>
    <w:p>
      <w:pPr>
        <w:spacing w:after="0" w:line="4" w:lineRule="exact"/>
        <w:rPr>
          <w:sz w:val="20"/>
          <w:szCs w:val="20"/>
          <w:color w:val="auto"/>
        </w:rPr>
      </w:pPr>
    </w:p>
    <w:p>
      <w:pPr>
        <w:jc w:val="both"/>
        <w:ind w:left="120" w:right="100" w:hanging="4"/>
        <w:spacing w:after="0" w:line="253" w:lineRule="auto"/>
        <w:tabs>
          <w:tab w:leader="none" w:pos="37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Plan Asset Regulations and the impact of such regulations upon the benefit plan fiduciary’s decision to invest in us, (b) the prudence of an investment in us, and (c) otherwise applicable provisions of ERISA and the Code, considering all facts and circumstances of the investment which the benefit plan fiduciary knows or should know are relevant to the investment or a series or program of investments of which an investment we are a part.</w:t>
      </w:r>
    </w:p>
    <w:p>
      <w:pPr>
        <w:spacing w:after="0" w:line="185"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Topco and its counsel make no representations with respect to whether an investment in us would be a suitable investment within any benefit plan’s particular investment portfolio.</w:t>
      </w:r>
    </w:p>
    <w:p>
      <w:pPr>
        <w:spacing w:after="0" w:line="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80"/>
          </w:cols>
          <w:pgMar w:left="320" w:top="455" w:right="4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selling shareholders, or their pledgees, donees, transferees, or any of their successors in interest selling shares received from a named selling shareholder as a gift, partnership distribution or other permitted transfer after the date of this prospectus (all of whom may be selling shareholders), may sell some or all of the securities covered by this prospectus from time to time on any stock exchange or automated interdealer quotation system on which our Ordinary Shares are listed, in the over-the-counter market, in privately negotiated transactions or otherwise, at fixed prices that may be changed, at market prices prevailing at the time of sale, at prices related to prevailing market prices or at prices otherwise negotiated. The selling shareholders may sell the securities by one or more of the following methods, without limitation:</w:t>
      </w:r>
    </w:p>
    <w:p>
      <w:pPr>
        <w:spacing w:after="0" w:line="93" w:lineRule="exact"/>
        <w:rPr>
          <w:sz w:val="20"/>
          <w:szCs w:val="20"/>
          <w:color w:val="auto"/>
        </w:rPr>
      </w:pPr>
    </w:p>
    <w:p>
      <w:pPr>
        <w:ind w:left="1080" w:right="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 or dealer so engaged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or dealer as principal and resale by the broker or dealer for its own account pursuant to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any stock exchange on which our Ordinary Shares are listed;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“at-the-market” offering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either directly or with a broker-dealer or affiliate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on the Ordinary Shares, whether or not the options are listed on an options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loans or pledges of the Ordinary Shares to a broker-dealer or an affiliate thereof;</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entering into transactions with third parties who may (or may cause others to) issue securities convertible or exchangeable into, or the return of which is derived in whole or in part from the value of, our Ordinary Shares;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by any selling shareholder to its partners, members or equity 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underwritten offerings on a firm commitment or best efforts basis;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any of these methods of sale.</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For example, the selling shareholders may engage brokers and dealers, and any brokers or dealers may arrange for other brokers or dealers to participate in effecting sales of our Ordinary Shares. These brokers, dealers or underwriters may act as principals, or as an agent of a selling shareholder. Broker-dealers may agree with a selling shareholder to sell a specified number of Ordinary Shares at a stipulated price. If the broker-dealer is unable to sell the Ordinary Shares acting as agent for a selling shareholder, it may purchase as principal any unsold securities at the stipulated price. Broker-dealers who acquire Ordinary Shares as principals may thereafter resell the Ordinary Shares from time to time in transactions on any stock exchange or automated interdealer quotation system on which the Ordinary Shares are then listed, at prices and on terms then prevailing at the time of sale, at prices related to the then-current market price or in negotiated transactions. Broker-dealers may use block transactions and sales to and through broker-dealers, including transactions of the nature described above.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selling shareholder may also enter into hedging and/or monetization transactions. For example, a selling shareholder may:</w:t>
      </w:r>
    </w:p>
    <w:p>
      <w:pPr>
        <w:spacing w:after="0" w:line="131" w:lineRule="exact"/>
        <w:rPr>
          <w:sz w:val="20"/>
          <w:szCs w:val="20"/>
          <w:color w:val="auto"/>
        </w:rPr>
      </w:pPr>
    </w:p>
    <w:p>
      <w:pPr>
        <w:jc w:val="both"/>
        <w:ind w:left="1080" w:right="4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 broker-dealer or affiliate of a broker-dealer or other third party in connection with which that other party will become a selling shareholder and engage in short sales of our Ordinary Shares under this prospectus, in which case the other party may use Ordinary Shares received from the selling shareholder to close out any short position;</w:t>
      </w:r>
    </w:p>
    <w:p>
      <w:pPr>
        <w:spacing w:after="0" w:line="81"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short our Ordinary Shares under this prospectus and use Ordinary Shares held by the selling shareholder to close out any short position;</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options, forwards or other transactions that require the selling shareholder to deliver, in a transaction exempt from registration under the Securities Act, Ordinary Shares to a broker-dealer or an affiliate of a broker-dealer or other third party who may then become a selling shareholder and publicly resell or otherwise transfer Ordinary Shares under this prospectus;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or pledge Ordinary Shares to a broker-dealer or affiliate of a broker-dealer or other third party who may then become a selling shareholder and sell the loaned shares or, in an event of default in the case of a pledge, become a selling shareholder and sell the pledged shares, under this prospectus. As and when a selling shareholder takes such actions, the number of securities offered under this prospectus on behalf of such selling shareholder will decrease. The plan of distribution for that selling shareholder’s Ordinary Shares will otherwise remain unchanged; or</w:t>
      </w:r>
    </w:p>
    <w:p>
      <w:pPr>
        <w:spacing w:after="0" w:line="88" w:lineRule="exact"/>
        <w:rPr>
          <w:rFonts w:ascii="Times New Roman" w:cs="Times New Roman" w:eastAsia="Times New Roman" w:hAnsi="Times New Roman"/>
          <w:sz w:val="18"/>
          <w:szCs w:val="18"/>
          <w:color w:val="auto"/>
        </w:rPr>
      </w:pPr>
    </w:p>
    <w:p>
      <w:pPr>
        <w:ind w:left="1080" w:right="20" w:hanging="424"/>
        <w:spacing w:after="0" w:line="255"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the selling shareholder or borrowed from the selling shareholder or others to settle those sales or to close out any related open borrowings of Ordinary Shares, and may use securities received from the selling shareholder in settlement of those derivatives to close out any related open borrowings of Ordinary Shares. The third party in such sale transactions may be an underwriter and, if applicable, will be identified as such in the applicable prospectus supplement (or a post-effective amendment).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selling shareholders may also sell Ordinary Shares pursuant to Rule 144 under the Securities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do not know of any arrangements by the selling shareholders for the sale of our Ordinary Shares.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To the extent required under the Securities Act, the aggregate amount of selling shareholders’ Ordinary Shares being offered and the terms of the offering, the names of any agents, brokers, dealers or underwriters and any applicable commission with respect to a particular offer will be set forth in an accompanying prospectus supplement. Any underwriters, dealers, brokers or agents participating in the distribution of the Ordinary Shares may receive compensation in the form of underwriting discounts, concessions, commissions or fees from a selling shareholder and/or purchasers of selling shareholders’ Ordinary Shares for whom they may act (which compensation as to a particular broker-dealer might be in excess of customary commissions).</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selling shareholders and any underwriters, brokers, dealers or agents that participate in the distribution of the Ordinary Shares may be deemed to be “underwriters” within the meaning of the Securities Act, and any discounts, concessions, commissions or fees received by them and any profit on the resale of the Ordinary Shares sold by them may be deemed to be underwriting discounts and commissions.</w:t>
      </w:r>
    </w:p>
    <w:p>
      <w:pPr>
        <w:spacing w:after="0" w:line="176"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The selling shareholders and other persons participating in the sale or distribution of the Ordinary Shares will be subject to applicable provisions of the Exchange Act and the rules and regulations thereunder, including Regulation M. This regulation may limit the timing of purchases and sales of any of the Ordinary Shares by the selling shareholders and any other person. The anti-manipulation rules under the Exchange Act may apply to</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40"/>
          </w:cols>
          <w:pgMar w:left="320" w:top="455"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sales of ordinary shares in the market and to the activities of the selling shareholders and their affiliates. Furthermore, Regulation M may restrict the ability of any person engaged in the distribution of the Ordinary Shares to engage in market-making activities with respect to the particular Ordinary Shares being distributed for a period of up to five business days before the distribution. These restrictions may affect the marketability of the Ordinary Shares and the ability of any person or entity to engage in market-making activities with respect to the Ordinary Shares.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the extent permitted by applicable law, this plan of distribution may be modified in a prospectus supplement or otherwise.</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agreed to register the Ordinary Shares under the Securities Act and to keep the registration statement of which this prospectus is a part effective for a specified period of time. We have also agreed to indemnify the selling shareholders against certain liabilities, including liabilities under the Securities Act. The selling shareholders have agreed to indemnify us in certain circumstances against certain liabilities, including liabilities under the Securities Act.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not receive any proceeds from sales of any Ordinary Shares by the selling shareholders.</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cannot assure you that the selling shareholders will sell all or any portion of the Ordinary Shares offered hereby. All of the foregoing may affect the marketability of the securities offered hereby.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the Ordinary Shares offered hereby will be passed upon for us by Travers Smith LLP, legal counsel as to English law.</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Noble Corporation (Successor) as of December 31, 2021, and for the period from February 6, 2021 through December 31, 2021 and management’s assessment of the effectiveness of internal control over financial reporting (which is included in Management’s Annual Report on Internal Control over Financial Reporting) incorporated in this prospectus by reference to Noble Corporation’s Annual Report on Form 10-K for the year ended December 31, 2021 have been so incorporated in reliance on the report (which contains an explanatory paragraph relating to Noble Corporation’s emergence from bankruptcy and adoption of fresh start accounting on February 5, 2021 as described in Note 1 to the financial statements) of PricewaterhouseCoopers LLP, an independent registered public accounting firm, given on the authority of said firm as experts in auditing and accounting.</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of Noble Holding Corporation plc (formerly known as Noble Corporation plc) (Predecessor) as of December 31, 2020, and for the period from January 1, 2021 through February 5, 2021, and for each of the two years in the period ended December 31, 2020 incorporated in this prospectus by reference to Noble Corporation’s Annual Report on Form 10-K for the year ended December 31, 2021 have been so incorporated in reliance on the report (which contains an explanatory paragraph relating to the Noble Corporation plc’s (subsequently renamed Noble Holding Corporation plc) petition on July 31, 2020 with the United States Bankruptcy Court for the Southern District of Texas for reorganization under the provisions of Chapter 11 of the Bankruptcy Code, and emergence from bankruptcy and adoption of fresh start accounting on February 5, 2021 as described in Note 1 to the financial statements) of PricewaterhouseCoopers LLP, an independent registered public accounting firm, given on the authority of said firm as experts in auditing and accounting.</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Pacific Drilling Company LLC as of December 31, 2020 (Successor), and of Pacific Drilling S.A. for the year ended December 31, 2020 (Predecessor), have been incorporated by reference herein in reliance upon the report of KPMG LLP, independent registered public accounting firm, incorporated by reference herein, and upon the authority of said firm as experts in accounting and auditing. The audit report covering the December 31, 2020 financial statements refers to a change in the basis for presentation for Pacific Drilling Company LLC’s emergence from bankruptcy.</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The Drilling Company of 1972 A/S as of December 31, 2021, 2020 and 2019 and for the years then ended included in Noble Corporation plc’s (f/k/a Noble Finco Limited) Registration Statement on Form S-4 dated March 31, 2022 have been so incorporated in reliance on the report of PricewaterhouseCoopers Statsautoriseret Revisionspartnerselskab, independent auditors, given on the authority of said firm as experts in auditing and accounting.</w:t>
      </w: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THE DRILLING COMPANY OF 1972 A/S FINANCIAL STATEMENTS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Unaudited Interim Consolidated Financial Statements</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8"/>
        </w:trPr>
        <w:tc>
          <w:tcPr>
            <w:tcW w:w="10640" w:type="dxa"/>
            <w:vAlign w:val="bottom"/>
            <w:gridSpan w:val="7"/>
            <w:vMerge w:val="continue"/>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080" w:type="dxa"/>
            <w:vAlign w:val="bottom"/>
            <w:tcBorders>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rPr>
              <w:t>Consolidated Income Statements for the Six Months Ended June 30, 2022 and 2021</w:t>
            </w:r>
          </w:p>
        </w:tc>
        <w:tc>
          <w:tcPr>
            <w:tcW w:w="4560" w:type="dxa"/>
            <w:vAlign w:val="bottom"/>
            <w:gridSpan w:val="4"/>
          </w:tcPr>
          <w:p>
            <w:pPr>
              <w:spacing w:after="0"/>
              <w:rPr>
                <w:sz w:val="16"/>
                <w:szCs w:val="16"/>
                <w:color w:val="auto"/>
              </w:rPr>
            </w:pPr>
          </w:p>
        </w:tc>
        <w:tc>
          <w:tcPr>
            <w:tcW w:w="32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196"/>
        </w:trPr>
        <w:tc>
          <w:tcPr>
            <w:tcW w:w="74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for the Six Months Ended June 30, 2022 and 2021</w:t>
            </w:r>
          </w:p>
        </w:tc>
        <w:tc>
          <w:tcPr>
            <w:tcW w:w="324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196"/>
        </w:trPr>
        <w:tc>
          <w:tcPr>
            <w:tcW w:w="106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Cash Flow Statements for the Six Months Ended June 30, 2022 and 2021</w:t>
            </w:r>
          </w:p>
        </w:tc>
        <w:tc>
          <w:tcPr>
            <w:tcW w:w="3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196"/>
        </w:trPr>
        <w:tc>
          <w:tcPr>
            <w:tcW w:w="42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as at June 30, 2022 and 2021</w:t>
            </w:r>
          </w:p>
        </w:tc>
        <w:tc>
          <w:tcPr>
            <w:tcW w:w="2080" w:type="dxa"/>
            <w:vAlign w:val="bottom"/>
            <w:tcBorders>
              <w:top w:val="single" w:sz="8" w:color="0000EE"/>
            </w:tcBorders>
            <w:gridSpan w:val="2"/>
          </w:tcPr>
          <w:p>
            <w:pPr>
              <w:spacing w:after="0"/>
              <w:rPr>
                <w:sz w:val="17"/>
                <w:szCs w:val="17"/>
                <w:color w:val="auto"/>
              </w:rPr>
            </w:pPr>
          </w:p>
        </w:tc>
        <w:tc>
          <w:tcPr>
            <w:tcW w:w="4340" w:type="dxa"/>
            <w:vAlign w:val="bottom"/>
            <w:gridSpan w:val="3"/>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Changes in Equity for the Six Months Ended June 30, 2022 and 2021</w:t>
            </w:r>
          </w:p>
        </w:tc>
        <w:tc>
          <w:tcPr>
            <w:tcW w:w="3620" w:type="dxa"/>
            <w:vAlign w:val="bottom"/>
            <w:gridSpan w:val="2"/>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196"/>
        </w:trPr>
        <w:tc>
          <w:tcPr>
            <w:tcW w:w="106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Notes to Interim Consolidated Financial Statements</w:t>
            </w:r>
          </w:p>
        </w:tc>
        <w:tc>
          <w:tcPr>
            <w:tcW w:w="3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385"/>
        </w:trPr>
        <w:tc>
          <w:tcPr>
            <w:tcW w:w="37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F-1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DRILLING COMPANY OF 1972 A/S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6 months</w:t>
            </w:r>
          </w:p>
        </w:tc>
        <w:tc>
          <w:tcPr>
            <w:tcW w:w="0" w:type="dxa"/>
            <w:vAlign w:val="bottom"/>
          </w:tcPr>
          <w:p>
            <w:pPr>
              <w:spacing w:after="0"/>
              <w:rPr>
                <w:sz w:val="1"/>
                <w:szCs w:val="1"/>
                <w:color w:val="auto"/>
              </w:rPr>
            </w:pPr>
          </w:p>
        </w:tc>
      </w:tr>
      <w:tr>
        <w:trPr>
          <w:trHeight w:val="148"/>
        </w:trPr>
        <w:tc>
          <w:tcPr>
            <w:tcW w:w="8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center"/>
              <w:ind w:left="335"/>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820" w:type="dxa"/>
            <w:vAlign w:val="bottom"/>
          </w:tcPr>
          <w:p>
            <w:pPr>
              <w:spacing w:after="0"/>
              <w:rPr>
                <w:sz w:val="15"/>
                <w:szCs w:val="15"/>
                <w:color w:val="auto"/>
              </w:rPr>
            </w:pPr>
          </w:p>
        </w:tc>
        <w:tc>
          <w:tcPr>
            <w:tcW w:w="60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60" w:type="dxa"/>
            <w:vAlign w:val="bottom"/>
            <w:vMerge w:val="restart"/>
          </w:tcPr>
          <w:p>
            <w:pPr>
              <w:spacing w:after="0"/>
              <w:rPr>
                <w:sz w:val="15"/>
                <w:szCs w:val="15"/>
                <w:color w:val="auto"/>
              </w:rPr>
            </w:pPr>
          </w:p>
        </w:tc>
        <w:tc>
          <w:tcPr>
            <w:tcW w:w="13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8820" w:type="dxa"/>
            <w:vAlign w:val="bottom"/>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USD million</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1.1, 1.2</w:t>
            </w:r>
          </w:p>
        </w:tc>
        <w:tc>
          <w:tcPr>
            <w:tcW w:w="820" w:type="dxa"/>
            <w:vAlign w:val="bottom"/>
            <w:tcBorders>
              <w:right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532</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(exclusive of depreciation and amortisation shown separately below)</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(437)</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items</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8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amortisation</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reversals (losses), net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8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Gain/(loss) on sale of non-current assets</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results in joint ventures</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Profit/loss before financial items</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38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expenses</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Profit/loss before tax</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(160)</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41</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Tax</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Profit/loss for the period</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(172)</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in USD per share of DKK 10 for the period</w:t>
            </w:r>
          </w:p>
        </w:tc>
        <w:tc>
          <w:tcPr>
            <w:tcW w:w="8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20" w:type="dxa"/>
            <w:vAlign w:val="bottom"/>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in USD per share of DKK 10 for the period</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w:t>
            </w:r>
          </w:p>
        </w:tc>
        <w:tc>
          <w:tcPr>
            <w:tcW w:w="8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40"/>
          </w:cols>
          <w:pgMar w:left="320" w:top="455"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DRILLING COMPANY OF 1972 A/S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600" w:type="dxa"/>
            <w:vAlign w:val="bottom"/>
          </w:tcPr>
          <w:p>
            <w:pPr>
              <w:spacing w:after="0"/>
              <w:rPr>
                <w:sz w:val="13"/>
                <w:szCs w:val="13"/>
                <w:color w:val="auto"/>
              </w:rPr>
            </w:pPr>
          </w:p>
        </w:tc>
        <w:tc>
          <w:tcPr>
            <w:tcW w:w="14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6 months</w:t>
            </w:r>
          </w:p>
        </w:tc>
      </w:tr>
      <w:tr>
        <w:trPr>
          <w:trHeight w:val="148"/>
        </w:trPr>
        <w:tc>
          <w:tcPr>
            <w:tcW w:w="9600" w:type="dxa"/>
            <w:vAlign w:val="bottom"/>
          </w:tcPr>
          <w:p>
            <w:pPr>
              <w:spacing w:after="0"/>
              <w:rPr>
                <w:sz w:val="12"/>
                <w:szCs w:val="12"/>
                <w:color w:val="auto"/>
              </w:rPr>
            </w:pPr>
          </w:p>
        </w:tc>
        <w:tc>
          <w:tcPr>
            <w:tcW w:w="920" w:type="dxa"/>
            <w:vAlign w:val="bottom"/>
            <w:gridSpan w:val="2"/>
          </w:tcPr>
          <w:p>
            <w:pPr>
              <w:jc w:val="center"/>
              <w:ind w:left="29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3"/>
        </w:trPr>
        <w:tc>
          <w:tcPr>
            <w:tcW w:w="9600" w:type="dxa"/>
            <w:vAlign w:val="bottom"/>
          </w:tcPr>
          <w:p>
            <w:pPr>
              <w:spacing w:after="0"/>
              <w:rPr>
                <w:sz w:val="15"/>
                <w:szCs w:val="15"/>
                <w:color w:val="auto"/>
              </w:rPr>
            </w:pPr>
          </w:p>
        </w:tc>
        <w:tc>
          <w:tcPr>
            <w:tcW w:w="920" w:type="dxa"/>
            <w:vAlign w:val="bottom"/>
            <w:tcBorders>
              <w:bottom w:val="single" w:sz="8" w:color="auto"/>
            </w:tcBorders>
            <w:gridSpan w:val="2"/>
          </w:tcPr>
          <w:p>
            <w:pPr>
              <w:jc w:val="center"/>
              <w:ind w:left="29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960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r>
      <w:tr>
        <w:trPr>
          <w:trHeight w:val="155"/>
        </w:trPr>
        <w:tc>
          <w:tcPr>
            <w:tcW w:w="9600" w:type="dxa"/>
            <w:vAlign w:val="bottom"/>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USD million</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Profit/loss for the period</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(172)</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Value adjustment of hedges</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Reclassified to income statement</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96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items that have or will be reclassified to the income statement</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15</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30"/>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46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20"/>
                <w:szCs w:val="20"/>
                <w:color w:val="auto"/>
              </w:rPr>
            </w:pPr>
          </w:p>
        </w:tc>
      </w:tr>
      <w:tr>
        <w:trPr>
          <w:trHeight w:val="216"/>
        </w:trPr>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period</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(157)</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20"/>
        </w:trPr>
        <w:tc>
          <w:tcPr>
            <w:tcW w:w="9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DRILLING COMPANY OF 1972 A/S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CASH FLOW STATEMENTS</w:t>
      </w:r>
    </w:p>
    <w:p>
      <w:pPr>
        <w:spacing w:after="0" w:line="250" w:lineRule="exact"/>
        <w:rPr>
          <w:sz w:val="20"/>
          <w:szCs w:val="20"/>
          <w:color w:val="auto"/>
        </w:rPr>
      </w:pPr>
    </w:p>
    <w:p>
      <w:pPr>
        <w:jc w:val="center"/>
        <w:ind w:left="9580"/>
        <w:spacing w:after="0"/>
        <w:rPr>
          <w:sz w:val="20"/>
          <w:szCs w:val="20"/>
          <w:color w:val="auto"/>
        </w:rPr>
      </w:pPr>
      <w:r>
        <w:rPr>
          <w:rFonts w:ascii="Times New Roman" w:cs="Times New Roman" w:eastAsia="Times New Roman" w:hAnsi="Times New Roman"/>
          <w:sz w:val="14"/>
          <w:szCs w:val="14"/>
          <w:b w:val="1"/>
          <w:bCs w:val="1"/>
          <w:color w:val="auto"/>
        </w:rPr>
        <w:t>For the 6 months</w:t>
      </w:r>
    </w:p>
    <w:p>
      <w:pPr>
        <w:jc w:val="center"/>
        <w:ind w:left="9580"/>
        <w:spacing w:after="0" w:line="229" w:lineRule="auto"/>
        <w:rPr>
          <w:sz w:val="20"/>
          <w:szCs w:val="20"/>
          <w:color w:val="auto"/>
        </w:rPr>
      </w:pPr>
      <w:r>
        <w:rPr>
          <w:rFonts w:ascii="Times New Roman" w:cs="Times New Roman" w:eastAsia="Times New Roman" w:hAnsi="Times New Roman"/>
          <w:sz w:val="14"/>
          <w:szCs w:val="14"/>
          <w:b w:val="1"/>
          <w:bCs w:val="1"/>
          <w:color w:val="auto"/>
        </w:rPr>
        <w:t>ended</w:t>
      </w:r>
    </w:p>
    <w:p>
      <w:pPr>
        <w:jc w:val="center"/>
        <w:ind w:left="9580"/>
        <w:spacing w:after="0" w:line="232" w:lineRule="auto"/>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120" w:type="dxa"/>
        <w:tblCellMar>
          <w:top w:w="0" w:type="dxa"/>
          <w:left w:w="0" w:type="dxa"/>
          <w:bottom w:w="0" w:type="dxa"/>
          <w:right w:w="0" w:type="dxa"/>
        </w:tblCellMar>
      </w:tblPr>
      <w:tr>
        <w:trPr>
          <w:trHeight w:val="142"/>
        </w:trPr>
        <w:tc>
          <w:tcPr>
            <w:tcW w:w="968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r>
      <w:tr>
        <w:trPr>
          <w:trHeight w:val="156"/>
        </w:trPr>
        <w:tc>
          <w:tcPr>
            <w:tcW w:w="9680" w:type="dxa"/>
            <w:vAlign w:val="bottom"/>
          </w:tcPr>
          <w:p>
            <w:pPr>
              <w:spacing w:after="0"/>
              <w:rPr>
                <w:sz w:val="13"/>
                <w:szCs w:val="13"/>
                <w:color w:val="auto"/>
              </w:rPr>
            </w:pPr>
          </w:p>
        </w:tc>
        <w:tc>
          <w:tcPr>
            <w:tcW w:w="1220" w:type="dxa"/>
            <w:vAlign w:val="bottom"/>
            <w:gridSpan w:val="4"/>
          </w:tcPr>
          <w:p>
            <w:pPr>
              <w:jc w:val="right"/>
              <w:ind w:right="131"/>
              <w:spacing w:after="0" w:line="155" w:lineRule="exact"/>
              <w:rPr>
                <w:sz w:val="20"/>
                <w:szCs w:val="20"/>
                <w:color w:val="auto"/>
              </w:rPr>
            </w:pPr>
            <w:r>
              <w:rPr>
                <w:rFonts w:ascii="Times New Roman" w:cs="Times New Roman" w:eastAsia="Times New Roman" w:hAnsi="Times New Roman"/>
                <w:sz w:val="14"/>
                <w:szCs w:val="14"/>
                <w:b w:val="1"/>
                <w:bCs w:val="1"/>
                <w:color w:val="auto"/>
              </w:rPr>
              <w:t>USD million</w:t>
            </w:r>
          </w:p>
        </w:tc>
        <w:tc>
          <w:tcPr>
            <w:tcW w:w="120" w:type="dxa"/>
            <w:vAlign w:val="bottom"/>
          </w:tcPr>
          <w:p>
            <w:pPr>
              <w:spacing w:after="0"/>
              <w:rPr>
                <w:sz w:val="13"/>
                <w:szCs w:val="13"/>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Profit/loss before financial items</w:t>
            </w:r>
          </w:p>
        </w:tc>
        <w:tc>
          <w:tcPr>
            <w:tcW w:w="7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(132)</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amortisation and impairment reversals (losses), net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c>
          <w:tcPr>
            <w:tcW w:w="3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Gain/loss on sale of non-current assets</w:t>
            </w:r>
          </w:p>
        </w:tc>
        <w:tc>
          <w:tcPr>
            <w:tcW w:w="7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Change in working capital</w:t>
            </w: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provisions</w:t>
            </w:r>
          </w:p>
        </w:tc>
        <w:tc>
          <w:tcPr>
            <w:tcW w:w="7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Other non-cash items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w:t>
            </w:r>
          </w:p>
        </w:tc>
        <w:tc>
          <w:tcPr>
            <w:tcW w:w="7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120" w:type="dxa"/>
            <w:vAlign w:val="bottom"/>
          </w:tcPr>
          <w:p>
            <w:pPr>
              <w:spacing w:after="0"/>
              <w:rPr>
                <w:sz w:val="20"/>
                <w:szCs w:val="20"/>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intangible assets and property, plant and equipment</w:t>
            </w:r>
          </w:p>
        </w:tc>
        <w:tc>
          <w:tcPr>
            <w:tcW w:w="7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Sale of property, plant and equipment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investments</w:t>
            </w:r>
          </w:p>
        </w:tc>
        <w:tc>
          <w:tcPr>
            <w:tcW w:w="7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from/used for investing activities</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Pr>
          <w:p>
            <w:pPr>
              <w:spacing w:after="0"/>
              <w:rPr>
                <w:sz w:val="20"/>
                <w:szCs w:val="20"/>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borrowings</w:t>
            </w:r>
          </w:p>
        </w:tc>
        <w:tc>
          <w:tcPr>
            <w:tcW w:w="7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(295)</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20" w:type="dxa"/>
            <w:vAlign w:val="bottom"/>
          </w:tcPr>
          <w:p>
            <w:pPr>
              <w:spacing w:after="0"/>
              <w:rPr>
                <w:sz w:val="20"/>
                <w:szCs w:val="20"/>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 for the period</w:t>
            </w:r>
          </w:p>
        </w:tc>
        <w:tc>
          <w:tcPr>
            <w:tcW w:w="7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(341)</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(26)</w:t>
            </w:r>
          </w:p>
        </w:tc>
      </w:tr>
      <w:tr>
        <w:trPr>
          <w:trHeight w:val="223"/>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Cash and bank balances 1 January</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9"/>
                <w:szCs w:val="19"/>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effect on cash and bank balances</w:t>
            </w:r>
          </w:p>
        </w:tc>
        <w:tc>
          <w:tcPr>
            <w:tcW w:w="7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bank balances, end of period</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120" w:type="dxa"/>
            <w:vAlign w:val="bottom"/>
          </w:tcPr>
          <w:p>
            <w:pPr>
              <w:spacing w:after="0"/>
              <w:rPr>
                <w:sz w:val="19"/>
                <w:szCs w:val="19"/>
                <w:color w:val="auto"/>
              </w:rPr>
            </w:pPr>
          </w:p>
        </w:tc>
      </w:tr>
    </w:tbl>
    <w:p>
      <w:pPr>
        <w:spacing w:after="0" w:line="21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Cash and bank balances at June 30, 2022 include USD 20 million (June 30, 2021: USD 25 million) that relates to cash and bank balances in countries with exchange control or other restrictions. These funds are not readily available for general use by Maersk Drilling.</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DRILLING COMPANY OF 1972 A/S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360" w:type="dxa"/>
            <w:vAlign w:val="bottom"/>
          </w:tcPr>
          <w:p>
            <w:pPr>
              <w:spacing w:after="0"/>
              <w:rPr>
                <w:sz w:val="15"/>
                <w:szCs w:val="15"/>
                <w:color w:val="auto"/>
              </w:rPr>
            </w:pPr>
          </w:p>
        </w:tc>
        <w:tc>
          <w:tcPr>
            <w:tcW w:w="4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2"/>
              </w:rPr>
              <w:t>Note</w:t>
            </w:r>
          </w:p>
        </w:tc>
        <w:tc>
          <w:tcPr>
            <w:tcW w:w="120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936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480" w:type="dxa"/>
            <w:vAlign w:val="bottom"/>
            <w:tcBorders>
              <w:top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4"/>
          </w:tcPr>
          <w:p>
            <w:pPr>
              <w:jc w:val="right"/>
              <w:ind w:right="91"/>
              <w:spacing w:after="0" w:line="155" w:lineRule="exact"/>
              <w:rPr>
                <w:sz w:val="20"/>
                <w:szCs w:val="20"/>
                <w:color w:val="auto"/>
              </w:rPr>
            </w:pPr>
            <w:r>
              <w:rPr>
                <w:rFonts w:ascii="Times New Roman" w:cs="Times New Roman" w:eastAsia="Times New Roman" w:hAnsi="Times New Roman"/>
                <w:sz w:val="14"/>
                <w:szCs w:val="14"/>
                <w:b w:val="1"/>
                <w:bCs w:val="1"/>
                <w:color w:val="auto"/>
              </w:rPr>
              <w:t>USD million</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2,622</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2,848</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non-current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2,909</w:t>
            </w:r>
          </w:p>
        </w:tc>
        <w:tc>
          <w:tcPr>
            <w:tcW w:w="0" w:type="dxa"/>
            <w:vAlign w:val="bottom"/>
          </w:tcPr>
          <w:p>
            <w:pPr>
              <w:spacing w:after="0"/>
              <w:rPr>
                <w:sz w:val="1"/>
                <w:szCs w:val="1"/>
                <w:color w:val="auto"/>
              </w:rPr>
            </w:pPr>
          </w:p>
        </w:tc>
      </w:tr>
      <w:tr>
        <w:trPr>
          <w:trHeight w:val="223"/>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receivables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9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Receivables, etc.</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bank balances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748</w:t>
            </w:r>
          </w:p>
        </w:tc>
        <w:tc>
          <w:tcPr>
            <w:tcW w:w="0" w:type="dxa"/>
            <w:vAlign w:val="bottom"/>
          </w:tcPr>
          <w:p>
            <w:pPr>
              <w:spacing w:after="0"/>
              <w:rPr>
                <w:sz w:val="1"/>
                <w:szCs w:val="1"/>
                <w:color w:val="auto"/>
              </w:rPr>
            </w:pPr>
          </w:p>
        </w:tc>
      </w:tr>
      <w:tr>
        <w:trPr>
          <w:trHeight w:val="230"/>
        </w:trPr>
        <w:tc>
          <w:tcPr>
            <w:tcW w:w="9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 and retained earnings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2,102</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1,987</w:t>
            </w:r>
          </w:p>
        </w:tc>
        <w:tc>
          <w:tcPr>
            <w:tcW w:w="0" w:type="dxa"/>
            <w:vAlign w:val="bottom"/>
          </w:tcPr>
          <w:p>
            <w:pPr>
              <w:spacing w:after="0"/>
              <w:rPr>
                <w:sz w:val="1"/>
                <w:szCs w:val="1"/>
                <w:color w:val="auto"/>
              </w:rPr>
            </w:pPr>
          </w:p>
        </w:tc>
      </w:tr>
      <w:tr>
        <w:trPr>
          <w:trHeight w:val="230"/>
        </w:trPr>
        <w:tc>
          <w:tcPr>
            <w:tcW w:w="9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Borrowings, non-current</w:t>
            </w:r>
            <w:r>
              <w:rPr>
                <w:rFonts w:ascii="Times New Roman" w:cs="Times New Roman" w:eastAsia="Times New Roman" w:hAnsi="Times New Roman"/>
                <w:sz w:val="25"/>
                <w:szCs w:val="25"/>
                <w:b w:val="1"/>
                <w:bCs w:val="1"/>
                <w:color w:val="auto"/>
                <w:vertAlign w:val="superscript"/>
              </w:rPr>
              <w:t>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633</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1,072</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45</w:t>
            </w:r>
          </w:p>
        </w:tc>
        <w:tc>
          <w:tcPr>
            <w:tcW w:w="0" w:type="dxa"/>
            <w:vAlign w:val="bottom"/>
          </w:tcPr>
          <w:p>
            <w:pPr>
              <w:spacing w:after="0"/>
              <w:rPr>
                <w:sz w:val="1"/>
                <w:szCs w:val="1"/>
                <w:color w:val="auto"/>
              </w:rPr>
            </w:pPr>
          </w:p>
        </w:tc>
      </w:tr>
      <w:tr>
        <w:trPr>
          <w:trHeight w:val="230"/>
        </w:trPr>
        <w:tc>
          <w:tcPr>
            <w:tcW w:w="9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Borrowings, current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136</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136</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Tax payables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354</w:t>
            </w:r>
          </w:p>
        </w:tc>
        <w:tc>
          <w:tcPr>
            <w:tcW w:w="0" w:type="dxa"/>
            <w:vAlign w:val="bottom"/>
          </w:tcPr>
          <w:p>
            <w:pPr>
              <w:spacing w:after="0"/>
              <w:rPr>
                <w:sz w:val="1"/>
                <w:szCs w:val="1"/>
                <w:color w:val="auto"/>
              </w:rPr>
            </w:pPr>
          </w:p>
        </w:tc>
      </w:tr>
      <w:tr>
        <w:trPr>
          <w:trHeight w:val="230"/>
        </w:trPr>
        <w:tc>
          <w:tcPr>
            <w:tcW w:w="9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1,092</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1,607</w:t>
            </w:r>
          </w:p>
        </w:tc>
        <w:tc>
          <w:tcPr>
            <w:tcW w:w="0" w:type="dxa"/>
            <w:vAlign w:val="bottom"/>
          </w:tcPr>
          <w:p>
            <w:pPr>
              <w:spacing w:after="0"/>
              <w:rPr>
                <w:sz w:val="1"/>
                <w:szCs w:val="1"/>
                <w:color w:val="auto"/>
              </w:rPr>
            </w:pPr>
          </w:p>
        </w:tc>
      </w:tr>
      <w:tr>
        <w:trPr>
          <w:trHeight w:val="223"/>
        </w:trPr>
        <w:tc>
          <w:tcPr>
            <w:tcW w:w="9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3,257</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Maersk Drilling made a voluntary loan repayment of USD 226 million in March 2022.</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DRILLING COMPANY OF 1972 A/S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Hedge</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3"/>
        </w:trPr>
        <w:tc>
          <w:tcPr>
            <w:tcW w:w="77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360" w:type="dxa"/>
            <w:vAlign w:val="bottom"/>
            <w:gridSpan w:val="2"/>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420" w:type="dxa"/>
            <w:vAlign w:val="bottom"/>
          </w:tcPr>
          <w:p>
            <w:pPr>
              <w:spacing w:after="0"/>
              <w:rPr>
                <w:sz w:val="15"/>
                <w:szCs w:val="15"/>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0"/>
        </w:trPr>
        <w:tc>
          <w:tcPr>
            <w:tcW w:w="7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7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3"/>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USD million</w:t>
            </w: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January 1, 2022</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2,279</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2,320</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8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(172)</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period</w:t>
            </w:r>
          </w:p>
        </w:tc>
        <w:tc>
          <w:tcPr>
            <w:tcW w:w="4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4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4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20" w:type="dxa"/>
            <w:vAlign w:val="bottom"/>
          </w:tcPr>
          <w:p>
            <w:pPr>
              <w:spacing w:after="0"/>
              <w:rPr>
                <w:sz w:val="20"/>
                <w:szCs w:val="20"/>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share-based payments</w:t>
            </w:r>
          </w:p>
        </w:tc>
        <w:tc>
          <w:tcPr>
            <w:tcW w:w="8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transactions with shareholders</w:t>
            </w:r>
          </w:p>
        </w:tc>
        <w:tc>
          <w:tcPr>
            <w:tcW w:w="4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4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20"/>
                <w:szCs w:val="20"/>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June 30, 2022</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63</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(7)</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2,109</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2,165</w:t>
            </w: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Equity January 1, 2021</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4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19"/>
                <w:szCs w:val="19"/>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Profit for the period</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29</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77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period</w:t>
            </w: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29</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Value of share-based payments</w:t>
            </w:r>
          </w:p>
        </w:tc>
        <w:tc>
          <w:tcPr>
            <w:tcW w:w="4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transactions with shareholders</w:t>
            </w:r>
          </w:p>
        </w:tc>
        <w:tc>
          <w:tcPr>
            <w:tcW w:w="8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June 30, 2021</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4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4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2,050</w:t>
            </w:r>
          </w:p>
        </w:tc>
        <w:tc>
          <w:tcPr>
            <w:tcW w:w="120" w:type="dxa"/>
            <w:vAlign w:val="bottom"/>
          </w:tcPr>
          <w:p>
            <w:pPr>
              <w:spacing w:after="0"/>
              <w:rPr>
                <w:sz w:val="19"/>
                <w:szCs w:val="19"/>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of authorization for issue:</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These unaudited interim consolidated financial statements for the six months period ended June 30, 2022 and 2021 were authorized for issue by the Board of Directors on August 19,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 the 6 months ended June 30,</w:t>
            </w:r>
          </w:p>
        </w:tc>
        <w:tc>
          <w:tcPr>
            <w:tcW w:w="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7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76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North</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00" w:type="dxa"/>
            <w:vAlign w:val="bottom"/>
            <w:vMerge w:val="restart"/>
          </w:tcPr>
          <w:p>
            <w:pPr>
              <w:spacing w:after="0"/>
              <w:rPr>
                <w:sz w:val="10"/>
                <w:szCs w:val="10"/>
                <w:color w:val="auto"/>
              </w:rPr>
            </w:pPr>
          </w:p>
        </w:tc>
        <w:tc>
          <w:tcPr>
            <w:tcW w:w="104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Unallocated</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vMerge w:val="restart"/>
          </w:tcPr>
          <w:p>
            <w:pPr>
              <w:spacing w:after="0"/>
              <w:rPr>
                <w:sz w:val="10"/>
                <w:szCs w:val="10"/>
                <w:color w:val="auto"/>
              </w:rPr>
            </w:pPr>
          </w:p>
        </w:tc>
        <w:tc>
          <w:tcPr>
            <w:tcW w:w="7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North</w:t>
            </w:r>
          </w:p>
        </w:tc>
        <w:tc>
          <w:tcPr>
            <w:tcW w:w="11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4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Unallocated</w:t>
            </w: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Sea</w:t>
            </w:r>
          </w:p>
        </w:tc>
        <w:tc>
          <w:tcPr>
            <w:tcW w:w="3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30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Sea</w:t>
            </w:r>
          </w:p>
        </w:tc>
        <w:tc>
          <w:tcPr>
            <w:tcW w:w="3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USD million</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237</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279</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532</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326</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274</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EBITDA before special items</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61</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130</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amortisation</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Impairment reversals (losses), net</w:t>
            </w: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non-current assets</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assets(1)</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1,577</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1,033</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2,642</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1,640</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1,139</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80</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intangible assets and property, plant and equipment.</w:t>
      </w:r>
    </w:p>
    <w:p>
      <w:pPr>
        <w:spacing w:after="0" w:line="225"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allocation of business activities into segments is in line with the internal management reporting provided to the chief operating decision maker which is Executive Management. Management has organised its business around the North Sea segment which utilises Jack-up rigs and an International segment which utilises semi-submersible rigs and drillships. The organisation is based on differences in the requirements of the drilling equipment due to geographical conditions and regulatory considerations. In general, rigs will be deployed in the operating areas for which they are designed, we therefore typically refer to them as “two different operating segments”. Jack-up rigs and floaters typically form separate segments as they are used for drilling programmes at different water depths. No operating segments have been aggregated.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EBITDA before special items reconciles to the consolidated income statements as follows:</w:t>
      </w:r>
    </w:p>
    <w:p>
      <w:pPr>
        <w:spacing w:after="0" w:line="246"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For the 6 months</w:t>
      </w:r>
    </w:p>
    <w:p>
      <w:pPr>
        <w:jc w:val="center"/>
        <w:ind w:left="6800"/>
        <w:spacing w:after="0" w:line="229" w:lineRule="auto"/>
        <w:rPr>
          <w:sz w:val="20"/>
          <w:szCs w:val="20"/>
          <w:color w:val="auto"/>
        </w:rPr>
      </w:pPr>
      <w:r>
        <w:rPr>
          <w:rFonts w:ascii="Times New Roman" w:cs="Times New Roman" w:eastAsia="Times New Roman" w:hAnsi="Times New Roman"/>
          <w:sz w:val="14"/>
          <w:szCs w:val="14"/>
          <w:b w:val="1"/>
          <w:bCs w:val="1"/>
          <w:color w:val="auto"/>
        </w:rPr>
        <w:t>ended</w:t>
      </w:r>
    </w:p>
    <w:p>
      <w:pPr>
        <w:jc w:val="center"/>
        <w:ind w:left="6800"/>
        <w:spacing w:after="0" w:line="232" w:lineRule="auto"/>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1440" w:type="dxa"/>
        <w:tblCellMar>
          <w:top w:w="0" w:type="dxa"/>
          <w:left w:w="0" w:type="dxa"/>
          <w:bottom w:w="0" w:type="dxa"/>
          <w:right w:w="0" w:type="dxa"/>
        </w:tblCellMar>
      </w:tblPr>
      <w:tr>
        <w:trPr>
          <w:trHeight w:val="142"/>
        </w:trPr>
        <w:tc>
          <w:tcPr>
            <w:tcW w:w="69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r>
      <w:tr>
        <w:trPr>
          <w:trHeight w:val="155"/>
        </w:trPr>
        <w:tc>
          <w:tcPr>
            <w:tcW w:w="692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USD million</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Profit/Loss for the period</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(172)</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Adjustments:</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Financial expenses</w:t>
            </w: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38</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Share of results in joint ventures</w:t>
            </w: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sale of non-current assets</w:t>
            </w:r>
          </w:p>
        </w:tc>
        <w:tc>
          <w:tcPr>
            <w:tcW w:w="9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Impairment reversals (losses), net</w:t>
            </w: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118</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amortisation</w:t>
            </w: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97</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Special items</w:t>
            </w: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from unallocated activities</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 before special items and unallocated activities</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5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00" w:type="dxa"/>
            <w:vAlign w:val="bottom"/>
          </w:tcPr>
          <w:p>
            <w:pPr>
              <w:spacing w:after="0"/>
              <w:rPr>
                <w:sz w:val="19"/>
                <w:szCs w:val="19"/>
                <w:color w:val="auto"/>
              </w:rPr>
            </w:pPr>
          </w:p>
        </w:tc>
      </w:tr>
      <w:tr>
        <w:trPr>
          <w:trHeight w:val="372"/>
        </w:trPr>
        <w:tc>
          <w:tcPr>
            <w:tcW w:w="692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F-7</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Revenue</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Revenue from drilling activities typically comprise fixed amounts for each day the rig is under contract differentiated by the activities undertaken (“day rate revenue”) and other revenue components such as lump sum payments for rig mobilisation and demobilisation and payments for investments in equipment or rig upgrades required to meet the operational needs of the drilling campaign, both of which are amortised over the contract period; bonuses linked to performance in terms of time, efficiency or drilling outcome measures such as reservoir targeting; or payments for third-party services to be delivered by Maersk Drilling.</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For revenue, geographical information is based on geographical location where earned. The geographical split and types of revenue are as follows:</w:t>
      </w:r>
    </w:p>
    <w:p>
      <w:pPr>
        <w:spacing w:after="0" w:line="24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8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6 months ended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820" w:type="dxa"/>
            <w:vAlign w:val="bottom"/>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North</w:t>
            </w: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8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Sea</w:t>
            </w:r>
          </w:p>
        </w:tc>
        <w:tc>
          <w:tcPr>
            <w:tcW w:w="12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3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Borders>
              <w:top w:val="single" w:sz="8" w:color="auto"/>
            </w:tcBorders>
          </w:tcPr>
          <w:p>
            <w:pPr>
              <w:jc w:val="right"/>
              <w:ind w:right="33"/>
              <w:spacing w:after="0" w:line="155" w:lineRule="exact"/>
              <w:rPr>
                <w:sz w:val="20"/>
                <w:szCs w:val="20"/>
                <w:color w:val="auto"/>
              </w:rPr>
            </w:pPr>
            <w:r>
              <w:rPr>
                <w:rFonts w:ascii="Times New Roman" w:cs="Times New Roman" w:eastAsia="Times New Roman" w:hAnsi="Times New Roman"/>
                <w:sz w:val="14"/>
                <w:szCs w:val="14"/>
                <w:b w:val="1"/>
                <w:bCs w:val="1"/>
                <w:color w:val="auto"/>
              </w:rPr>
              <w:t>USD</w:t>
            </w:r>
          </w:p>
        </w:tc>
        <w:tc>
          <w:tcPr>
            <w:tcW w:w="4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9"/>
              </w:rPr>
              <w:t>million</w:t>
            </w:r>
          </w:p>
        </w:tc>
        <w:tc>
          <w:tcPr>
            <w:tcW w:w="38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Geographical split</w:t>
            </w:r>
          </w:p>
        </w:tc>
        <w:tc>
          <w:tcPr>
            <w:tcW w:w="3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Denmark</w:t>
            </w:r>
          </w:p>
        </w:tc>
        <w:tc>
          <w:tcPr>
            <w:tcW w:w="4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Norway</w:t>
            </w:r>
          </w:p>
        </w:tc>
        <w:tc>
          <w:tcPr>
            <w:tcW w:w="4280" w:type="dxa"/>
            <w:vAlign w:val="bottom"/>
            <w:gridSpan w:val="3"/>
            <w:shd w:val="clear" w:color="auto" w:fill="CCEEFF"/>
          </w:tcPr>
          <w:p>
            <w:pPr>
              <w:ind w:left="3560"/>
              <w:spacing w:after="0"/>
              <w:rPr>
                <w:sz w:val="20"/>
                <w:szCs w:val="20"/>
                <w:color w:val="auto"/>
              </w:rPr>
            </w:pPr>
            <w:r>
              <w:rPr>
                <w:rFonts w:ascii="Times New Roman" w:cs="Times New Roman" w:eastAsia="Times New Roman" w:hAnsi="Times New Roman"/>
                <w:sz w:val="18"/>
                <w:szCs w:val="18"/>
                <w:color w:val="auto"/>
              </w:rPr>
              <w:t>178</w:t>
            </w:r>
          </w:p>
        </w:tc>
        <w:tc>
          <w:tcPr>
            <w:tcW w:w="12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c>
          <w:tcPr>
            <w:tcW w:w="4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32</w:t>
            </w: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The Netherlands</w:t>
            </w:r>
          </w:p>
        </w:tc>
        <w:tc>
          <w:tcPr>
            <w:tcW w:w="42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w:t>
            </w:r>
          </w:p>
        </w:tc>
        <w:tc>
          <w:tcPr>
            <w:tcW w:w="12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Australia</w:t>
            </w:r>
          </w:p>
        </w:tc>
        <w:tc>
          <w:tcPr>
            <w:tcW w:w="3460" w:type="dxa"/>
            <w:vAlign w:val="bottom"/>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63</w:t>
            </w:r>
          </w:p>
        </w:tc>
        <w:tc>
          <w:tcPr>
            <w:tcW w:w="8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Ghana</w:t>
            </w:r>
          </w:p>
        </w:tc>
        <w:tc>
          <w:tcPr>
            <w:tcW w:w="3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51</w:t>
            </w:r>
          </w:p>
        </w:tc>
        <w:tc>
          <w:tcPr>
            <w:tcW w:w="8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Guyana</w:t>
            </w:r>
          </w:p>
        </w:tc>
        <w:tc>
          <w:tcPr>
            <w:tcW w:w="3460" w:type="dxa"/>
            <w:vAlign w:val="bottom"/>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Malaysia</w:t>
            </w:r>
          </w:p>
        </w:tc>
        <w:tc>
          <w:tcPr>
            <w:tcW w:w="3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33</w:t>
            </w:r>
          </w:p>
        </w:tc>
        <w:tc>
          <w:tcPr>
            <w:tcW w:w="8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Namibia</w:t>
            </w:r>
          </w:p>
        </w:tc>
        <w:tc>
          <w:tcPr>
            <w:tcW w:w="3460" w:type="dxa"/>
            <w:vAlign w:val="bottom"/>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13</w:t>
            </w:r>
          </w:p>
        </w:tc>
        <w:tc>
          <w:tcPr>
            <w:tcW w:w="8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Sao Tome</w:t>
            </w:r>
          </w:p>
        </w:tc>
        <w:tc>
          <w:tcPr>
            <w:tcW w:w="3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25</w:t>
            </w:r>
          </w:p>
        </w:tc>
        <w:tc>
          <w:tcPr>
            <w:tcW w:w="8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Suriname</w:t>
            </w:r>
          </w:p>
        </w:tc>
        <w:tc>
          <w:tcPr>
            <w:tcW w:w="3460" w:type="dxa"/>
            <w:vAlign w:val="bottom"/>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40</w:t>
            </w:r>
          </w:p>
        </w:tc>
        <w:tc>
          <w:tcPr>
            <w:tcW w:w="8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Trinidad</w:t>
            </w:r>
          </w:p>
        </w:tc>
        <w:tc>
          <w:tcPr>
            <w:tcW w:w="3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23</w:t>
            </w:r>
          </w:p>
        </w:tc>
        <w:tc>
          <w:tcPr>
            <w:tcW w:w="8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6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6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96"/>
              </w:rPr>
              <w:t>237</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16</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532</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Composition of revenue</w:t>
            </w:r>
          </w:p>
        </w:tc>
        <w:tc>
          <w:tcPr>
            <w:tcW w:w="34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Day rate revenue</w:t>
            </w:r>
          </w:p>
        </w:tc>
        <w:tc>
          <w:tcPr>
            <w:tcW w:w="4280" w:type="dxa"/>
            <w:vAlign w:val="bottom"/>
            <w:gridSpan w:val="3"/>
            <w:shd w:val="clear" w:color="auto" w:fill="CCEEFF"/>
          </w:tcPr>
          <w:p>
            <w:pPr>
              <w:ind w:left="3560"/>
              <w:spacing w:after="0"/>
              <w:rPr>
                <w:sz w:val="20"/>
                <w:szCs w:val="20"/>
                <w:color w:val="auto"/>
              </w:rPr>
            </w:pPr>
            <w:r>
              <w:rPr>
                <w:rFonts w:ascii="Times New Roman" w:cs="Times New Roman" w:eastAsia="Times New Roman" w:hAnsi="Times New Roman"/>
                <w:sz w:val="18"/>
                <w:szCs w:val="18"/>
                <w:color w:val="auto"/>
              </w:rPr>
              <w:t>194</w:t>
            </w:r>
          </w:p>
        </w:tc>
        <w:tc>
          <w:tcPr>
            <w:tcW w:w="126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219</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16"/>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revenue</w:t>
            </w:r>
          </w:p>
        </w:tc>
        <w:tc>
          <w:tcPr>
            <w:tcW w:w="34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4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6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96"/>
              </w:rPr>
              <w:t>237</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16</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532</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Type of revenue</w:t>
            </w:r>
          </w:p>
        </w:tc>
        <w:tc>
          <w:tcPr>
            <w:tcW w:w="34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Services component</w:t>
            </w:r>
          </w:p>
        </w:tc>
        <w:tc>
          <w:tcPr>
            <w:tcW w:w="4280" w:type="dxa"/>
            <w:vAlign w:val="bottom"/>
            <w:gridSpan w:val="3"/>
            <w:shd w:val="clear" w:color="auto" w:fill="CCEEFF"/>
          </w:tcPr>
          <w:p>
            <w:pPr>
              <w:ind w:left="3560"/>
              <w:spacing w:after="0"/>
              <w:rPr>
                <w:sz w:val="20"/>
                <w:szCs w:val="20"/>
                <w:color w:val="auto"/>
              </w:rPr>
            </w:pPr>
            <w:r>
              <w:rPr>
                <w:rFonts w:ascii="Times New Roman" w:cs="Times New Roman" w:eastAsia="Times New Roman" w:hAnsi="Times New Roman"/>
                <w:sz w:val="18"/>
                <w:szCs w:val="18"/>
                <w:color w:val="auto"/>
              </w:rPr>
              <w:t>140</w:t>
            </w:r>
          </w:p>
        </w:tc>
        <w:tc>
          <w:tcPr>
            <w:tcW w:w="126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224</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6"/>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component</w:t>
            </w:r>
          </w:p>
        </w:tc>
        <w:tc>
          <w:tcPr>
            <w:tcW w:w="34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4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6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96"/>
              </w:rPr>
              <w:t>237</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16</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532</w:t>
            </w:r>
          </w:p>
        </w:tc>
        <w:tc>
          <w:tcPr>
            <w:tcW w:w="0" w:type="dxa"/>
            <w:vAlign w:val="bottom"/>
          </w:tcPr>
          <w:p>
            <w:pPr>
              <w:spacing w:after="0"/>
              <w:rPr>
                <w:sz w:val="1"/>
                <w:szCs w:val="1"/>
                <w:color w:val="auto"/>
              </w:rPr>
            </w:pPr>
          </w:p>
        </w:tc>
      </w:tr>
      <w:tr>
        <w:trPr>
          <w:trHeight w:val="372"/>
        </w:trPr>
        <w:tc>
          <w:tcPr>
            <w:tcW w:w="3380" w:type="dxa"/>
            <w:vAlign w:val="bottom"/>
          </w:tcPr>
          <w:p>
            <w:pPr>
              <w:spacing w:after="0"/>
              <w:rPr>
                <w:sz w:val="24"/>
                <w:szCs w:val="24"/>
                <w:color w:val="auto"/>
              </w:rPr>
            </w:pPr>
          </w:p>
        </w:tc>
        <w:tc>
          <w:tcPr>
            <w:tcW w:w="34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F-8</w:t>
            </w:r>
          </w:p>
        </w:tc>
        <w:tc>
          <w:tcPr>
            <w:tcW w:w="3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8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6 months ended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8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3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840" w:type="dxa"/>
            <w:vAlign w:val="bottom"/>
          </w:tcPr>
          <w:p>
            <w:pPr>
              <w:spacing w:after="0"/>
              <w:rPr>
                <w:sz w:val="10"/>
                <w:szCs w:val="10"/>
                <w:color w:val="auto"/>
              </w:rPr>
            </w:pPr>
          </w:p>
        </w:tc>
        <w:tc>
          <w:tcPr>
            <w:tcW w:w="8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North</w:t>
            </w: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8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84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Sea</w:t>
            </w:r>
          </w:p>
        </w:tc>
        <w:tc>
          <w:tcPr>
            <w:tcW w:w="12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84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Borders>
              <w:top w:val="single" w:sz="8" w:color="auto"/>
            </w:tcBorders>
          </w:tcPr>
          <w:p>
            <w:pPr>
              <w:jc w:val="right"/>
              <w:ind w:right="33"/>
              <w:spacing w:after="0" w:line="155" w:lineRule="exact"/>
              <w:rPr>
                <w:sz w:val="20"/>
                <w:szCs w:val="20"/>
                <w:color w:val="auto"/>
              </w:rPr>
            </w:pPr>
            <w:r>
              <w:rPr>
                <w:rFonts w:ascii="Times New Roman" w:cs="Times New Roman" w:eastAsia="Times New Roman" w:hAnsi="Times New Roman"/>
                <w:sz w:val="14"/>
                <w:szCs w:val="14"/>
                <w:b w:val="1"/>
                <w:bCs w:val="1"/>
                <w:color w:val="auto"/>
              </w:rPr>
              <w:t>USD</w:t>
            </w:r>
          </w:p>
        </w:tc>
        <w:tc>
          <w:tcPr>
            <w:tcW w:w="4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9"/>
              </w:rPr>
              <w:t>million</w:t>
            </w:r>
          </w:p>
        </w:tc>
        <w:tc>
          <w:tcPr>
            <w:tcW w:w="38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Geographical split</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Denmark</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w:t>
            </w: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Norway</w:t>
            </w:r>
          </w:p>
        </w:tc>
        <w:tc>
          <w:tcPr>
            <w:tcW w:w="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242</w:t>
            </w:r>
          </w:p>
        </w:tc>
        <w:tc>
          <w:tcPr>
            <w:tcW w:w="12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66</w:t>
            </w: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The Netherlands</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Angola</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45</w:t>
            </w:r>
          </w:p>
        </w:tc>
        <w:tc>
          <w:tcPr>
            <w:tcW w:w="8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Australia</w:t>
            </w:r>
          </w:p>
        </w:tc>
        <w:tc>
          <w:tcPr>
            <w:tcW w:w="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44</w:t>
            </w:r>
          </w:p>
        </w:tc>
        <w:tc>
          <w:tcPr>
            <w:tcW w:w="8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Azerbaijan</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37</w:t>
            </w:r>
          </w:p>
        </w:tc>
        <w:tc>
          <w:tcPr>
            <w:tcW w:w="8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Ghana</w:t>
            </w:r>
          </w:p>
        </w:tc>
        <w:tc>
          <w:tcPr>
            <w:tcW w:w="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23</w:t>
            </w:r>
          </w:p>
        </w:tc>
        <w:tc>
          <w:tcPr>
            <w:tcW w:w="8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Suriname</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56</w:t>
            </w:r>
          </w:p>
        </w:tc>
        <w:tc>
          <w:tcPr>
            <w:tcW w:w="8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Trinidad</w:t>
            </w:r>
          </w:p>
        </w:tc>
        <w:tc>
          <w:tcPr>
            <w:tcW w:w="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42</w:t>
            </w:r>
          </w:p>
        </w:tc>
        <w:tc>
          <w:tcPr>
            <w:tcW w:w="8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96"/>
              </w:rPr>
              <w:t>326</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14</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614</w:t>
            </w: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Composition of revenue</w:t>
            </w:r>
          </w:p>
        </w:tc>
        <w:tc>
          <w:tcPr>
            <w:tcW w:w="3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Day rate revenue</w:t>
            </w:r>
          </w:p>
        </w:tc>
        <w:tc>
          <w:tcPr>
            <w:tcW w:w="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265</w:t>
            </w:r>
          </w:p>
        </w:tc>
        <w:tc>
          <w:tcPr>
            <w:tcW w:w="126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218</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revenue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4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96"/>
              </w:rPr>
              <w:t>326</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14</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614</w:t>
            </w: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Type of revenue</w:t>
            </w:r>
          </w:p>
        </w:tc>
        <w:tc>
          <w:tcPr>
            <w:tcW w:w="3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Services component</w:t>
            </w:r>
          </w:p>
        </w:tc>
        <w:tc>
          <w:tcPr>
            <w:tcW w:w="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171</w:t>
            </w:r>
          </w:p>
        </w:tc>
        <w:tc>
          <w:tcPr>
            <w:tcW w:w="126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183</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component</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155</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4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96"/>
              </w:rPr>
              <w:t>326</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14</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614</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At June 30, 2022, the revenue backlog of contracted future service and lease revenue amounted to USD 2.0 billion (December 31, 2021: USD 1.9 billion).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Special items</w:t>
      </w:r>
    </w:p>
    <w:p>
      <w:pPr>
        <w:spacing w:after="0" w:line="128"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For the 6 months</w:t>
      </w:r>
    </w:p>
    <w:p>
      <w:pPr>
        <w:jc w:val="center"/>
        <w:ind w:left="6820"/>
        <w:spacing w:after="0" w:line="229" w:lineRule="auto"/>
        <w:rPr>
          <w:sz w:val="20"/>
          <w:szCs w:val="20"/>
          <w:color w:val="auto"/>
        </w:rPr>
      </w:pPr>
      <w:r>
        <w:rPr>
          <w:rFonts w:ascii="Times New Roman" w:cs="Times New Roman" w:eastAsia="Times New Roman" w:hAnsi="Times New Roman"/>
          <w:sz w:val="14"/>
          <w:szCs w:val="14"/>
          <w:b w:val="1"/>
          <w:bCs w:val="1"/>
          <w:color w:val="auto"/>
        </w:rPr>
        <w:t>ended</w:t>
      </w:r>
    </w:p>
    <w:p>
      <w:pPr>
        <w:jc w:val="center"/>
        <w:ind w:left="6820"/>
        <w:spacing w:after="0" w:line="232" w:lineRule="auto"/>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1440" w:type="dxa"/>
        <w:tblCellMar>
          <w:top w:w="0" w:type="dxa"/>
          <w:left w:w="0" w:type="dxa"/>
          <w:bottom w:w="0" w:type="dxa"/>
          <w:right w:w="0" w:type="dxa"/>
        </w:tblCellMar>
      </w:tblPr>
      <w:tr>
        <w:trPr>
          <w:trHeight w:val="142"/>
        </w:trPr>
        <w:tc>
          <w:tcPr>
            <w:tcW w:w="690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r>
      <w:tr>
        <w:trPr>
          <w:trHeight w:val="155"/>
        </w:trPr>
        <w:tc>
          <w:tcPr>
            <w:tcW w:w="6900" w:type="dxa"/>
            <w:vAlign w:val="bottom"/>
          </w:tcPr>
          <w:p>
            <w:pPr>
              <w:spacing w:after="0"/>
              <w:rPr>
                <w:sz w:val="13"/>
                <w:szCs w:val="13"/>
                <w:color w:val="auto"/>
              </w:rPr>
            </w:pPr>
          </w:p>
        </w:tc>
        <w:tc>
          <w:tcPr>
            <w:tcW w:w="1420" w:type="dxa"/>
            <w:vAlign w:val="bottom"/>
            <w:gridSpan w:val="4"/>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USD million</w:t>
            </w:r>
          </w:p>
        </w:tc>
        <w:tc>
          <w:tcPr>
            <w:tcW w:w="40" w:type="dxa"/>
            <w:vAlign w:val="bottom"/>
          </w:tcPr>
          <w:p>
            <w:pPr>
              <w:spacing w:after="0"/>
              <w:rPr>
                <w:sz w:val="13"/>
                <w:szCs w:val="13"/>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related costs</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5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Transformation and restructuring costs</w:t>
            </w:r>
          </w:p>
        </w:tc>
        <w:tc>
          <w:tcPr>
            <w:tcW w:w="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COVID-19 costs not recharged to customers</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Special items, costs</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40" w:type="dxa"/>
            <w:vAlign w:val="bottom"/>
          </w:tcPr>
          <w:p>
            <w:pPr>
              <w:spacing w:after="0"/>
              <w:rPr>
                <w:sz w:val="19"/>
                <w:szCs w:val="19"/>
                <w:color w:val="auto"/>
              </w:rPr>
            </w:pPr>
          </w:p>
        </w:tc>
      </w:tr>
    </w:tbl>
    <w:p>
      <w:pPr>
        <w:spacing w:after="0" w:line="21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Special items comprise income and expenses that are not considered to be part of Maersk Drilling’s ordinary operations such as merger related costs, major restructuring projects and COVID-19 related costs. COVID-19 related costs are defined as additional costs triggered by the COVID-19 pandemic in the form of costs incurred to comply with local travel and quarantine rules and customer requirements, additional costs incurred with procuring testing kits for crews operating rigs, additional crew change costs for quarantine hotels, charter flights, per diems as well as additional costs to reimburse subcontractors in instances where they need to comply with quarantine regulations.</w:t>
      </w:r>
    </w:p>
    <w:p>
      <w:pPr>
        <w:spacing w:after="0" w:line="183"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Special items incurred in the first six months of 2022 comprised USD 9 million merger related costs and USD 2 million of COVID-19 related costs not recharged to customers. Special items incurred in the first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80"/>
          </w:cols>
          <w:pgMar w:left="320" w:top="455" w:right="4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six months of 2021 comprised redundancy costs from the establishment of virtual rig teams and a new technical hub in Gdansk of USD 1 million and net COVID-19 related costs of USD 10 million.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Impairment test</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Maersk Explorer was cold stacked in May 2022 due to lack of commercial outlook and therefore it was impaired to estimated scrapping value.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resulted in an impairment loss of USD 99 million.</w:t>
      </w:r>
    </w:p>
    <w:p>
      <w:pPr>
        <w:spacing w:after="0" w:line="20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Apart from the USD 99 million impairment loss on Maersk Explorer and the USD 19 million impairment loss in connection with the sale of Maersk Convincer, no impairment triggers have been identified that would lead to an impairment test. Therefore, no further impairment reversals were recognised in the first six months ended June 30, 2022.</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sale of Mærsk Gallant in May 2021, an impairment loss of USD 11 million has been reversed.</w:t>
      </w:r>
    </w:p>
    <w:p>
      <w:pPr>
        <w:spacing w:after="0" w:line="225"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valuation of the Company in a contemplated business combination, Maersk Drilling’s net assets were assessed by the accounting acquirer as part of this transaction at values below their carrying amounts as at September 30, 2021 and Management concluded that an impairment test needed to be performed.</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An impairment test based on a value in use calculation was therefore performed, and the conclusion was that the impairment test did not lead to impairment or reversal of previously recognised impairments.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Sale of non-current assets</w:t>
      </w:r>
    </w:p>
    <w:p>
      <w:pPr>
        <w:spacing w:after="0" w:line="128"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4"/>
          <w:szCs w:val="14"/>
          <w:b w:val="1"/>
          <w:bCs w:val="1"/>
          <w:color w:val="auto"/>
        </w:rPr>
        <w:t>For the 6 months</w:t>
      </w:r>
    </w:p>
    <w:p>
      <w:pPr>
        <w:jc w:val="center"/>
        <w:ind w:left="5980"/>
        <w:spacing w:after="0" w:line="229" w:lineRule="auto"/>
        <w:rPr>
          <w:sz w:val="20"/>
          <w:szCs w:val="20"/>
          <w:color w:val="auto"/>
        </w:rPr>
      </w:pPr>
      <w:r>
        <w:rPr>
          <w:rFonts w:ascii="Times New Roman" w:cs="Times New Roman" w:eastAsia="Times New Roman" w:hAnsi="Times New Roman"/>
          <w:sz w:val="14"/>
          <w:szCs w:val="14"/>
          <w:b w:val="1"/>
          <w:bCs w:val="1"/>
          <w:color w:val="auto"/>
        </w:rPr>
        <w:t>ended</w:t>
      </w:r>
    </w:p>
    <w:p>
      <w:pPr>
        <w:jc w:val="center"/>
        <w:ind w:left="5980"/>
        <w:spacing w:after="0" w:line="232" w:lineRule="auto"/>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18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360" w:type="dxa"/>
            <w:vAlign w:val="bottom"/>
            <w:gridSpan w:val="4"/>
          </w:tcPr>
          <w:p>
            <w:pPr>
              <w:ind w:left="320"/>
              <w:spacing w:after="0" w:line="155" w:lineRule="exact"/>
              <w:rPr>
                <w:sz w:val="20"/>
                <w:szCs w:val="20"/>
                <w:color w:val="auto"/>
              </w:rPr>
            </w:pPr>
            <w:r>
              <w:rPr>
                <w:rFonts w:ascii="Times New Roman" w:cs="Times New Roman" w:eastAsia="Times New Roman" w:hAnsi="Times New Roman"/>
                <w:sz w:val="14"/>
                <w:szCs w:val="14"/>
                <w:b w:val="1"/>
                <w:bCs w:val="1"/>
                <w:color w:val="auto"/>
              </w:rPr>
              <w:t>USD million</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w:t>
            </w:r>
          </w:p>
        </w:tc>
        <w:tc>
          <w:tcPr>
            <w:tcW w:w="9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Gains/losses on sale of non-current assets, net</w:t>
            </w:r>
          </w:p>
        </w:tc>
        <w:tc>
          <w:tcPr>
            <w:tcW w:w="4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of non-current assets</w:t>
            </w:r>
          </w:p>
        </w:tc>
        <w:tc>
          <w:tcPr>
            <w:tcW w:w="9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Gain/loss on sale of non-current asset</w:t>
            </w:r>
          </w:p>
        </w:tc>
        <w:tc>
          <w:tcPr>
            <w:tcW w:w="9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advance from sale of non-current assets</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Change in payables from the sale</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from sale of non-current assets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33</w:t>
            </w: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Carrying amount of assets held for sale</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April 2022, Maersk Drilling announced that it entered into an agreement to sell the jack-up rig Maersk Convincer to ADES Saudi Limited Company. The sales price is USD 42.5 million in an all cash transaction of which USD 4 million was received in April 2022. Expecting closing date is mid September 2022 after the completion of its current drilling programme with Brunei Shell Petroleum Company Sdn. Bhd. An impairment loss of USD 19 million was recognised after the sales agreement was announced and the rig was subsequently classified as asset held for sale.</w:t>
      </w:r>
    </w:p>
    <w:p>
      <w:pPr>
        <w:spacing w:after="0" w:line="18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During the second quarter of 2021, Maersk Drilling completed the divestment of the jack-up rigs Maersk Guardian (now named Guardian) and Mærsk Gallant (now named Gallant) to New Fortress Energy. The total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sales price for the two rigs was USD 31 million in all-cash transactions. Additionally, USD 2 million were collected from the sale of spare parts owned by Mærsk Gallant.</w:t>
      </w:r>
    </w:p>
    <w:p>
      <w:pPr>
        <w:spacing w:after="0" w:line="162"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 May 2021, Maersk Drilling further announced that it entered into an agreement to divest the combined drilling and production unit Mærsk Inspirer to Havila Sirius for a price of USD 373 million in an all-cash transaction. In connection with the sale announcement, Mærsk Inspirer was classified as held for sale and depreciation of the asset was ceased. The sale was completed in 2021.</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Share capital and earnings per share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share capital comprises 41,532,112 shares of DKK 10. At June 30, 2022, the Company holds 141,402 treasury shares (June 30, 2021: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241,397) and the average number of shares in circulation during the first six months of 2022 was 41,340,712 (June 30, 2021: 41,289,832).</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Earnings per share amounted to USD -4.2 (USD 0.7) and diluted earnings per share USD -4.2 (USD 0.7).</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Earnings per share is equal to profit/loss for the period divided by the average number of shares in circulation or the average diluted number of shares in circulation.</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At June 30, 2022, a potential dilutive effect of 297,031 shares (June 30, 2021: 291,342 shares) outstanding under the long-term incentive programme is excluded from the calculation of diluted earnings per share as the inclusion of such a dilutive effect would result in a reduction in the loss per share, while in 2021 it was included.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Capital commitments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June 30, 2022, capital commitments relating to rig upgrades and special periodic surveys amounted to USD 64 million (December 31, 2021: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USD 38 million). Maersk Drilling does not have capital commitments related to new buildings.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between Noble and Maersk Drilling, which was announced on November 10, 2021, on August 8, 2022 Noble published an offer document setting out the full terms and conditions to the voluntary public share exchange offer to be made to the shareholders of Maersk Drilling. The offer period commenced on August 10, 2022 and expired on September 8, 2022, with completion of the exchange offer expected on October 3, 2022.</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Subject to completion of the exchange offer, Noble intends to delist Maersk Drilling from Nasdaq Copenhagen at an appropriate time and to the extent permitted by Nasdaq Copenhagen. Further, because the exchange offer was accepted by shareholders representing in total more than 90% of all Maersk Drilling shares and voting rights, Noble intends to initiate and complete a compulsory purchase of the remaining minority Maersk Drilling shares in accordance with the Danish Companies Act.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other events have occurred after the balance sheet date which are expected to have a material impact on the consolidated financial statements.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1.9 Basis of preparation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These interim consolidated financial statements reflect the consolidated figures for The Drilling Company of 1972 A/S (the “Company”) and its subsidiaries (the “Group” or “Maersk Drilling”). All amounts in these interim consolidated financial statements are stated in United States Dollars (USD) and rounded to the nearest million.</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40"/>
          </w:cols>
          <w:pgMar w:left="320" w:top="455" w:right="5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These interim consolidated financial statements have been prepared in accordance with IAS 34 ‘Interim Financial Reporting’ as issued by the IASB.</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accounting policies, areas of judgement and areas of significant estimates are consistent with those set out in the notes to Maersk Drilling’s consolidated financial statements for 2021.</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New reporting requirements</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New standards and amendments effective for the financial years 2022 and 2021 have not had any material impact on the accounting policies applied.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standards, amendments and interpretations adopted in 2022 include:</w:t>
      </w:r>
    </w:p>
    <w:p>
      <w:pPr>
        <w:spacing w:after="0" w:line="131" w:lineRule="exact"/>
        <w:rPr>
          <w:sz w:val="20"/>
          <w:szCs w:val="20"/>
          <w:color w:val="auto"/>
        </w:rPr>
      </w:pPr>
    </w:p>
    <w:p>
      <w:pPr>
        <w:ind w:left="1080" w:right="12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IAS 16, Property, Plant and Equipment—Proceeds before intended use. The amendment prohibits deducting from the cost of an item of property, plant and equipment any proceeds from selling items produced while bringing that asset to the location and condition necessary for it to be capable of operating in the manner intended by management.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IAS 37, Onerous Contracts: The amendment clarifies which costs to include when determining whether a contract in onerous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3, Business Combinations: The amendment includes updates to references to follow the new Conceptual Framework.</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Improvements to IFRS Standards 2018–2020: These improvements relate to clarifications and reliefs within IFRS 1, IFRS 9, IFRS 16 and IAS 41.</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standards, amendments and interpretations adopted in 2021 include:</w:t>
      </w:r>
    </w:p>
    <w:p>
      <w:pPr>
        <w:spacing w:after="0" w:line="131" w:lineRule="exact"/>
        <w:rPr>
          <w:sz w:val="20"/>
          <w:szCs w:val="20"/>
          <w:color w:val="auto"/>
        </w:rPr>
      </w:pPr>
    </w:p>
    <w:p>
      <w:pPr>
        <w:jc w:val="both"/>
        <w:ind w:left="1080" w:right="14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9, IAS 39, IFRS 7, IFRS 4 and IFRS 16: IBOR reform, phase 2. A number of amendments which provide relief from modification accounting arising from changes in contractual cash flows on debt instruments and lease contracts and redesignation of designated hedge relationships as a consequence of the IBOR reform.</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80"/>
          </w:cols>
          <w:pgMar w:left="320" w:top="455" w:right="4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2289810</wp:posOffset>
            </wp:positionV>
            <wp:extent cx="2108835" cy="9683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2108835" cy="96837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42"/>
          <w:szCs w:val="42"/>
          <w:b w:val="1"/>
          <w:bCs w:val="1"/>
          <w:color w:val="auto"/>
        </w:rPr>
        <w:t>NOBLE CORPORATION plc</w:t>
      </w:r>
    </w:p>
    <w:p>
      <w:pPr>
        <w:spacing w:after="0" w:line="200" w:lineRule="exact"/>
        <w:rPr>
          <w:sz w:val="20"/>
          <w:szCs w:val="20"/>
          <w:color w:val="auto"/>
        </w:rPr>
      </w:pPr>
    </w:p>
    <w:p>
      <w:pPr>
        <w:spacing w:after="0" w:line="27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5"/>
          <w:szCs w:val="25"/>
          <w:b w:val="1"/>
          <w:bCs w:val="1"/>
          <w:color w:val="auto"/>
        </w:rPr>
        <w:t>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881380</wp:posOffset>
            </wp:positionV>
            <wp:extent cx="1474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3296920</wp:posOffset>
            </wp:positionV>
            <wp:extent cx="69951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3365500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3408045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statement of the expenses (other than underwriting discounts and commissions) to be incurred by us in connection with a distribution of the securities registered under this registration statement.</w:t>
      </w:r>
    </w:p>
    <w:p>
      <w:pPr>
        <w:sectPr>
          <w:pgSz w:w="11900" w:h="16838" w:orient="portrait"/>
          <w:cols w:equalWidth="0" w:num="1">
            <w:col w:w="11040"/>
          </w:cols>
          <w:pgMar w:left="320" w:top="455" w:right="539" w:bottom="1440" w:gutter="0" w:footer="0" w:header="0"/>
        </w:sectPr>
      </w:pPr>
    </w:p>
    <w:p>
      <w:pPr>
        <w:spacing w:after="0" w:line="18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Transfer agent fees and expenses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Miscellaneous</w:t>
      </w:r>
    </w:p>
    <w:p>
      <w:pPr>
        <w:spacing w:after="0" w:line="1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300355</wp:posOffset>
            </wp:positionV>
            <wp:extent cx="7715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95" w:hanging="95"/>
        <w:spacing w:after="0"/>
        <w:tabs>
          <w:tab w:leader="none" w:pos="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46,337.10</w:t>
      </w:r>
    </w:p>
    <w:p>
      <w:pPr>
        <w:spacing w:after="0" w:line="27" w:lineRule="exact"/>
        <w:rPr>
          <w:rFonts w:ascii="Times New Roman" w:cs="Times New Roman" w:eastAsia="Times New Roman" w:hAnsi="Times New Roman"/>
          <w:sz w:val="18"/>
          <w:szCs w:val="18"/>
          <w:color w:val="auto"/>
        </w:rPr>
      </w:pPr>
    </w:p>
    <w:p>
      <w:pPr>
        <w:ind w:left="8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8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8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8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8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232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523240" cy="8255"/>
                    </a:xfrm>
                    <a:prstGeom prst="rect">
                      <a:avLst/>
                    </a:prstGeom>
                    <a:noFill/>
                  </pic:spPr>
                </pic:pic>
              </a:graphicData>
            </a:graphic>
          </wp:anchor>
        </w:drawing>
      </w:r>
    </w:p>
    <w:p>
      <w:pPr>
        <w:ind w:left="815" w:hanging="815"/>
        <w:spacing w:after="0"/>
        <w:tabs>
          <w:tab w:leader="none" w:pos="8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5232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5232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5232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5232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85" w:space="720"/>
            <w:col w:w="2635"/>
          </w:cols>
          <w:pgMar w:left="320" w:top="455" w:right="539" w:bottom="1440" w:gutter="0" w:footer="0" w:header="0"/>
          <w:type w:val="continuous"/>
        </w:sectPr>
      </w:pPr>
    </w:p>
    <w:p>
      <w:pPr>
        <w:spacing w:after="0" w:line="309" w:lineRule="exact"/>
        <w:rPr>
          <w:sz w:val="20"/>
          <w:szCs w:val="20"/>
          <w:color w:val="auto"/>
        </w:rPr>
      </w:pPr>
    </w:p>
    <w:p>
      <w:pPr>
        <w:ind w:left="340" w:hanging="224"/>
        <w:spacing w:after="0" w:line="261"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expenses are not presently known. The foregoing sets forth the general categories of expenses (other than underwriting discounts and commissions) that the registrant anticipates it will incur in connection with the offering of securities under this registration statement. An estimate of the aggregate expenses in connection with the issuance and distribution of the securities being offered will be included in the applicable prospectus supplement.</w:t>
      </w:r>
    </w:p>
    <w:p>
      <w:pPr>
        <w:spacing w:after="0" w:line="324"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Topco is a public limited company incorporated under the laws of England and Wales. Chapter 7 of Part 10 of the Companies Act contains provisions protecting directors from liability. All statutory references in this Item 15 are to the Companies Act.</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Section 232(1) makes void any provision that purports to exempt a director of a company from any liability that would otherwise attach to him in connection with any negligence, default, breach of duty or breach of trust in relation to the company.</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Section 232(2) makes void any provision by which a company directly or indirectly provides an indemnity for a director of the company (or of an associated company) against any liability attaching to him in connection with any negligence, default, breach of duty or breach of trust in relation to the company, except as permitted by:</w:t>
      </w:r>
    </w:p>
    <w:p>
      <w:pPr>
        <w:spacing w:after="0" w:line="176" w:lineRule="exact"/>
        <w:rPr>
          <w:sz w:val="20"/>
          <w:szCs w:val="20"/>
          <w:color w:val="auto"/>
        </w:rPr>
      </w:pPr>
    </w:p>
    <w:p>
      <w:pPr>
        <w:ind w:left="800" w:hanging="244"/>
        <w:spacing w:after="0"/>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insurance pursuant to Section 233;</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third-party indemnity provisions falling within Section 234; and</w:t>
      </w:r>
    </w:p>
    <w:p>
      <w:pPr>
        <w:spacing w:after="0" w:line="225"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pension scheme indemnity provisions falling within Section 235.</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Section 233 permits liability insurance, commonly known as directors’ and officers’ liability insurance, purchased and maintained by a company against liability for negligence, default, breach of duty or breach of trust in relation to the company.</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Section 234 allows for Topco to provide an indemnity against liability incurred by a director to someone other than Topco or an associated company. Such an indemnity does not permit indemnification against liability to pay (i) criminal fines, (ii) penalties to a regulatory authority, (iii) the costs of an unsuccessful defense of criminal, (iv) the costs of civil proceedings brought by Topco or an associated company or (v) the costs in</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40"/>
          </w:cols>
          <w:pgMar w:left="320" w:top="455" w:right="5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connection with an application for relief under Sections 661 (power of court to grant relief in case of acquisition of shares by innocent nominee) or 1157 (general power of court to grant relief in case of honest and reasonable conduct).</w:t>
      </w:r>
    </w:p>
    <w:p>
      <w:pPr>
        <w:spacing w:after="0" w:line="162"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Any indemnity provided under Section 234 must be disclosed in Topco’s annual report in accordance with Section 236 and copies of such indemnification provisions made available for inspection in accordance with Section 237 (and every member has a right to inspect and request such copies under Section 238).</w:t>
      </w:r>
    </w:p>
    <w:p>
      <w:pPr>
        <w:spacing w:after="0" w:line="176"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Conduct of a director amounting to negligence, default, breach of duty or breach of trust in relation to the company can be ratified, in accordance with Section 239, by a resolution of the members of the company, disregarding the votes of the director (if a member) and any connected member.</w:t>
      </w:r>
    </w:p>
    <w:p>
      <w:pPr>
        <w:spacing w:after="0" w:line="14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To the extent permitted by the Companies Act and without prejudice to any indemnity to which any person may otherwise be entitled, the Topco Articles of Association authorize indemnification to the fullest extent permitted under law.</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Where a person is indemnified against any liability in accordance with this Item 15, such indemnity shall extend, to the extent permitted by the Companies Act, to all costs, charges, losses, expenses and liabilities incurred by him in relation thereto.</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authorization set out in the Topco Articles of Association, to the fullest extent permitted by law and without prejudice to any other indemnity to which the director may otherwise be entitled, Topco has entered into deeds of indemnity with its directors and officers. Under the deeds of indemnity, Topco will indemnify its directors and officers to the fullest extent permitted or authorized by the Companies Act or by any other statutory provisions authorizing or permitting such indemnification.</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Topco also maintains insurance to protect itself and its directors, officers, employees and agents against expenses, liabilities and losses incurred by such persons in connection with their services in the foregoing capacities.</w:t>
      </w:r>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9860" w:type="dxa"/>
            <w:vAlign w:val="bottom"/>
            <w:gridSpan w:val="12"/>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0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0" w:type="dxa"/>
            <w:vAlign w:val="bottom"/>
          </w:tcPr>
          <w:p>
            <w:pPr>
              <w:spacing w:after="0"/>
              <w:rPr>
                <w:sz w:val="24"/>
                <w:szCs w:val="24"/>
                <w:color w:val="auto"/>
              </w:rPr>
            </w:pPr>
          </w:p>
        </w:tc>
        <w:tc>
          <w:tcPr>
            <w:tcW w:w="3600" w:type="dxa"/>
            <w:vAlign w:val="bottom"/>
            <w:vMerge w:val="restart"/>
          </w:tcPr>
          <w:p>
            <w:pPr>
              <w:spacing w:after="0"/>
              <w:rPr>
                <w:sz w:val="24"/>
                <w:szCs w:val="24"/>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540" w:type="dxa"/>
            <w:vAlign w:val="bottom"/>
            <w:gridSpan w:val="8"/>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0" w:type="dxa"/>
            <w:vAlign w:val="bottom"/>
            <w:vMerge w:val="continue"/>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454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2.1</w:t>
            </w:r>
          </w:p>
        </w:tc>
        <w:tc>
          <w:tcPr>
            <w:tcW w:w="560" w:type="dxa"/>
            <w:vAlign w:val="bottom"/>
          </w:tcPr>
          <w:p>
            <w:pPr>
              <w:spacing w:after="0"/>
              <w:rPr>
                <w:sz w:val="24"/>
                <w:szCs w:val="24"/>
                <w:color w:val="auto"/>
              </w:rPr>
            </w:pPr>
          </w:p>
        </w:tc>
        <w:tc>
          <w:tcPr>
            <w:tcW w:w="96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Modified Second Amended Joint Plan of Reorganization of Noble Corporation plc (n/k/a Noble Holding Corporation plc), a company</w:t>
              </w:r>
            </w:hyperlink>
          </w:p>
        </w:tc>
        <w:tc>
          <w:tcPr>
            <w:tcW w:w="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incorporated under the laws of England and Wales (“Legacy Noble”), and its Debtor Affiliates (filed as Exhibit 2.1 to Legacy Noble’s</w:t>
              </w:r>
            </w:hyperlink>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60" w:type="dxa"/>
            <w:vAlign w:val="bottom"/>
            <w:gridSpan w:val="12"/>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Current Report on Form 8-K filed on November 23, 2020 and incorporated herein by reference).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860" w:type="dxa"/>
            <w:vAlign w:val="bottom"/>
            <w:gridSpan w:val="2"/>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2.2†</w:t>
            </w:r>
          </w:p>
        </w:tc>
        <w:tc>
          <w:tcPr>
            <w:tcW w:w="9860" w:type="dxa"/>
            <w:vAlign w:val="bottom"/>
            <w:gridSpan w:val="12"/>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Agreement and Plan of Merger, dated as of March 25, 2021, by and among Noble Corporation, a Cayman Islands company (“Noble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860" w:type="dxa"/>
            <w:vAlign w:val="bottom"/>
            <w:gridSpan w:val="2"/>
            <w:shd w:val="clear" w:color="auto" w:fill="0000EE"/>
          </w:tcPr>
          <w:p>
            <w:pPr>
              <w:spacing w:after="0" w:line="20" w:lineRule="exact"/>
              <w:rPr>
                <w:sz w:val="1"/>
                <w:szCs w:val="1"/>
                <w:color w:val="auto"/>
              </w:rPr>
            </w:pPr>
          </w:p>
        </w:tc>
        <w:tc>
          <w:tcPr>
            <w:tcW w:w="45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Cayman”), Duke Merger Sub, LLC and Pacific Drilling Company LLC (filed as Exhibit 2.1 to Noble Cayman’s Current Report on Form</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60" w:type="dxa"/>
            <w:vAlign w:val="bottom"/>
            <w:gridSpan w:val="12"/>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8-K filed on March 25, 2021 and incorporated herein by reference).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860" w:type="dxa"/>
            <w:vAlign w:val="bottom"/>
            <w:gridSpan w:val="2"/>
            <w:shd w:val="clear" w:color="auto" w:fill="0000EE"/>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2.3†</w:t>
            </w:r>
          </w:p>
        </w:tc>
        <w:tc>
          <w:tcPr>
            <w:tcW w:w="9860" w:type="dxa"/>
            <w:vAlign w:val="bottom"/>
            <w:gridSpan w:val="12"/>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Purchase and Sale Agreement, dated as of August 25, 2021, by and among Noble Finance Company, Noble Drilling (TVL) Ltd., Noble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SA Limited, Noble Rig Holding I Limited, Noble Rig Holding 2 Limited, Noble Drilling Arabia Co. Ltd. and ADES International</w:t>
              </w:r>
            </w:hyperlink>
          </w:p>
        </w:tc>
        <w:tc>
          <w:tcPr>
            <w:tcW w:w="420" w:type="dxa"/>
            <w:vAlign w:val="bottom"/>
            <w:tcBorders>
              <w:top w:val="single" w:sz="8" w:color="0000EE"/>
            </w:tcBorders>
            <w:gridSpan w:val="4"/>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Holding Limited (filed as Exhibit 2.1 to Noble Cayman’s Current Report on Form 8-K filed on August 26, 2021 and incorporated herein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60" w:type="dxa"/>
            <w:vAlign w:val="bottom"/>
            <w:gridSpan w:val="12"/>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by reference).</w:t>
              </w:r>
            </w:hyperlink>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8860" w:type="dxa"/>
            <w:vAlign w:val="bottom"/>
            <w:gridSpan w:val="11"/>
          </w:tcPr>
          <w:p>
            <w:pPr>
              <w:ind w:left="3260"/>
              <w:spacing w:after="0"/>
              <w:rPr>
                <w:sz w:val="20"/>
                <w:szCs w:val="20"/>
                <w:color w:val="auto"/>
              </w:rPr>
            </w:pPr>
            <w:r>
              <w:rPr>
                <w:rFonts w:ascii="Times New Roman" w:cs="Times New Roman" w:eastAsia="Times New Roman" w:hAnsi="Times New Roman"/>
                <w:sz w:val="18"/>
                <w:szCs w:val="18"/>
                <w:color w:val="auto"/>
              </w:rPr>
              <w:t>II-2</w:t>
            </w: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00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Amendment No. 1 to Purchase and Sale Agreement, dated as of October 15, 2021, by and among Noble Finance Company, Noble Drilling</w:t>
              </w:r>
            </w:hyperlink>
          </w:p>
        </w:tc>
        <w:tc>
          <w:tcPr>
            <w:tcW w:w="60" w:type="dxa"/>
            <w:vAlign w:val="bottom"/>
            <w:gridSpan w:val="3"/>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0100" w:type="dxa"/>
            <w:vAlign w:val="bottom"/>
            <w:gridSpan w:val="28"/>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(TVL) Ltd., Noble SA Limited, Noble Rig Holding I Limited, Noble Rig Holding 2 Limited, Noble Drilling Arabia Co. Ltd., ADES</w:t>
              </w:r>
            </w:hyperlink>
          </w:p>
        </w:tc>
      </w:tr>
      <w:tr>
        <w:trPr>
          <w:trHeight w:val="20"/>
        </w:trPr>
        <w:tc>
          <w:tcPr>
            <w:tcW w:w="8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100" w:type="dxa"/>
            <w:vAlign w:val="bottom"/>
            <w:gridSpan w:val="28"/>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International Holding Limited and ADES Saudi Limited Company (filed as Exhibit 2.7 to Noble Cayman’s Quarterly Report on Form 10-Q</w:t>
              </w:r>
            </w:hyperlink>
          </w:p>
        </w:tc>
      </w:tr>
      <w:tr>
        <w:trPr>
          <w:trHeight w:val="196"/>
        </w:trPr>
        <w:tc>
          <w:tcPr>
            <w:tcW w:w="800" w:type="dxa"/>
            <w:vAlign w:val="bottom"/>
          </w:tcPr>
          <w:p>
            <w:pPr>
              <w:spacing w:after="0"/>
              <w:rPr>
                <w:sz w:val="17"/>
                <w:szCs w:val="17"/>
                <w:color w:val="auto"/>
              </w:rPr>
            </w:pPr>
          </w:p>
        </w:tc>
        <w:tc>
          <w:tcPr>
            <w:tcW w:w="58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for the quarter ended September 30, 2021 and incorporated herein by reference).</w:t>
              </w:r>
            </w:hyperlink>
          </w:p>
        </w:tc>
        <w:tc>
          <w:tcPr>
            <w:tcW w:w="4260" w:type="dxa"/>
            <w:vAlign w:val="bottom"/>
            <w:tcBorders>
              <w:top w:val="single" w:sz="8" w:color="0000EE"/>
            </w:tcBorders>
            <w:gridSpan w:val="20"/>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10100" w:type="dxa"/>
            <w:vAlign w:val="bottom"/>
            <w:gridSpan w:val="28"/>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Business Combination Agreement, dated as of November 10, 2021, by and among Noble Corporation, Noble Finco Limited (n/k/a Noble</w:t>
              </w:r>
            </w:hyperlink>
          </w:p>
        </w:tc>
      </w:tr>
      <w:tr>
        <w:trPr>
          <w:trHeight w:val="196"/>
        </w:trPr>
        <w:tc>
          <w:tcPr>
            <w:tcW w:w="800" w:type="dxa"/>
            <w:vAlign w:val="bottom"/>
          </w:tcPr>
          <w:p>
            <w:pPr>
              <w:spacing w:after="0"/>
              <w:rPr>
                <w:sz w:val="17"/>
                <w:szCs w:val="17"/>
                <w:color w:val="auto"/>
              </w:rPr>
            </w:pPr>
          </w:p>
        </w:tc>
        <w:tc>
          <w:tcPr>
            <w:tcW w:w="96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Corporation plc), Noble Newco Sub Limited and The Drilling Company of 1972 A/S (filed as Exhibit 2.1 to Noble Cayman’s Current</w:t>
              </w:r>
            </w:hyperlink>
          </w:p>
        </w:tc>
        <w:tc>
          <w:tcPr>
            <w:tcW w:w="260" w:type="dxa"/>
            <w:vAlign w:val="bottom"/>
            <w:tcBorders>
              <w:top w:val="single" w:sz="8" w:color="0000EE"/>
            </w:tcBorders>
            <w:gridSpan w:val="6"/>
          </w:tcPr>
          <w:p>
            <w:pPr>
              <w:spacing w:after="0"/>
              <w:rPr>
                <w:sz w:val="17"/>
                <w:szCs w:val="17"/>
                <w:color w:val="auto"/>
              </w:rPr>
            </w:pPr>
          </w:p>
        </w:tc>
        <w:tc>
          <w:tcPr>
            <w:tcW w:w="180" w:type="dxa"/>
            <w:vAlign w:val="bottom"/>
            <w:gridSpan w:val="8"/>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63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Report on Form 8-K filed on November 10, 2021 and incorporated herein by reference).</w:t>
              </w:r>
            </w:hyperlink>
          </w:p>
        </w:tc>
        <w:tc>
          <w:tcPr>
            <w:tcW w:w="3740" w:type="dxa"/>
            <w:vAlign w:val="bottom"/>
            <w:gridSpan w:val="21"/>
          </w:tcPr>
          <w:p>
            <w:pPr>
              <w:spacing w:after="0"/>
              <w:rPr>
                <w:sz w:val="17"/>
                <w:szCs w:val="17"/>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10100" w:type="dxa"/>
            <w:vAlign w:val="bottom"/>
            <w:gridSpan w:val="28"/>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Amendment No. 1 to Business Combination Agreement, dated as of August 5, 2022, by and among Noble Corporation plc, Noble</w:t>
              </w:r>
            </w:hyperlink>
          </w:p>
        </w:tc>
      </w:tr>
      <w:tr>
        <w:trPr>
          <w:trHeight w:val="20"/>
        </w:trPr>
        <w:tc>
          <w:tcPr>
            <w:tcW w:w="8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10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Corporation, Noble Newco Sub Limited and The Drilling Company of 1972 A/S (filed as Exhibit 2.1 to Noble Cayman’s Current Report on</w:t>
              </w:r>
            </w:hyperlink>
          </w:p>
        </w:tc>
      </w:tr>
      <w:tr>
        <w:trPr>
          <w:trHeight w:val="196"/>
        </w:trPr>
        <w:tc>
          <w:tcPr>
            <w:tcW w:w="800" w:type="dxa"/>
            <w:vAlign w:val="bottom"/>
          </w:tcPr>
          <w:p>
            <w:pPr>
              <w:spacing w:after="0"/>
              <w:rPr>
                <w:sz w:val="17"/>
                <w:szCs w:val="17"/>
                <w:color w:val="auto"/>
              </w:rPr>
            </w:pPr>
          </w:p>
        </w:tc>
        <w:tc>
          <w:tcPr>
            <w:tcW w:w="53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Form 8-K filed on August 5, 2022 and incorporated herein by reference).</w:t>
              </w:r>
            </w:hyperlink>
          </w:p>
        </w:tc>
        <w:tc>
          <w:tcPr>
            <w:tcW w:w="4780" w:type="dxa"/>
            <w:vAlign w:val="bottom"/>
            <w:gridSpan w:val="23"/>
          </w:tcPr>
          <w:p>
            <w:pPr>
              <w:spacing w:after="0"/>
              <w:rPr>
                <w:sz w:val="17"/>
                <w:szCs w:val="17"/>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96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Asset Purchase Agreement, dated as of June 23, 2022, by and among Noble Corporation and certain of its subsidiaries, Shelf Drilling</w:t>
              </w:r>
            </w:hyperlink>
          </w:p>
        </w:tc>
        <w:tc>
          <w:tcPr>
            <w:tcW w:w="440" w:type="dxa"/>
            <w:vAlign w:val="bottom"/>
            <w:gridSpan w:val="14"/>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0100" w:type="dxa"/>
            <w:vAlign w:val="bottom"/>
            <w:gridSpan w:val="28"/>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(North Sea), Ltd., and Shelf Drilling, Ltd. (filed as Exhibit 2.1 to Noble Cayman’s Current Report on Form 8-K filed on June 23, 2022 and</w:t>
              </w:r>
            </w:hyperlink>
          </w:p>
        </w:tc>
      </w:tr>
      <w:tr>
        <w:trPr>
          <w:trHeight w:val="196"/>
        </w:trPr>
        <w:tc>
          <w:tcPr>
            <w:tcW w:w="80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incorporated herein by reference).</w:t>
              </w:r>
            </w:hyperlink>
          </w:p>
        </w:tc>
        <w:tc>
          <w:tcPr>
            <w:tcW w:w="7520" w:type="dxa"/>
            <w:vAlign w:val="bottom"/>
            <w:tcBorders>
              <w:top w:val="single" w:sz="8" w:color="0000EE"/>
            </w:tcBorders>
            <w:gridSpan w:val="20"/>
          </w:tcPr>
          <w:p>
            <w:pPr>
              <w:spacing w:after="0"/>
              <w:rPr>
                <w:sz w:val="17"/>
                <w:szCs w:val="17"/>
                <w:color w:val="auto"/>
              </w:rPr>
            </w:pPr>
          </w:p>
        </w:tc>
        <w:tc>
          <w:tcPr>
            <w:tcW w:w="120" w:type="dxa"/>
            <w:vAlign w:val="bottom"/>
            <w:gridSpan w:val="6"/>
          </w:tcPr>
          <w:p>
            <w:pPr>
              <w:spacing w:after="0"/>
              <w:rPr>
                <w:sz w:val="17"/>
                <w:szCs w:val="17"/>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10100" w:type="dxa"/>
            <w:vAlign w:val="bottom"/>
            <w:gridSpan w:val="28"/>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Deed of Amendment relating to the Asset Purchase Agreement, dated as of August 25, 2022, by and among Noble Corporation and certain</w:t>
              </w:r>
            </w:hyperlink>
          </w:p>
        </w:tc>
      </w:tr>
      <w:tr>
        <w:trPr>
          <w:trHeight w:val="20"/>
        </w:trPr>
        <w:tc>
          <w:tcPr>
            <w:tcW w:w="8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9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98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10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of its subsidiaries, Shelf Drilling (North Sea), Ltd., and Shelf Drilling, Ltd. (filed as Exhibit 2.1 to Noble Cayman’s Current Report on Form</w:t>
              </w:r>
            </w:hyperlink>
          </w:p>
        </w:tc>
      </w:tr>
      <w:tr>
        <w:trPr>
          <w:trHeight w:val="196"/>
        </w:trPr>
        <w:tc>
          <w:tcPr>
            <w:tcW w:w="800" w:type="dxa"/>
            <w:vAlign w:val="bottom"/>
          </w:tcPr>
          <w:p>
            <w:pPr>
              <w:spacing w:after="0"/>
              <w:rPr>
                <w:sz w:val="17"/>
                <w:szCs w:val="17"/>
                <w:color w:val="auto"/>
              </w:rPr>
            </w:pPr>
          </w:p>
        </w:tc>
        <w:tc>
          <w:tcPr>
            <w:tcW w:w="49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8-K filed on August 31, 2022 and incorporated herein by reference).</w:t>
              </w:r>
            </w:hyperlink>
          </w:p>
        </w:tc>
        <w:tc>
          <w:tcPr>
            <w:tcW w:w="5180" w:type="dxa"/>
            <w:vAlign w:val="bottom"/>
            <w:gridSpan w:val="24"/>
          </w:tcPr>
          <w:p>
            <w:pPr>
              <w:spacing w:after="0"/>
              <w:rPr>
                <w:sz w:val="17"/>
                <w:szCs w:val="17"/>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Amended and Restated Articles of Association of Noble Corporation plc (filed as Exhibit 3.1 to Topco’s Current Report on Form 8-K filed</w:t>
              </w:r>
            </w:hyperlink>
          </w:p>
        </w:tc>
        <w:tc>
          <w:tcPr>
            <w:tcW w:w="100" w:type="dxa"/>
            <w:vAlign w:val="bottom"/>
            <w:gridSpan w:val="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44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on September 30, 2022 and incorporated herein by reference).</w:t>
              </w:r>
            </w:hyperlink>
          </w:p>
        </w:tc>
        <w:tc>
          <w:tcPr>
            <w:tcW w:w="5620" w:type="dxa"/>
            <w:vAlign w:val="bottom"/>
            <w:gridSpan w:val="25"/>
          </w:tcPr>
          <w:p>
            <w:pPr>
              <w:spacing w:after="0"/>
              <w:rPr>
                <w:sz w:val="17"/>
                <w:szCs w:val="17"/>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100" w:type="dxa"/>
            <w:vAlign w:val="bottom"/>
            <w:gridSpan w:val="28"/>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Indenture, dated as of February 5, 2021, among Noble Finance Company, the subsidiaries of Noble Finance Company party thereto, as</w:t>
              </w:r>
            </w:hyperlink>
          </w:p>
        </w:tc>
      </w:tr>
      <w:tr>
        <w:trPr>
          <w:trHeight w:val="196"/>
        </w:trPr>
        <w:tc>
          <w:tcPr>
            <w:tcW w:w="800" w:type="dxa"/>
            <w:vAlign w:val="bottom"/>
          </w:tcPr>
          <w:p>
            <w:pPr>
              <w:spacing w:after="0"/>
              <w:rPr>
                <w:sz w:val="17"/>
                <w:szCs w:val="17"/>
                <w:color w:val="auto"/>
              </w:rPr>
            </w:pPr>
          </w:p>
        </w:tc>
        <w:tc>
          <w:tcPr>
            <w:tcW w:w="97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guarantors, and U.S. Bank National Association, a national banking association, as collateral agent and trustee (including the form of</w:t>
              </w:r>
            </w:hyperlink>
          </w:p>
        </w:tc>
        <w:tc>
          <w:tcPr>
            <w:tcW w:w="360" w:type="dxa"/>
            <w:vAlign w:val="bottom"/>
            <w:gridSpan w:val="12"/>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360" w:type="dxa"/>
            <w:vAlign w:val="bottom"/>
            <w:gridSpan w:val="7"/>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100" w:type="dxa"/>
            <w:vAlign w:val="bottom"/>
            <w:gridSpan w:val="28"/>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Second Lien Note attached thereto) (filed as Exhibit 4.1 to Noble Cayman’s Current Report on Form 8-K filed on February 8, 2021 and</w:t>
              </w:r>
            </w:hyperlink>
          </w:p>
        </w:tc>
      </w:tr>
      <w:tr>
        <w:trPr>
          <w:trHeight w:val="196"/>
        </w:trPr>
        <w:tc>
          <w:tcPr>
            <w:tcW w:w="80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incorporated herein by reference).</w:t>
              </w:r>
            </w:hyperlink>
          </w:p>
        </w:tc>
        <w:tc>
          <w:tcPr>
            <w:tcW w:w="7300" w:type="dxa"/>
            <w:vAlign w:val="bottom"/>
            <w:tcBorders>
              <w:top w:val="single" w:sz="8" w:color="0000EE"/>
            </w:tcBorders>
            <w:gridSpan w:val="15"/>
          </w:tcPr>
          <w:p>
            <w:pPr>
              <w:spacing w:after="0"/>
              <w:rPr>
                <w:sz w:val="17"/>
                <w:szCs w:val="17"/>
                <w:color w:val="auto"/>
              </w:rPr>
            </w:pPr>
          </w:p>
        </w:tc>
        <w:tc>
          <w:tcPr>
            <w:tcW w:w="340" w:type="dxa"/>
            <w:vAlign w:val="bottom"/>
            <w:gridSpan w:val="11"/>
          </w:tcPr>
          <w:p>
            <w:pPr>
              <w:spacing w:after="0"/>
              <w:rPr>
                <w:sz w:val="17"/>
                <w:szCs w:val="17"/>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100" w:type="dxa"/>
            <w:vAlign w:val="bottom"/>
            <w:gridSpan w:val="28"/>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Supplemental Indenture, dated as of December 17, 2021, among Pacific Drilling S.A., as guarantor, and U.S. Bank National Association, a</w:t>
              </w:r>
            </w:hyperlink>
          </w:p>
        </w:tc>
      </w:tr>
      <w:tr>
        <w:trPr>
          <w:trHeight w:val="196"/>
        </w:trPr>
        <w:tc>
          <w:tcPr>
            <w:tcW w:w="800" w:type="dxa"/>
            <w:vAlign w:val="bottom"/>
          </w:tcPr>
          <w:p>
            <w:pPr>
              <w:spacing w:after="0"/>
              <w:rPr>
                <w:sz w:val="17"/>
                <w:szCs w:val="17"/>
                <w:color w:val="auto"/>
              </w:rPr>
            </w:pPr>
          </w:p>
        </w:tc>
        <w:tc>
          <w:tcPr>
            <w:tcW w:w="972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national banking association, as collateral agent and trustee (filed as Exhibit 4.2 to Amendment No. 2 to Noble Cayman’s Registration</w:t>
              </w:r>
            </w:hyperlink>
          </w:p>
        </w:tc>
        <w:tc>
          <w:tcPr>
            <w:tcW w:w="320" w:type="dxa"/>
            <w:vAlign w:val="bottom"/>
            <w:tcBorders>
              <w:top w:val="single" w:sz="8" w:color="0000EE"/>
            </w:tcBorders>
            <w:gridSpan w:val="10"/>
          </w:tcPr>
          <w:p>
            <w:pPr>
              <w:spacing w:after="0"/>
              <w:rPr>
                <w:sz w:val="17"/>
                <w:szCs w:val="17"/>
                <w:color w:val="auto"/>
              </w:rPr>
            </w:pPr>
          </w:p>
        </w:tc>
        <w:tc>
          <w:tcPr>
            <w:tcW w:w="60" w:type="dxa"/>
            <w:vAlign w:val="bottom"/>
            <w:gridSpan w:val="3"/>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79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Statement on Form S-3/A dated December 22, 2021 (No. 333-255406) and incorporated herein by reference).</w:t>
              </w:r>
            </w:hyperlink>
          </w:p>
        </w:tc>
        <w:tc>
          <w:tcPr>
            <w:tcW w:w="2200" w:type="dxa"/>
            <w:vAlign w:val="bottom"/>
            <w:gridSpan w:val="20"/>
          </w:tcPr>
          <w:p>
            <w:pPr>
              <w:spacing w:after="0"/>
              <w:rPr>
                <w:sz w:val="17"/>
                <w:szCs w:val="17"/>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97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Second Supplemental Indenture, dated as of September 27, 2022, among Pacific Santa Ana Limited, as guarantor, and U.S. Bank Trust</w:t>
            </w:r>
          </w:p>
        </w:tc>
        <w:tc>
          <w:tcPr>
            <w:tcW w:w="380" w:type="dxa"/>
            <w:vAlign w:val="bottom"/>
            <w:gridSpan w:val="1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98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Company, National Association (as successor to U.S. Bank National Association, a national banking association), as collateral agent and</w:t>
            </w:r>
          </w:p>
        </w:tc>
        <w:tc>
          <w:tcPr>
            <w:tcW w:w="240" w:type="dxa"/>
            <w:vAlign w:val="bottom"/>
            <w:gridSpan w:val="9"/>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trustee.</w:t>
            </w:r>
          </w:p>
        </w:tc>
        <w:tc>
          <w:tcPr>
            <w:tcW w:w="9560" w:type="dxa"/>
            <w:vAlign w:val="bottom"/>
            <w:gridSpan w:val="27"/>
          </w:tcPr>
          <w:p>
            <w:pPr>
              <w:spacing w:after="0"/>
              <w:rPr>
                <w:sz w:val="17"/>
                <w:szCs w:val="17"/>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04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Third Supplemental Indenture, dated as of September 28, 2022, among Noble NDUS UK Ltd, as guarantor, and U.S. Bank Trust Company,</w:t>
            </w:r>
          </w:p>
        </w:tc>
        <w:tc>
          <w:tcPr>
            <w:tcW w:w="6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96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National Association (as successor to U.S. Bank National Association, a national banking association), as collateral agent and trustee.</w:t>
            </w:r>
          </w:p>
        </w:tc>
        <w:tc>
          <w:tcPr>
            <w:tcW w:w="460" w:type="dxa"/>
            <w:vAlign w:val="bottom"/>
            <w:gridSpan w:val="15"/>
          </w:tcPr>
          <w:p>
            <w:pPr>
              <w:spacing w:after="0"/>
              <w:rPr>
                <w:sz w:val="17"/>
                <w:szCs w:val="17"/>
                <w:color w:val="auto"/>
              </w:rPr>
            </w:pPr>
          </w:p>
        </w:tc>
      </w:tr>
      <w:tr>
        <w:trPr>
          <w:trHeight w:val="31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00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Equity Registration Rights Agreement, dated as of February 5, 2021, by and among Noble Corporation and the holders party thereto (filed</w:t>
              </w:r>
            </w:hyperlink>
          </w:p>
        </w:tc>
        <w:tc>
          <w:tcPr>
            <w:tcW w:w="80" w:type="dxa"/>
            <w:vAlign w:val="bottom"/>
            <w:gridSpan w:val="4"/>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0100" w:type="dxa"/>
            <w:vAlign w:val="bottom"/>
            <w:gridSpan w:val="28"/>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as Exhibit 10.6 to Noble Cayman’s Current Report on Form 8-K filed on February 8, 2021 and incorporated herein by reference).</w:t>
              </w:r>
            </w:hyperlink>
          </w:p>
        </w:tc>
      </w:tr>
      <w:tr>
        <w:trPr>
          <w:trHeight w:val="20"/>
        </w:trPr>
        <w:tc>
          <w:tcPr>
            <w:tcW w:w="800" w:type="dxa"/>
            <w:vAlign w:val="bottom"/>
          </w:tcPr>
          <w:p>
            <w:pPr>
              <w:spacing w:after="0" w:line="20" w:lineRule="exact"/>
              <w:rPr>
                <w:sz w:val="1"/>
                <w:szCs w:val="1"/>
                <w:color w:val="auto"/>
              </w:rPr>
            </w:pPr>
          </w:p>
        </w:tc>
        <w:tc>
          <w:tcPr>
            <w:tcW w:w="8420" w:type="dxa"/>
            <w:vAlign w:val="bottom"/>
            <w:gridSpan w:val="9"/>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008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Registration Rights Agreement, dated as of April 15, 2021, by and among Noble Corporation and the holders party thereto (filed as Exhibit</w:t>
              </w:r>
            </w:hyperlink>
          </w:p>
        </w:tc>
        <w:tc>
          <w:tcPr>
            <w:tcW w:w="2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84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Noble Cayman’s Current Report on Form 8-K filed on April 16, 2021 and incorporated herein by reference).</w:t>
              </w:r>
            </w:hyperlink>
          </w:p>
        </w:tc>
        <w:tc>
          <w:tcPr>
            <w:tcW w:w="1680" w:type="dxa"/>
            <w:vAlign w:val="bottom"/>
            <w:gridSpan w:val="19"/>
          </w:tcPr>
          <w:p>
            <w:pPr>
              <w:spacing w:after="0"/>
              <w:rPr>
                <w:sz w:val="17"/>
                <w:szCs w:val="17"/>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98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Form of Registration Rights Agreement, by and among Noble Finco Limited (n/k/a Noble Corporation plc) and the holders party thereto</w:t>
              </w:r>
            </w:hyperlink>
          </w:p>
        </w:tc>
        <w:tc>
          <w:tcPr>
            <w:tcW w:w="260" w:type="dxa"/>
            <w:vAlign w:val="bottom"/>
            <w:gridSpan w:val="10"/>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99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(filed as Exhibit 10.4 to Noble Cayman’s Current Report on Form 8-K filed on November 10, 2021 and incorporated herein by reference).</w:t>
              </w:r>
            </w:hyperlink>
          </w:p>
        </w:tc>
        <w:tc>
          <w:tcPr>
            <w:tcW w:w="140" w:type="dxa"/>
            <w:vAlign w:val="bottom"/>
            <w:gridSpan w:val="7"/>
          </w:tcPr>
          <w:p>
            <w:pPr>
              <w:spacing w:after="0"/>
              <w:rPr>
                <w:sz w:val="17"/>
                <w:szCs w:val="17"/>
                <w:color w:val="auto"/>
              </w:rPr>
            </w:pPr>
          </w:p>
        </w:tc>
      </w:tr>
    </w:tbl>
    <w:p>
      <w:pPr>
        <w:spacing w:after="0" w:line="1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00"/>
          </w:cols>
          <w:pgMar w:left="320" w:top="455" w:right="4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00" w:right="500" w:hanging="800"/>
        <w:spacing w:after="0" w:line="266"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4.8</w:t>
      </w:r>
      <w:r>
        <w:rPr>
          <w:sz w:val="20"/>
          <w:szCs w:val="20"/>
          <w:color w:val="auto"/>
        </w:rPr>
        <w:tab/>
      </w:r>
      <w:hyperlink r:id="rId164">
        <w:r>
          <w:rPr>
            <w:rFonts w:ascii="Times New Roman" w:cs="Times New Roman" w:eastAsia="Times New Roman" w:hAnsi="Times New Roman"/>
            <w:sz w:val="18"/>
            <w:szCs w:val="18"/>
            <w:u w:val="single" w:color="auto"/>
            <w:color w:val="0000EE"/>
          </w:rPr>
          <w:t>Tranche 1 Warrant Agreement, dated as of September 30, 2022, by and among Noble Corporation plc, Computershare Inc. and</w:t>
        </w:r>
      </w:hyperlink>
      <w:r>
        <w:rPr>
          <w:rFonts w:ascii="Times New Roman" w:cs="Times New Roman" w:eastAsia="Times New Roman" w:hAnsi="Times New Roman"/>
          <w:sz w:val="18"/>
          <w:szCs w:val="18"/>
          <w:u w:val="single" w:color="auto"/>
          <w:color w:val="0000EE"/>
        </w:rPr>
        <w:t xml:space="preserve"> </w:t>
      </w:r>
      <w:hyperlink r:id="rId164">
        <w:r>
          <w:rPr>
            <w:rFonts w:ascii="Times New Roman" w:cs="Times New Roman" w:eastAsia="Times New Roman" w:hAnsi="Times New Roman"/>
            <w:sz w:val="18"/>
            <w:szCs w:val="18"/>
            <w:u w:val="single" w:color="auto"/>
            <w:color w:val="0000EE"/>
          </w:rPr>
          <w:t>Computershare Trust Company, N.A. (filed as Exhibit 10.2 to Topco’s Current Report on Form 8-K filed on September 30, 2022 and</w:t>
        </w:r>
      </w:hyperlink>
      <w:r>
        <w:rPr>
          <w:rFonts w:ascii="Times New Roman" w:cs="Times New Roman" w:eastAsia="Times New Roman" w:hAnsi="Times New Roman"/>
          <w:sz w:val="18"/>
          <w:szCs w:val="18"/>
          <w:u w:val="single" w:color="auto"/>
          <w:color w:val="0000EE"/>
        </w:rPr>
        <w:t xml:space="preserve"> </w:t>
      </w:r>
      <w:hyperlink r:id="rId164">
        <w:r>
          <w:rPr>
            <w:rFonts w:ascii="Times New Roman" w:cs="Times New Roman" w:eastAsia="Times New Roman" w:hAnsi="Times New Roman"/>
            <w:sz w:val="18"/>
            <w:szCs w:val="18"/>
            <w:u w:val="single" w:color="auto"/>
            <w:color w:val="0000EE"/>
          </w:rPr>
          <w:t>incorporated herein by reference).</w:t>
        </w:r>
      </w:hyperlink>
    </w:p>
    <w:p>
      <w:pPr>
        <w:spacing w:after="0" w:line="68" w:lineRule="exact"/>
        <w:rPr>
          <w:rFonts w:ascii="Times New Roman" w:cs="Times New Roman" w:eastAsia="Times New Roman" w:hAnsi="Times New Roman"/>
          <w:sz w:val="18"/>
          <w:szCs w:val="18"/>
          <w:u w:val="single" w:color="auto"/>
          <w:color w:val="0000EE"/>
        </w:rPr>
      </w:pPr>
    </w:p>
    <w:p>
      <w:pPr>
        <w:ind w:left="1000" w:right="500" w:hanging="800"/>
        <w:spacing w:after="0" w:line="266"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4.9</w:t>
      </w:r>
      <w:r>
        <w:rPr>
          <w:sz w:val="20"/>
          <w:szCs w:val="20"/>
          <w:color w:val="auto"/>
        </w:rPr>
        <w:tab/>
      </w:r>
      <w:hyperlink r:id="rId165">
        <w:r>
          <w:rPr>
            <w:rFonts w:ascii="Times New Roman" w:cs="Times New Roman" w:eastAsia="Times New Roman" w:hAnsi="Times New Roman"/>
            <w:sz w:val="18"/>
            <w:szCs w:val="18"/>
            <w:u w:val="single" w:color="auto"/>
            <w:color w:val="0000EE"/>
          </w:rPr>
          <w:t>Tranche 2 Warrant Agreement, dated as of September 30, 2022, by and among Noble Corporation plc, Computershare Inc. and</w:t>
        </w:r>
      </w:hyperlink>
      <w:r>
        <w:rPr>
          <w:rFonts w:ascii="Times New Roman" w:cs="Times New Roman" w:eastAsia="Times New Roman" w:hAnsi="Times New Roman"/>
          <w:sz w:val="18"/>
          <w:szCs w:val="18"/>
          <w:u w:val="single" w:color="auto"/>
          <w:color w:val="0000EE"/>
        </w:rPr>
        <w:t xml:space="preserve"> </w:t>
      </w:r>
      <w:hyperlink r:id="rId165">
        <w:r>
          <w:rPr>
            <w:rFonts w:ascii="Times New Roman" w:cs="Times New Roman" w:eastAsia="Times New Roman" w:hAnsi="Times New Roman"/>
            <w:sz w:val="18"/>
            <w:szCs w:val="18"/>
            <w:u w:val="single" w:color="auto"/>
            <w:color w:val="0000EE"/>
          </w:rPr>
          <w:t>Computershare Trust Company, N.A. (filed as Exhibit 10.3 to Topco’s Current Report on Form 8-K filed on September 30, 2022 and</w:t>
        </w:r>
      </w:hyperlink>
      <w:r>
        <w:rPr>
          <w:rFonts w:ascii="Times New Roman" w:cs="Times New Roman" w:eastAsia="Times New Roman" w:hAnsi="Times New Roman"/>
          <w:sz w:val="18"/>
          <w:szCs w:val="18"/>
          <w:u w:val="single" w:color="auto"/>
          <w:color w:val="0000EE"/>
        </w:rPr>
        <w:t xml:space="preserve"> </w:t>
      </w:r>
      <w:hyperlink r:id="rId165">
        <w:r>
          <w:rPr>
            <w:rFonts w:ascii="Times New Roman" w:cs="Times New Roman" w:eastAsia="Times New Roman" w:hAnsi="Times New Roman"/>
            <w:sz w:val="18"/>
            <w:szCs w:val="18"/>
            <w:u w:val="single" w:color="auto"/>
            <w:color w:val="0000EE"/>
          </w:rPr>
          <w:t>incorporated herein by reference).</w:t>
        </w:r>
      </w:hyperlink>
    </w:p>
    <w:p>
      <w:pPr>
        <w:spacing w:after="0" w:line="68" w:lineRule="exact"/>
        <w:rPr>
          <w:rFonts w:ascii="Times New Roman" w:cs="Times New Roman" w:eastAsia="Times New Roman" w:hAnsi="Times New Roman"/>
          <w:sz w:val="18"/>
          <w:szCs w:val="18"/>
          <w:u w:val="single" w:color="auto"/>
          <w:color w:val="0000EE"/>
        </w:rPr>
      </w:pPr>
    </w:p>
    <w:p>
      <w:pPr>
        <w:ind w:left="1000" w:right="500" w:hanging="800"/>
        <w:spacing w:after="0" w:line="266"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4.10</w:t>
      </w:r>
      <w:r>
        <w:rPr>
          <w:sz w:val="20"/>
          <w:szCs w:val="20"/>
          <w:color w:val="auto"/>
        </w:rPr>
        <w:tab/>
      </w:r>
      <w:hyperlink r:id="rId166">
        <w:r>
          <w:rPr>
            <w:rFonts w:ascii="Times New Roman" w:cs="Times New Roman" w:eastAsia="Times New Roman" w:hAnsi="Times New Roman"/>
            <w:sz w:val="18"/>
            <w:szCs w:val="18"/>
            <w:u w:val="single" w:color="auto"/>
            <w:color w:val="0000EE"/>
          </w:rPr>
          <w:t>Tranche 3 Warrant Agreement, dated as of September 30, 2022, by and among Noble Corporation plc, Computershare Inc. and</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Computershare Trust Company, N.A. (filed as Exhibit 10.4 to Topco’s Current Report on Form 8-K filed on September 30, 2022 and</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incorporated herein by reference).</w:t>
        </w:r>
      </w:hyperlink>
    </w:p>
    <w:p>
      <w:pPr>
        <w:spacing w:after="0" w:line="68" w:lineRule="exact"/>
        <w:rPr>
          <w:rFonts w:ascii="Times New Roman" w:cs="Times New Roman" w:eastAsia="Times New Roman" w:hAnsi="Times New Roman"/>
          <w:sz w:val="18"/>
          <w:szCs w:val="18"/>
          <w:u w:val="single" w:color="auto"/>
          <w:color w:val="0000EE"/>
        </w:rPr>
      </w:pPr>
    </w:p>
    <w:p>
      <w:pPr>
        <w:ind w:left="200"/>
        <w:spacing w:after="0"/>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4.11</w:t>
      </w:r>
      <w:r>
        <w:rPr>
          <w:sz w:val="20"/>
          <w:szCs w:val="20"/>
          <w:color w:val="auto"/>
        </w:rPr>
        <w:tab/>
      </w:r>
      <w:hyperlink r:id="rId167">
        <w:r>
          <w:rPr>
            <w:rFonts w:ascii="Times New Roman" w:cs="Times New Roman" w:eastAsia="Times New Roman" w:hAnsi="Times New Roman"/>
            <w:sz w:val="18"/>
            <w:szCs w:val="18"/>
            <w:u w:val="single" w:color="auto"/>
            <w:color w:val="0000EE"/>
          </w:rPr>
          <w:t>Assumption Agreement, dated as of September 30, 2022, by and between Noble Corporation plc and Noble Corporation (filed as Exhibit</w:t>
        </w:r>
      </w:hyperlink>
    </w:p>
    <w:p>
      <w:pPr>
        <w:spacing w:after="0" w:line="27" w:lineRule="exact"/>
        <w:rPr>
          <w:rFonts w:ascii="Times New Roman" w:cs="Times New Roman" w:eastAsia="Times New Roman" w:hAnsi="Times New Roman"/>
          <w:sz w:val="18"/>
          <w:szCs w:val="18"/>
          <w:u w:val="single" w:color="auto"/>
          <w:color w:val="0000EE"/>
        </w:rPr>
      </w:pPr>
    </w:p>
    <w:p>
      <w:pPr>
        <w:ind w:left="1000"/>
        <w:spacing w:after="0"/>
        <w:rPr>
          <w:rFonts w:ascii="Times New Roman" w:cs="Times New Roman" w:eastAsia="Times New Roman" w:hAnsi="Times New Roman"/>
          <w:sz w:val="18"/>
          <w:szCs w:val="18"/>
          <w:u w:val="single" w:color="auto"/>
          <w:color w:val="0000EE"/>
        </w:rPr>
      </w:pPr>
      <w:hyperlink r:id="rId167">
        <w:r>
          <w:rPr>
            <w:rFonts w:ascii="Times New Roman" w:cs="Times New Roman" w:eastAsia="Times New Roman" w:hAnsi="Times New Roman"/>
            <w:sz w:val="18"/>
            <w:szCs w:val="18"/>
            <w:u w:val="single" w:color="auto"/>
            <w:color w:val="0000EE"/>
          </w:rPr>
          <w:t>10.5 to Topco’s Current Report on Form 8-K filed on September 30, 2022 and incorporated herein by reference).</w:t>
        </w:r>
      </w:hyperlink>
    </w:p>
    <w:p>
      <w:pPr>
        <w:spacing w:after="0" w:line="99" w:lineRule="exact"/>
        <w:rPr>
          <w:rFonts w:ascii="Times New Roman" w:cs="Times New Roman" w:eastAsia="Times New Roman" w:hAnsi="Times New Roman"/>
          <w:sz w:val="18"/>
          <w:szCs w:val="18"/>
          <w:u w:val="single" w:color="auto"/>
          <w:color w:val="0000EE"/>
        </w:rPr>
      </w:pPr>
    </w:p>
    <w:p>
      <w:pPr>
        <w:ind w:left="200"/>
        <w:spacing w:after="0"/>
        <w:tabs>
          <w:tab w:leader="none" w:pos="9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Travers Smith LLP.</w:t>
      </w:r>
    </w:p>
    <w:p>
      <w:pPr>
        <w:spacing w:after="0" w:line="117" w:lineRule="exact"/>
        <w:rPr>
          <w:rFonts w:ascii="Times New Roman" w:cs="Times New Roman" w:eastAsia="Times New Roman" w:hAnsi="Times New Roman"/>
          <w:sz w:val="18"/>
          <w:szCs w:val="18"/>
          <w:u w:val="single" w:color="auto"/>
          <w:color w:val="0000EE"/>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u w:val="single" w:color="auto"/>
          <w:color w:val="0000EE"/>
        </w:rPr>
        <w:t>List of Guarantor Subsidiaries and Affiliate Securities Pledged as Collateral.</w:t>
      </w:r>
    </w:p>
    <w:p>
      <w:pPr>
        <w:spacing w:after="0" w:line="117" w:lineRule="exact"/>
        <w:rPr>
          <w:rFonts w:ascii="Times New Roman" w:cs="Times New Roman" w:eastAsia="Times New Roman" w:hAnsi="Times New Roman"/>
          <w:sz w:val="18"/>
          <w:szCs w:val="18"/>
          <w:u w:val="single" w:color="auto"/>
          <w:color w:val="0000EE"/>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PricewaterhouseCoopers LLP.</w:t>
      </w:r>
    </w:p>
    <w:p>
      <w:pPr>
        <w:spacing w:after="0" w:line="117" w:lineRule="exact"/>
        <w:rPr>
          <w:rFonts w:ascii="Times New Roman" w:cs="Times New Roman" w:eastAsia="Times New Roman" w:hAnsi="Times New Roman"/>
          <w:sz w:val="18"/>
          <w:szCs w:val="18"/>
          <w:u w:val="single" w:color="auto"/>
          <w:color w:val="0000EE"/>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PricewaterhouseCoopers LLP.</w:t>
      </w:r>
    </w:p>
    <w:p>
      <w:pPr>
        <w:spacing w:after="0" w:line="117" w:lineRule="exact"/>
        <w:rPr>
          <w:rFonts w:ascii="Times New Roman" w:cs="Times New Roman" w:eastAsia="Times New Roman" w:hAnsi="Times New Roman"/>
          <w:sz w:val="18"/>
          <w:szCs w:val="18"/>
          <w:u w:val="single" w:color="auto"/>
          <w:color w:val="0000EE"/>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7"/>
          <w:szCs w:val="17"/>
          <w:u w:val="single" w:color="auto"/>
          <w:color w:val="0000EE"/>
        </w:rPr>
        <w:t>Consent of KPMG LLP.</w:t>
      </w:r>
    </w:p>
    <w:p>
      <w:pPr>
        <w:spacing w:after="0" w:line="117" w:lineRule="exact"/>
        <w:rPr>
          <w:rFonts w:ascii="Times New Roman" w:cs="Times New Roman" w:eastAsia="Times New Roman" w:hAnsi="Times New Roman"/>
          <w:sz w:val="18"/>
          <w:szCs w:val="18"/>
          <w:u w:val="single" w:color="auto"/>
          <w:color w:val="0000EE"/>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8"/>
          <w:szCs w:val="18"/>
          <w:u w:val="single" w:color="auto"/>
          <w:color w:val="0000EE"/>
        </w:rPr>
        <w:t>Consent of PricewaterhouseCoopers Statsautoriseret Revisionspartnerselskab.</w:t>
      </w:r>
    </w:p>
    <w:p>
      <w:pPr>
        <w:spacing w:after="0" w:line="117" w:lineRule="exact"/>
        <w:rPr>
          <w:rFonts w:ascii="Times New Roman" w:cs="Times New Roman" w:eastAsia="Times New Roman" w:hAnsi="Times New Roman"/>
          <w:sz w:val="18"/>
          <w:szCs w:val="18"/>
          <w:u w:val="single" w:color="auto"/>
          <w:color w:val="0000EE"/>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7"/>
          <w:szCs w:val="17"/>
          <w:u w:val="single" w:color="auto"/>
          <w:color w:val="0000EE"/>
        </w:rPr>
        <w:t>Consent of Travers Smith LLP (included as part of Exhibit 5.1).</w:t>
      </w:r>
    </w:p>
    <w:p>
      <w:pPr>
        <w:spacing w:after="0" w:line="117" w:lineRule="exact"/>
        <w:rPr>
          <w:rFonts w:ascii="Times New Roman" w:cs="Times New Roman" w:eastAsia="Times New Roman" w:hAnsi="Times New Roman"/>
          <w:sz w:val="18"/>
          <w:szCs w:val="18"/>
          <w:u w:val="single" w:color="auto"/>
          <w:color w:val="0000EE"/>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 (included on the signature page hereto).</w:t>
      </w:r>
    </w:p>
    <w:p>
      <w:pPr>
        <w:spacing w:after="0" w:line="117" w:lineRule="exact"/>
        <w:rPr>
          <w:rFonts w:ascii="Times New Roman" w:cs="Times New Roman" w:eastAsia="Times New Roman" w:hAnsi="Times New Roman"/>
          <w:sz w:val="18"/>
          <w:szCs w:val="18"/>
          <w:u w:val="single" w:color="auto"/>
          <w:color w:val="0000EE"/>
        </w:rPr>
      </w:pPr>
    </w:p>
    <w:p>
      <w:pPr>
        <w:ind w:left="1000" w:hanging="884"/>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Fees Table.</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92" w:lineRule="exact"/>
        <w:rPr>
          <w:rFonts w:ascii="Times New Roman" w:cs="Times New Roman" w:eastAsia="Times New Roman" w:hAnsi="Times New Roman"/>
          <w:sz w:val="18"/>
          <w:szCs w:val="18"/>
          <w:u w:val="single" w:color="auto"/>
          <w:color w:val="0000EE"/>
        </w:rPr>
      </w:pPr>
    </w:p>
    <w:p>
      <w:pPr>
        <w:ind w:left="340" w:right="20" w:hanging="224"/>
        <w:spacing w:after="0" w:line="261"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the exhibit have been omitted. The registrant agrees to furnish a supplemental copy with any omitted information to the Securities and Exchange Commission (“SEC”) upon request.</w:t>
      </w:r>
    </w:p>
    <w:p>
      <w:pPr>
        <w:ind w:left="120"/>
        <w:spacing w:after="0"/>
        <w:rPr>
          <w:sz w:val="20"/>
          <w:szCs w:val="20"/>
          <w:color w:val="auto"/>
        </w:rPr>
      </w:pPr>
      <w:r>
        <w:rPr>
          <w:rFonts w:ascii="Times New Roman" w:cs="Times New Roman" w:eastAsia="Times New Roman" w:hAnsi="Times New Roman"/>
          <w:sz w:val="18"/>
          <w:szCs w:val="18"/>
          <w:color w:val="auto"/>
        </w:rPr>
        <w:t>*  Certain personally identifiable information contained in this exhibit has been redacted pursuant to Item 601(a)(6) of Regulation S-K.</w:t>
      </w:r>
    </w:p>
    <w:p>
      <w:pPr>
        <w:spacing w:after="0" w:line="351" w:lineRule="exact"/>
        <w:rPr>
          <w:rFonts w:ascii="Times New Roman" w:cs="Times New Roman" w:eastAsia="Times New Roman" w:hAnsi="Times New Roman"/>
          <w:sz w:val="18"/>
          <w:szCs w:val="18"/>
          <w:u w:val="single" w:color="auto"/>
          <w:color w:val="0000EE"/>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135" w:lineRule="exact"/>
        <w:rPr>
          <w:rFonts w:ascii="Times New Roman" w:cs="Times New Roman" w:eastAsia="Times New Roman" w:hAnsi="Times New Roman"/>
          <w:sz w:val="18"/>
          <w:szCs w:val="18"/>
          <w:u w:val="single" w:color="auto"/>
          <w:color w:val="0000EE"/>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30" w:lineRule="exact"/>
        <w:rPr>
          <w:rFonts w:ascii="Times New Roman" w:cs="Times New Roman" w:eastAsia="Times New Roman" w:hAnsi="Times New Roman"/>
          <w:sz w:val="18"/>
          <w:szCs w:val="18"/>
          <w:color w:val="auto"/>
        </w:rPr>
      </w:pPr>
    </w:p>
    <w:p>
      <w:pPr>
        <w:ind w:left="2080" w:hanging="533"/>
        <w:spacing w:after="0" w:line="273" w:lineRule="auto"/>
        <w:tabs>
          <w:tab w:leader="none" w:pos="2080" w:val="left"/>
        </w:tabs>
        <w:numPr>
          <w:ilvl w:val="2"/>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76" w:lineRule="exact"/>
        <w:rPr>
          <w:rFonts w:ascii="Times New Roman" w:cs="Times New Roman" w:eastAsia="Times New Roman" w:hAnsi="Times New Roman"/>
          <w:sz w:val="17"/>
          <w:szCs w:val="17"/>
          <w:color w:val="auto"/>
        </w:rPr>
      </w:pPr>
    </w:p>
    <w:p>
      <w:pPr>
        <w:ind w:left="2080" w:right="540" w:hanging="533"/>
        <w:spacing w:after="0" w:line="282" w:lineRule="auto"/>
        <w:tabs>
          <w:tab w:leader="none" w:pos="208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4" w:lineRule="exact"/>
        <w:rPr>
          <w:rFonts w:ascii="Times New Roman" w:cs="Times New Roman" w:eastAsia="Times New Roman" w:hAnsi="Times New Roman"/>
          <w:sz w:val="18"/>
          <w:szCs w:val="18"/>
          <w:u w:val="single" w:color="auto"/>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spacing w:after="0" w:line="261" w:lineRule="auto"/>
        <w:rPr>
          <w:sz w:val="20"/>
          <w:szCs w:val="20"/>
          <w:color w:val="auto"/>
        </w:rPr>
      </w:pPr>
      <w:r>
        <w:rPr>
          <w:rFonts w:ascii="Times New Roman" w:cs="Times New Roman" w:eastAsia="Times New Roman" w:hAnsi="Times New Roman"/>
          <w:sz w:val="18"/>
          <w:szCs w:val="18"/>
          <w:color w:val="auto"/>
        </w:rPr>
        <w:t>provided, however, that paragraphs (a)(1)(i), (a)(1)(ii) and (a)(1)(iii)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85" w:lineRule="exact"/>
        <w:rPr>
          <w:sz w:val="20"/>
          <w:szCs w:val="20"/>
          <w:color w:val="auto"/>
        </w:rPr>
      </w:pPr>
    </w:p>
    <w:p>
      <w:pPr>
        <w:ind w:left="1540" w:right="280" w:hanging="439"/>
        <w:spacing w:after="0" w:line="266" w:lineRule="auto"/>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540" w:right="160" w:hanging="439"/>
        <w:spacing w:after="0" w:line="282" w:lineRule="auto"/>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30" w:lineRule="exact"/>
        <w:rPr>
          <w:rFonts w:ascii="Times New Roman" w:cs="Times New Roman" w:eastAsia="Times New Roman" w:hAnsi="Times New Roman"/>
          <w:sz w:val="18"/>
          <w:szCs w:val="18"/>
          <w:color w:val="auto"/>
        </w:rPr>
      </w:pPr>
    </w:p>
    <w:p>
      <w:pPr>
        <w:ind w:left="2080" w:right="100" w:hanging="533"/>
        <w:spacing w:after="0" w:line="282" w:lineRule="auto"/>
        <w:tabs>
          <w:tab w:leader="none" w:pos="2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2080" w:hanging="533"/>
        <w:spacing w:after="0" w:line="253" w:lineRule="auto"/>
        <w:tabs>
          <w:tab w:leader="none" w:pos="2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2" w:lineRule="exact"/>
        <w:rPr>
          <w:rFonts w:ascii="Times New Roman" w:cs="Times New Roman" w:eastAsia="Times New Roman" w:hAnsi="Times New Roman"/>
          <w:sz w:val="18"/>
          <w:szCs w:val="18"/>
          <w:color w:val="auto"/>
        </w:rPr>
      </w:pPr>
    </w:p>
    <w:p>
      <w:pPr>
        <w:ind w:left="1540" w:right="100" w:hanging="439"/>
        <w:spacing w:after="0" w:line="258" w:lineRule="auto"/>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2080" w:right="140" w:hanging="533"/>
        <w:spacing w:after="0" w:line="282" w:lineRule="auto"/>
        <w:tabs>
          <w:tab w:leader="none" w:pos="2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2080" w:right="40" w:hanging="533"/>
        <w:spacing w:after="0" w:line="282" w:lineRule="auto"/>
        <w:tabs>
          <w:tab w:leader="none" w:pos="2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2080" w:right="840" w:hanging="533"/>
        <w:spacing w:after="0" w:line="282" w:lineRule="auto"/>
        <w:tabs>
          <w:tab w:leader="none" w:pos="2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00"/>
          </w:cols>
          <w:pgMar w:left="320" w:top="455" w:right="4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line="258"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Sugar Land, State of Texas, on September 30, 2022.</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NOBLE CORPORATION plc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Robert W. Eifler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Robert W. Eifler</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appoints Robert W. Eifler and Richard B. Barker, and each of them, each of whom may act without the joinder of the others, as such person’s true and lawful attorneys-in-fact and agents, with full power of substitution or resubstitution, for such person and in such person’s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said attorneys-in-fact and agents full power and authority to do and perform each and every act and thing requisite and necessary to be done, as fully and for all intents and purposes as such person might or could do in person, hereby ratifying and confirming all that said attorneys-in-fact and agents or their substitute or substitutes may lawfully do or cause to be done by virtue hereof.</w:t>
      </w:r>
    </w:p>
    <w:p>
      <w:pPr>
        <w:spacing w:after="0" w:line="18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Robert W. Eifler</w:t>
            </w:r>
          </w:p>
        </w:tc>
        <w:tc>
          <w:tcPr>
            <w:tcW w:w="120" w:type="dxa"/>
            <w:vAlign w:val="bottom"/>
          </w:tcPr>
          <w:p>
            <w:pPr>
              <w:spacing w:after="0"/>
              <w:rPr>
                <w:sz w:val="24"/>
                <w:szCs w:val="24"/>
                <w:color w:val="auto"/>
              </w:rPr>
            </w:pPr>
          </w:p>
        </w:tc>
        <w:tc>
          <w:tcPr>
            <w:tcW w:w="5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 President and Chief Executive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 2022</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Robert W. Eifler</w:t>
            </w:r>
          </w:p>
        </w:tc>
        <w:tc>
          <w:tcPr>
            <w:tcW w:w="120" w:type="dxa"/>
            <w:vAlign w:val="bottom"/>
          </w:tcPr>
          <w:p>
            <w:pPr>
              <w:spacing w:after="0"/>
              <w:rPr>
                <w:sz w:val="19"/>
                <w:szCs w:val="19"/>
                <w:color w:val="auto"/>
              </w:rPr>
            </w:pPr>
          </w:p>
        </w:tc>
        <w:tc>
          <w:tcPr>
            <w:tcW w:w="5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80" w:type="dxa"/>
            <w:vAlign w:val="bottom"/>
          </w:tcPr>
          <w:p>
            <w:pPr>
              <w:spacing w:after="0"/>
              <w:rPr>
                <w:sz w:val="19"/>
                <w:szCs w:val="19"/>
                <w:color w:val="auto"/>
              </w:rPr>
            </w:pPr>
          </w:p>
        </w:tc>
      </w:tr>
      <w:tr>
        <w:trPr>
          <w:trHeight w:val="427"/>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B. Barker</w:t>
            </w:r>
          </w:p>
        </w:tc>
        <w:tc>
          <w:tcPr>
            <w:tcW w:w="120" w:type="dxa"/>
            <w:vAlign w:val="bottom"/>
          </w:tcPr>
          <w:p>
            <w:pPr>
              <w:spacing w:after="0"/>
              <w:rPr>
                <w:sz w:val="24"/>
                <w:szCs w:val="24"/>
                <w:color w:val="auto"/>
              </w:rPr>
            </w:pPr>
          </w:p>
        </w:tc>
        <w:tc>
          <w:tcPr>
            <w:tcW w:w="5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 2022</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Richard B. Barker</w:t>
            </w:r>
          </w:p>
        </w:tc>
        <w:tc>
          <w:tcPr>
            <w:tcW w:w="120" w:type="dxa"/>
            <w:vAlign w:val="bottom"/>
          </w:tcPr>
          <w:p>
            <w:pPr>
              <w:spacing w:after="0"/>
              <w:rPr>
                <w:sz w:val="19"/>
                <w:szCs w:val="19"/>
                <w:color w:val="auto"/>
              </w:rPr>
            </w:pPr>
          </w:p>
        </w:tc>
        <w:tc>
          <w:tcPr>
            <w:tcW w:w="5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880" w:type="dxa"/>
            <w:vAlign w:val="bottom"/>
          </w:tcPr>
          <w:p>
            <w:pPr>
              <w:spacing w:after="0"/>
              <w:rPr>
                <w:sz w:val="19"/>
                <w:szCs w:val="19"/>
                <w:color w:val="auto"/>
              </w:rPr>
            </w:pPr>
          </w:p>
        </w:tc>
      </w:tr>
      <w:tr>
        <w:trPr>
          <w:trHeight w:val="427"/>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Laura D. Campbell</w:t>
            </w:r>
          </w:p>
        </w:tc>
        <w:tc>
          <w:tcPr>
            <w:tcW w:w="120" w:type="dxa"/>
            <w:vAlign w:val="bottom"/>
          </w:tcPr>
          <w:p>
            <w:pPr>
              <w:spacing w:after="0"/>
              <w:rPr>
                <w:sz w:val="24"/>
                <w:szCs w:val="24"/>
                <w:color w:val="auto"/>
              </w:rPr>
            </w:pPr>
          </w:p>
        </w:tc>
        <w:tc>
          <w:tcPr>
            <w:tcW w:w="5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Vice President, Chief Accounting Officer and Controller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 2022</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Laura D. Campbell</w:t>
            </w:r>
          </w:p>
        </w:tc>
        <w:tc>
          <w:tcPr>
            <w:tcW w:w="120" w:type="dxa"/>
            <w:vAlign w:val="bottom"/>
          </w:tcPr>
          <w:p>
            <w:pPr>
              <w:spacing w:after="0"/>
              <w:rPr>
                <w:sz w:val="19"/>
                <w:szCs w:val="19"/>
                <w:color w:val="auto"/>
              </w:rPr>
            </w:pPr>
          </w:p>
        </w:tc>
        <w:tc>
          <w:tcPr>
            <w:tcW w:w="5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880" w:type="dxa"/>
            <w:vAlign w:val="bottom"/>
          </w:tcPr>
          <w:p>
            <w:pPr>
              <w:spacing w:after="0"/>
              <w:rPr>
                <w:sz w:val="19"/>
                <w:szCs w:val="19"/>
                <w:color w:val="auto"/>
              </w:rPr>
            </w:pPr>
          </w:p>
        </w:tc>
      </w:tr>
      <w:tr>
        <w:trPr>
          <w:trHeight w:val="427"/>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Alan J. Hirshberg</w:t>
            </w:r>
          </w:p>
        </w:tc>
        <w:tc>
          <w:tcPr>
            <w:tcW w:w="120" w:type="dxa"/>
            <w:vAlign w:val="bottom"/>
          </w:tcPr>
          <w:p>
            <w:pPr>
              <w:spacing w:after="0"/>
              <w:rPr>
                <w:sz w:val="24"/>
                <w:szCs w:val="24"/>
                <w:color w:val="auto"/>
              </w:rPr>
            </w:pPr>
          </w:p>
        </w:tc>
        <w:tc>
          <w:tcPr>
            <w:tcW w:w="5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 2022</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Alan J. Hirshberg</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Ann D. Pickard</w:t>
            </w:r>
          </w:p>
        </w:tc>
        <w:tc>
          <w:tcPr>
            <w:tcW w:w="120" w:type="dxa"/>
            <w:vAlign w:val="bottom"/>
          </w:tcPr>
          <w:p>
            <w:pPr>
              <w:spacing w:after="0"/>
              <w:rPr>
                <w:sz w:val="24"/>
                <w:szCs w:val="24"/>
                <w:color w:val="auto"/>
              </w:rPr>
            </w:pPr>
          </w:p>
        </w:tc>
        <w:tc>
          <w:tcPr>
            <w:tcW w:w="5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 2022</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Ann D. Pickard</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M. Sledge</w:t>
            </w:r>
          </w:p>
        </w:tc>
        <w:tc>
          <w:tcPr>
            <w:tcW w:w="120" w:type="dxa"/>
            <w:vAlign w:val="bottom"/>
          </w:tcPr>
          <w:p>
            <w:pPr>
              <w:spacing w:after="0"/>
              <w:rPr>
                <w:sz w:val="24"/>
                <w:szCs w:val="24"/>
                <w:color w:val="auto"/>
              </w:rPr>
            </w:pPr>
          </w:p>
        </w:tc>
        <w:tc>
          <w:tcPr>
            <w:tcW w:w="5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 2022</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Charles M. Sledge</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60"/>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II-7</w:t>
            </w:r>
          </w:p>
        </w:tc>
        <w:tc>
          <w:tcPr>
            <w:tcW w:w="18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SECOND SUPPLEMENTAL INDENTURE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BE DELIVERED BY SUBSEQUENT GUARANTORS</w:t>
      </w:r>
    </w:p>
    <w:p>
      <w:pPr>
        <w:spacing w:after="0" w:line="215"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SECOND SUPPLEMENTAL INDENTURE (this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dated as of September 27, 2022, among Pacific Santa Ana Limited, a company incorporated under the laws of the British Virgin Islands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 subsidiary of Noble Finance Company (or its permitted successor), a company incorporated in the Cayman Islands as an exempted company with limited liability with registration number 115769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U.S. Bank Trust Company, National Association (as successor to U.S. Bank National Association, a national banking association), as collateral agent and U.S. Bank Trust Company, National Association (as successor to U.S. Bank National Association, a national banking association), as trustee under the Indenture referred to below.</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1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dated as of February 5, 2021 providing for the issuance of 11%/ 13%/ 15% Senior Secured PIK Toggle Notes due 2028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Guarantor will execute and deliver to the Trustee a supplemental indenture pursuant to which the Guarantor will unconditionally guarantee Guaranteed Obligations under the Securities and the Indenture on the terms and conditions set forth herein (the “</w:t>
      </w:r>
      <w:r>
        <w:rPr>
          <w:rFonts w:ascii="Times New Roman" w:cs="Times New Roman" w:eastAsia="Times New Roman" w:hAnsi="Times New Roman"/>
          <w:sz w:val="18"/>
          <w:szCs w:val="18"/>
          <w:u w:val="single" w:color="auto"/>
          <w:color w:val="auto"/>
        </w:rPr>
        <w:t>Securities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pursuant to Article 10 of the Indenture, the Trustee is authorized to execute and deliver this Supplemental Indenture.</w:t>
      </w:r>
    </w:p>
    <w:p>
      <w:pPr>
        <w:spacing w:after="0" w:line="225"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Guarantor and the Trustee mutually covenant and agree for the equal and ratable benefit of the Holders as follows:</w:t>
      </w:r>
    </w:p>
    <w:p>
      <w:pPr>
        <w:spacing w:after="0" w:line="162" w:lineRule="exact"/>
        <w:rPr>
          <w:sz w:val="20"/>
          <w:szCs w:val="20"/>
          <w:color w:val="auto"/>
        </w:rPr>
      </w:pPr>
    </w:p>
    <w:p>
      <w:pPr>
        <w:ind w:left="980" w:hanging="54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Capitalized terms used herein without definition will have the meanings assigned to them in the Indenture.</w:t>
      </w:r>
    </w:p>
    <w:p>
      <w:pPr>
        <w:spacing w:after="0" w:line="225" w:lineRule="exact"/>
        <w:rPr>
          <w:rFonts w:ascii="Times New Roman" w:cs="Times New Roman" w:eastAsia="Times New Roman" w:hAnsi="Times New Roman"/>
          <w:sz w:val="18"/>
          <w:szCs w:val="18"/>
          <w:color w:val="auto"/>
        </w:rPr>
      </w:pPr>
    </w:p>
    <w:p>
      <w:pPr>
        <w:ind w:right="260" w:firstLine="436"/>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TO GUARANTEE. The Guarantor hereby agrees to provide an unconditional Guarantee on the terms and subject to the conditions set forth in this Securities Guarantee and in the Indenture including but not limited to Article 11 thereof.</w:t>
      </w:r>
    </w:p>
    <w:p>
      <w:pPr>
        <w:spacing w:after="0" w:line="161" w:lineRule="exact"/>
        <w:rPr>
          <w:rFonts w:ascii="Times New Roman" w:cs="Times New Roman" w:eastAsia="Times New Roman" w:hAnsi="Times New Roman"/>
          <w:sz w:val="18"/>
          <w:szCs w:val="18"/>
          <w:color w:val="auto"/>
        </w:rPr>
      </w:pPr>
    </w:p>
    <w:p>
      <w:pPr>
        <w:ind w:right="200" w:firstLine="436"/>
        <w:spacing w:after="0" w:line="277" w:lineRule="auto"/>
        <w:tabs>
          <w:tab w:leader="none" w:pos="9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INTERCREDITOR AGREEMENT. REFERENCE IS MADE TO THE SECOND LIEN INTERCREDITOR AGREEMENT, DATED AS OF FEBRUARY 5, BETWEEN JPMORGAN CHASE BANK, N.A., AS PRIORITY LIEN AGENT (AS DEFINED THEREIN), U.S. BANK NATIONAL ASSOCIATION, AS SECOND LIEN COLLATERAL AGENT (AS DEFINED THEREIN), THE COMPANY AND CERTAIN OF ITS SUBSIDIARIES (THE “INTERCREDITOR AGREEMENT”). EACH HOLDER OF SECOND LIEN OBLIGATIONS (AS DEFINED THEREIN), BY ITS ACCEPTANCE OF SUCH SECOND LIEN OBLIGATIONS (I) CONSENTS TO THE SUBORDINATION OF LIENS PROVIDED FOR IN</w:t>
      </w:r>
    </w:p>
    <w:p>
      <w:pPr>
        <w:sectPr>
          <w:pgSz w:w="11900" w:h="16838" w:orient="portrait"/>
          <w:cols w:equalWidth="0" w:num="1">
            <w:col w:w="11020"/>
          </w:cols>
          <w:pgMar w:left="440" w:top="117" w:right="439" w:bottom="1440" w:gutter="0" w:footer="0" w:header="0"/>
        </w:sectPr>
      </w:pPr>
    </w:p>
    <w:bookmarkStart w:id="93" w:name="page94"/>
    <w:bookmarkEnd w:id="9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INTERCREDITOR AGREEMENT, (II) AGREES THAT IT WILL BE BOUND BY, AND WILL TAKE NO ACTIONS CONTRARY TO, THE PROVISIONS OF THE INTERCREDITOR AGREEMENT AND (III) AUTHORIZES AND INSTRUCTS THE SECOND LIEN COLLATERAL AGENT (AS DEFINED THEREIN) ON BEHALF OF EACH SECOND LIEN SECURED PARTY (AS DEFINED THEREIN) TO ENTER INTO THE INTERCREDITOR AGREEMENT AS SECOND LIEN COLLATERAL AGENT ON BEHALF OF SUCH SECOND LIEN SECURED PARTIES. THE FOREGOING PROVISIONS ARE INTENDED AS AN INDUCEMENT TO THE LENDERS UNDER THE PRIORITY CREDIT AGREEMENT TO EXTEND CREDIT TO THE COMPANY AND SUCH LENDERS ARE INTENDED THIRD PARTY BENEFICIARIES OF SUCH PROVISIONS AND THE PROVISIONS OF THE INTERCREDITOR AGREEMENT.</w:t>
      </w:r>
    </w:p>
    <w:p>
      <w:pPr>
        <w:spacing w:after="0" w:line="189" w:lineRule="exact"/>
        <w:rPr>
          <w:sz w:val="20"/>
          <w:szCs w:val="20"/>
          <w:color w:val="auto"/>
        </w:rPr>
      </w:pPr>
    </w:p>
    <w:p>
      <w:pPr>
        <w:ind w:right="120" w:firstLine="436"/>
        <w:spacing w:after="0" w:line="261"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RECOURSE AGAINST OTHERS. A director, officer, employee or stockholder, as such, of the Guarantor shall not have any liability for any obligations of the Company or any Guarantor under the Securities, any Securities Guarantees, the Indenture or this Supplemental Indenture or for any claim based on, in respect of or by reason of such obligations or their creation. By accepting a Security, each Holder shall waive and release all such liability. The waiver and release shall be part of the consideration for the issue of the Securities.</w:t>
      </w:r>
    </w:p>
    <w:p>
      <w:pPr>
        <w:spacing w:after="0" w:line="179" w:lineRule="exact"/>
        <w:rPr>
          <w:rFonts w:ascii="Times New Roman" w:cs="Times New Roman" w:eastAsia="Times New Roman" w:hAnsi="Times New Roman"/>
          <w:sz w:val="18"/>
          <w:szCs w:val="18"/>
          <w:color w:val="auto"/>
        </w:rPr>
      </w:pPr>
    </w:p>
    <w:p>
      <w:pPr>
        <w:ind w:firstLine="436"/>
        <w:spacing w:after="0" w:line="25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GOVERNING LAW; JURISDICTION; WAIVER OF JURY TRIAL. This Supplemental Indenture and the Securities shall be governed by, and construed in accordance with, the laws of the State of New York. Any legal suit, action or proceeding arising out of or based upon this Supplemental Indenture and the Securities may be instituted in the federal courts of the United States of America located in the City of New York or the courts of the State of New York in each case located in the City of New York (collectively, the “Specified Courts”), and each party irrevocably submits to the non-exclusive jurisdiction of such courts in any such suit, action or proceeding. Service of any process, summons, notice or document by mail (to the extent allowed under any applicable statute or rule of court) to such party’s address shall be effective service of process for any suit, action or other proceeding brought in any such court. The parties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 </w:t>
      </w:r>
      <w:r>
        <w:rPr>
          <w:rFonts w:ascii="Times New Roman" w:cs="Times New Roman" w:eastAsia="Times New Roman" w:hAnsi="Times New Roman"/>
          <w:sz w:val="18"/>
          <w:szCs w:val="18"/>
          <w:b w:val="1"/>
          <w:bCs w:val="1"/>
          <w:color w:val="auto"/>
        </w:rPr>
        <w:t>THE PARTIES HEREBY IRREVOCABLY WAIVE, TO THE FULLEST EXTENT</w:t>
      </w:r>
    </w:p>
    <w:p>
      <w:pPr>
        <w:spacing w:after="0" w:line="6" w:lineRule="exact"/>
        <w:rPr>
          <w:rFonts w:ascii="Times New Roman" w:cs="Times New Roman" w:eastAsia="Times New Roman" w:hAnsi="Times New Roman"/>
          <w:sz w:val="18"/>
          <w:szCs w:val="18"/>
          <w:color w:val="auto"/>
        </w:rPr>
      </w:pPr>
    </w:p>
    <w:p>
      <w:pPr>
        <w:ind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PERMITTED BY APPLICABLE LAW, ANY AND ALL RIGHT TO TRIAL BY JURY IN ANY LEGAL PROCEEDING ARISING OUT OF OR RELATING TO THIS SUPPLEMENTAL INDENTURE OR THE SECURITIES.</w:t>
      </w:r>
    </w:p>
    <w:p>
      <w:pPr>
        <w:spacing w:after="0" w:line="181" w:lineRule="exact"/>
        <w:rPr>
          <w:rFonts w:ascii="Times New Roman" w:cs="Times New Roman" w:eastAsia="Times New Roman" w:hAnsi="Times New Roman"/>
          <w:sz w:val="18"/>
          <w:szCs w:val="18"/>
          <w:color w:val="auto"/>
        </w:rPr>
      </w:pPr>
    </w:p>
    <w:p>
      <w:pPr>
        <w:ind w:right="140" w:firstLine="436"/>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The parties may sign any number of copies of this Supplemental Indenture. Each signed copy will be an original, but all of them together represent the same agreement.</w:t>
      </w:r>
    </w:p>
    <w:p>
      <w:pPr>
        <w:spacing w:after="0" w:line="161" w:lineRule="exact"/>
        <w:rPr>
          <w:rFonts w:ascii="Times New Roman" w:cs="Times New Roman" w:eastAsia="Times New Roman" w:hAnsi="Times New Roman"/>
          <w:sz w:val="18"/>
          <w:szCs w:val="18"/>
          <w:color w:val="auto"/>
        </w:rPr>
      </w:pPr>
    </w:p>
    <w:p>
      <w:pPr>
        <w:ind w:left="980" w:hanging="54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HEADINGS. The Section headings herein are for convenience only and will not affect the construction hereof.</w:t>
      </w:r>
    </w:p>
    <w:p>
      <w:pPr>
        <w:spacing w:after="0" w:line="225" w:lineRule="exact"/>
        <w:rPr>
          <w:rFonts w:ascii="Times New Roman" w:cs="Times New Roman" w:eastAsia="Times New Roman" w:hAnsi="Times New Roman"/>
          <w:sz w:val="18"/>
          <w:szCs w:val="18"/>
          <w:color w:val="auto"/>
        </w:rPr>
      </w:pPr>
    </w:p>
    <w:p>
      <w:pPr>
        <w:ind w:right="500" w:firstLine="436"/>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The Trustee will not be responsible in any manner whatsoever for or in respect of the validity or sufficiency of this Supplemental Indenture or for or in respect of the recitals contained herein, all of which recitals are made solely by the Guarantor.</w:t>
      </w:r>
    </w:p>
    <w:p>
      <w:pPr>
        <w:sectPr>
          <w:pgSz w:w="11900" w:h="16838" w:orient="portrait"/>
          <w:cols w:equalWidth="0" w:num="1">
            <w:col w:w="11000"/>
          </w:cols>
          <w:pgMar w:left="440" w:top="270" w:right="459" w:bottom="1440" w:gutter="0" w:footer="0" w:header="0"/>
        </w:sectPr>
      </w:pPr>
    </w:p>
    <w:bookmarkStart w:id="94" w:name="page95"/>
    <w:bookmarkEnd w:id="9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Supplemental Indenture to be duly executed all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35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PACIFIC SANTA ANA LIMITED</w:t>
      </w:r>
    </w:p>
    <w:p>
      <w:pPr>
        <w:spacing w:after="0" w:line="33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Brad A. Baldwin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Brad A. Baldwin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30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U.S. BANK TRUST COMPANY, NATIONAL</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ASSOCIATION, as Trustee</w:t>
      </w:r>
    </w:p>
    <w:p>
      <w:pPr>
        <w:spacing w:after="0" w:line="31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Alejandro Hoyos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Alejandro Hoyos</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30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U.S. BANK TRUST COMPANY, NATIONAL</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ASSOCIATION, as Collateral Agent</w:t>
      </w:r>
    </w:p>
    <w:p>
      <w:pPr>
        <w:spacing w:after="0" w:line="31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Alejandro Hoyos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Alejandro Hoyos</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ectPr>
          <w:pgSz w:w="11900" w:h="16838" w:orient="portrait"/>
          <w:cols w:equalWidth="0" w:num="1">
            <w:col w:w="11020"/>
          </w:cols>
          <w:pgMar w:left="440" w:top="270" w:right="4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SUPPLEMENTAL INDENTURE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DELIVERED BY SUBSEQUENT GUARANTORS</w:t>
      </w:r>
    </w:p>
    <w:p>
      <w:pPr>
        <w:spacing w:after="0" w:line="225" w:lineRule="exact"/>
        <w:rPr>
          <w:sz w:val="20"/>
          <w:szCs w:val="20"/>
          <w:color w:val="auto"/>
        </w:rPr>
      </w:pPr>
    </w:p>
    <w:p>
      <w:pPr>
        <w:ind w:right="360" w:firstLine="991"/>
        <w:spacing w:after="0" w:line="256" w:lineRule="auto"/>
        <w:rPr>
          <w:sz w:val="20"/>
          <w:szCs w:val="20"/>
          <w:color w:val="auto"/>
        </w:rPr>
      </w:pPr>
      <w:r>
        <w:rPr>
          <w:rFonts w:ascii="Times New Roman" w:cs="Times New Roman" w:eastAsia="Times New Roman" w:hAnsi="Times New Roman"/>
          <w:sz w:val="18"/>
          <w:szCs w:val="18"/>
          <w:color w:val="auto"/>
        </w:rPr>
        <w:t>THIRD SUPPLEMENTAL INDENTURE (this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dated as of September 28, 2022, among Noble NDUS UK Ltd., a private company limited by shares incorporated under the laws of England and Wales, with company number 14343037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 subsidiary of Noble Finance Company (or its permitted successor), a company incorporated in the Cayman Islands as an exempted company with limited liability with registration number 115769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U.S. Bank Trust Company, National Association (as successor to U.S. Bank National Association, a national banking association), as collateral agent and U.S. Bank Trust Company, National Association (as successor to U.S. Bank National Association, a national banking association), as trustee under the Indenture referred to below.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dated as of February 5, 2021 providing for the issuance of 11%/ 13%/ 15% Senior Secured PIK Toggle Notes due 2028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Guarantor will execute and deliver to the Trustee a supplemental indenture pursuant to which the Guarantor will unconditionally guarantee Guaranteed Obligations under the Securities and the Indenture on the terms and conditions set forth herein (the “</w:t>
      </w:r>
      <w:r>
        <w:rPr>
          <w:rFonts w:ascii="Times New Roman" w:cs="Times New Roman" w:eastAsia="Times New Roman" w:hAnsi="Times New Roman"/>
          <w:sz w:val="18"/>
          <w:szCs w:val="18"/>
          <w:u w:val="single" w:color="auto"/>
          <w:color w:val="auto"/>
        </w:rPr>
        <w:t>Securities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pursuant to Article 10 of the Indenture, the Trustee is authorized to execute and deliver this Supplemental Indenture.</w:t>
      </w:r>
    </w:p>
    <w:p>
      <w:pPr>
        <w:spacing w:after="0" w:line="225"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Guarantor and the Trustee mutually covenant and agree for the equal and ratable benefit of the Holders as follows:</w:t>
      </w:r>
    </w:p>
    <w:p>
      <w:pPr>
        <w:spacing w:after="0" w:line="162" w:lineRule="exact"/>
        <w:rPr>
          <w:sz w:val="20"/>
          <w:szCs w:val="20"/>
          <w:color w:val="auto"/>
        </w:rPr>
      </w:pPr>
    </w:p>
    <w:p>
      <w:pPr>
        <w:ind w:left="980" w:hanging="54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Capitalized terms used herein without definition will have the meanings assigned to them in the Indenture.</w:t>
      </w:r>
    </w:p>
    <w:p>
      <w:pPr>
        <w:spacing w:after="0" w:line="225" w:lineRule="exact"/>
        <w:rPr>
          <w:rFonts w:ascii="Times New Roman" w:cs="Times New Roman" w:eastAsia="Times New Roman" w:hAnsi="Times New Roman"/>
          <w:sz w:val="18"/>
          <w:szCs w:val="18"/>
          <w:color w:val="auto"/>
        </w:rPr>
      </w:pPr>
    </w:p>
    <w:p>
      <w:pPr>
        <w:ind w:right="260" w:firstLine="436"/>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TO GUARANTEE. The Guarantor hereby agrees to provide an unconditional Guarantee on the terms and subject to the conditions set forth in this Securities Guarantee and in the Indenture including but not limited to Article 11 thereof.</w:t>
      </w:r>
    </w:p>
    <w:p>
      <w:pPr>
        <w:spacing w:after="0" w:line="161" w:lineRule="exact"/>
        <w:rPr>
          <w:rFonts w:ascii="Times New Roman" w:cs="Times New Roman" w:eastAsia="Times New Roman" w:hAnsi="Times New Roman"/>
          <w:sz w:val="18"/>
          <w:szCs w:val="18"/>
          <w:color w:val="auto"/>
        </w:rPr>
      </w:pPr>
    </w:p>
    <w:p>
      <w:pPr>
        <w:ind w:right="60" w:firstLine="436"/>
        <w:spacing w:after="0" w:line="258"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INTERCREDITOR AGREEMENT. REFERENCE IS MADE TO THE SECOND LIEN INTERCREDITOR AGREEMENT, DATED AS OF FEBRUARY 5, BETWEEN JPMORGAN CHASE BANK, N.A., AS PRIORITY LIEN AGENT (AS DEFINED THEREIN), U.S. BANK NATIONAL ASSOCIATION, AS SECOND LIEN COLLATERAL AGENT (AS DEFINED THEREIN), THE COMPANY AND CERTAIN OF ITS SUBSIDIARIES (THE “INTERCREDITOR AGREEMENT”). EACH HOLDER OF SECOND LIEN OBLIGATIONS (AS DEFINED THEREIN), BY ITS ACCEPTANCE OF SUCH SECOND LIEN OBLIGATIONS (I) CONSENTS TO THE SUBORDINATION OF LIENS PROVIDED FOR IN</w:t>
      </w:r>
    </w:p>
    <w:p>
      <w:pPr>
        <w:sectPr>
          <w:pgSz w:w="11900" w:h="16838" w:orient="portrait"/>
          <w:cols w:equalWidth="0" w:num="1">
            <w:col w:w="11020"/>
          </w:cols>
          <w:pgMar w:left="440" w:top="117" w:right="439" w:bottom="1440" w:gutter="0" w:footer="0" w:header="0"/>
        </w:sectPr>
      </w:pPr>
    </w:p>
    <w:bookmarkStart w:id="96" w:name="page97"/>
    <w:bookmarkEnd w:id="9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INTERCREDITOR AGREEMENT, (II) AGREES THAT IT WILL BE BOUND BY, AND WILL TAKE NO ACTIONS CONTRARY TO, THE PROVISIONS OF THE INTERCREDITOR AGREEMENT AND (III) AUTHORIZES AND INSTRUCTS THE SECOND LIEN COLLATERAL AGENT (AS DEFINED THEREIN) ON BEHALF OF EACH SECOND LIEN SECURED PARTY (AS DEFINED THEREIN) TO ENTER INTO THE INTERCREDITOR AGREEMENT AS SECOND LIEN COLLATERAL AGENT ON BEHALF OF SUCH SECOND LIEN SECURED PARTIES. THE FOREGOING PROVISIONS ARE INTENDED AS AN INDUCEMENT TO THE LENDERS UNDER THE PRIORITY CREDIT AGREEMENT TO EXTEND CREDIT TO THE COMPANY AND SUCH LENDERS ARE INTENDED THIRD PARTY BENEFICIARIES OF SUCH PROVISIONS AND THE PROVISIONS OF THE INTERCREDITOR AGREEMENT.</w:t>
      </w:r>
    </w:p>
    <w:p>
      <w:pPr>
        <w:spacing w:after="0" w:line="189" w:lineRule="exact"/>
        <w:rPr>
          <w:sz w:val="20"/>
          <w:szCs w:val="20"/>
          <w:color w:val="auto"/>
        </w:rPr>
      </w:pPr>
    </w:p>
    <w:p>
      <w:pPr>
        <w:ind w:right="120" w:firstLine="436"/>
        <w:spacing w:after="0" w:line="261"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RECOURSE AGAINST OTHERS. A director, officer, employee or stockholder, as such, of the Guarantor shall not have any liability for any obligations of the Company or any Guarantor under the Securities, any Securities Guarantees, the Indenture or this Supplemental Indenture or for any claim based on, in respect of or by reason of such obligations or their creation. By accepting a Security, each Holder shall waive and release all such liability. The waiver and release shall be part of the consideration for the issue of the Securities.</w:t>
      </w:r>
    </w:p>
    <w:p>
      <w:pPr>
        <w:spacing w:after="0" w:line="179" w:lineRule="exact"/>
        <w:rPr>
          <w:rFonts w:ascii="Times New Roman" w:cs="Times New Roman" w:eastAsia="Times New Roman" w:hAnsi="Times New Roman"/>
          <w:sz w:val="18"/>
          <w:szCs w:val="18"/>
          <w:color w:val="auto"/>
        </w:rPr>
      </w:pPr>
    </w:p>
    <w:p>
      <w:pPr>
        <w:ind w:firstLine="436"/>
        <w:spacing w:after="0" w:line="25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GOVERNING LAW; JURISDICTION; WAIVER OF JURY TRIAL. This Supplemental Indenture and the Securities shall be governed by, and construed in accordance with, the laws of the State of New York. Any legal suit, action or proceeding arising out of or based upon this Supplemental Indenture and the Securities may be instituted in the federal courts of the United States of America located in the City of New York or the courts of the State of New York in each case located in the City of New York (collectively, the “Specified Courts”), and each party irrevocably submits to the non-exclusive jurisdiction of such courts in any such suit, action or proceeding. Service of any process, summons, notice or document by mail (to the extent allowed under any applicable statute or rule of court) to such party’s address shall be effective service of process for any suit, action or other proceeding brought in any such court. The parties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 </w:t>
      </w:r>
      <w:r>
        <w:rPr>
          <w:rFonts w:ascii="Times New Roman" w:cs="Times New Roman" w:eastAsia="Times New Roman" w:hAnsi="Times New Roman"/>
          <w:sz w:val="18"/>
          <w:szCs w:val="18"/>
          <w:b w:val="1"/>
          <w:bCs w:val="1"/>
          <w:color w:val="auto"/>
        </w:rPr>
        <w:t>THE PARTIES HEREBY IRREVOCABLY WAIVE, TO THE FULLEST EXTENT</w:t>
      </w:r>
    </w:p>
    <w:p>
      <w:pPr>
        <w:spacing w:after="0" w:line="6" w:lineRule="exact"/>
        <w:rPr>
          <w:rFonts w:ascii="Times New Roman" w:cs="Times New Roman" w:eastAsia="Times New Roman" w:hAnsi="Times New Roman"/>
          <w:sz w:val="18"/>
          <w:szCs w:val="18"/>
          <w:color w:val="auto"/>
        </w:rPr>
      </w:pPr>
    </w:p>
    <w:p>
      <w:pPr>
        <w:ind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PERMITTED BY APPLICABLE LAW, ANY AND ALL RIGHT TO TRIAL BY JURY IN ANY LEGAL PROCEEDING ARISING OUT OF OR RELATING TO THIS SUPPLEMENTAL INDENTURE OR THE SECURITIES.</w:t>
      </w:r>
    </w:p>
    <w:p>
      <w:pPr>
        <w:spacing w:after="0" w:line="181" w:lineRule="exact"/>
        <w:rPr>
          <w:rFonts w:ascii="Times New Roman" w:cs="Times New Roman" w:eastAsia="Times New Roman" w:hAnsi="Times New Roman"/>
          <w:sz w:val="18"/>
          <w:szCs w:val="18"/>
          <w:color w:val="auto"/>
        </w:rPr>
      </w:pPr>
    </w:p>
    <w:p>
      <w:pPr>
        <w:ind w:right="140" w:firstLine="436"/>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The parties may sign any number of copies of this Supplemental Indenture. Each signed copy will be an original, but all of them together represent the same agreement.</w:t>
      </w:r>
    </w:p>
    <w:p>
      <w:pPr>
        <w:spacing w:after="0" w:line="161" w:lineRule="exact"/>
        <w:rPr>
          <w:rFonts w:ascii="Times New Roman" w:cs="Times New Roman" w:eastAsia="Times New Roman" w:hAnsi="Times New Roman"/>
          <w:sz w:val="18"/>
          <w:szCs w:val="18"/>
          <w:color w:val="auto"/>
        </w:rPr>
      </w:pPr>
    </w:p>
    <w:p>
      <w:pPr>
        <w:ind w:left="980" w:hanging="54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HEADINGS. The Section headings herein are for convenience only and will not affect the construction hereof.</w:t>
      </w:r>
    </w:p>
    <w:p>
      <w:pPr>
        <w:spacing w:after="0" w:line="225" w:lineRule="exact"/>
        <w:rPr>
          <w:rFonts w:ascii="Times New Roman" w:cs="Times New Roman" w:eastAsia="Times New Roman" w:hAnsi="Times New Roman"/>
          <w:sz w:val="18"/>
          <w:szCs w:val="18"/>
          <w:color w:val="auto"/>
        </w:rPr>
      </w:pPr>
    </w:p>
    <w:p>
      <w:pPr>
        <w:ind w:right="500" w:firstLine="436"/>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The Trustee will not be responsible in any manner whatsoever for or in respect of the validity or sufficiency of this Supplemental Indenture or for or in respect of the recitals contained herein, all of which recitals are made solely by the Guarantor.</w:t>
      </w:r>
    </w:p>
    <w:p>
      <w:pPr>
        <w:sectPr>
          <w:pgSz w:w="11900" w:h="16838" w:orient="portrait"/>
          <w:cols w:equalWidth="0" w:num="1">
            <w:col w:w="11000"/>
          </w:cols>
          <w:pgMar w:left="440" w:top="270" w:right="459" w:bottom="1440" w:gutter="0" w:footer="0" w:header="0"/>
        </w:sectPr>
      </w:pPr>
    </w:p>
    <w:bookmarkStart w:id="97" w:name="page98"/>
    <w:bookmarkEnd w:id="9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Supplemental Indenture to be duly executed all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NOBLE NDUS UK LTD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Bruce Boyle</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Bruce Boyle</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U.S. BANK TRUST COMPANY, NATIONAL</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xml:space="preserve">ASSOCIATION, </w:t>
      </w: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Alejandro Hoyos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Alejandro Hoyos</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U.S. BANK TRUST COMPANY, NATIONAL</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xml:space="preserve">ASSOCIATION, </w:t>
      </w:r>
      <w:r>
        <w:rPr>
          <w:rFonts w:ascii="Times New Roman" w:cs="Times New Roman" w:eastAsia="Times New Roman" w:hAnsi="Times New Roman"/>
          <w:sz w:val="18"/>
          <w:szCs w:val="18"/>
          <w:color w:val="auto"/>
        </w:rPr>
        <w:t>as Collateral Agent</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Alejandro Hoyos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Alejandro Hoyos</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ectPr>
          <w:pgSz w:w="11900" w:h="16838" w:orient="portrait"/>
          <w:cols w:equalWidth="0" w:num="1">
            <w:col w:w="11020"/>
          </w:cols>
          <w:pgMar w:left="440" w:top="270" w:right="4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534160" cy="4368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7">
                      <a:extLst>
                        <a:ext uri="{28A0092B-C50C-407E-A947-70E740481C1C}"/>
                      </a:extLst>
                    </a:blip>
                    <a:srcRect/>
                    <a:stretch>
                      <a:fillRect/>
                    </a:stretch>
                  </pic:blipFill>
                  <pic:spPr bwMode="auto">
                    <a:xfrm>
                      <a:off x="0" y="0"/>
                      <a:ext cx="153416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4" w:type="dxa"/>
        <w:tblCellMar>
          <w:top w:w="0" w:type="dxa"/>
          <w:left w:w="0" w:type="dxa"/>
          <w:bottom w:w="0" w:type="dxa"/>
          <w:right w:w="0" w:type="dxa"/>
        </w:tblCellMar>
      </w:tblPr>
      <w:tr>
        <w:trPr>
          <w:trHeight w:val="220"/>
        </w:trPr>
        <w:tc>
          <w:tcPr>
            <w:tcW w:w="29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Travers Smith LLP </w:t>
            </w:r>
            <w:r>
              <w:rPr>
                <w:rFonts w:ascii="Times New Roman" w:cs="Times New Roman" w:eastAsia="Times New Roman" w:hAnsi="Times New Roman"/>
                <w:sz w:val="18"/>
                <w:szCs w:val="18"/>
                <w:color w:val="auto"/>
              </w:rPr>
              <w:t>10 Snow Hill, London, EC1A 2AL</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 +44 (0)20 7295 3000 | www.traverssmith.com</w:t>
            </w:r>
          </w:p>
        </w:tc>
        <w:tc>
          <w:tcPr>
            <w:tcW w:w="0" w:type="dxa"/>
            <w:vAlign w:val="bottom"/>
          </w:tcPr>
          <w:p>
            <w:pPr>
              <w:spacing w:after="0"/>
              <w:rPr>
                <w:sz w:val="1"/>
                <w:szCs w:val="1"/>
                <w:color w:val="auto"/>
              </w:rPr>
            </w:pPr>
          </w:p>
        </w:tc>
      </w:tr>
      <w:tr>
        <w:trPr>
          <w:trHeight w:val="256"/>
        </w:trPr>
        <w:tc>
          <w:tcPr>
            <w:tcW w:w="298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tcPr>
          <w:p>
            <w:pPr>
              <w:spacing w:after="0"/>
              <w:rPr>
                <w:sz w:val="22"/>
                <w:szCs w:val="22"/>
                <w:color w:val="auto"/>
              </w:rPr>
            </w:pPr>
          </w:p>
        </w:tc>
        <w:tc>
          <w:tcPr>
            <w:tcW w:w="5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75"/>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Noble Corporation plc</w:t>
            </w:r>
          </w:p>
        </w:tc>
        <w:tc>
          <w:tcPr>
            <w:tcW w:w="292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Your ref:</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3rd Floor</w:t>
            </w:r>
          </w:p>
        </w:tc>
        <w:tc>
          <w:tcPr>
            <w:tcW w:w="292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Our ref:</w:t>
            </w:r>
          </w:p>
        </w:tc>
        <w:tc>
          <w:tcPr>
            <w:tcW w:w="51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RRS/SRB</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 Ashley Road</w:t>
            </w:r>
          </w:p>
        </w:tc>
        <w:tc>
          <w:tcPr>
            <w:tcW w:w="292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Doc ID:</w:t>
            </w:r>
          </w:p>
        </w:tc>
        <w:tc>
          <w:tcPr>
            <w:tcW w:w="5120" w:type="dxa"/>
            <w:vAlign w:val="bottom"/>
            <w:vMerge w:val="restart"/>
          </w:tcPr>
          <w:p>
            <w:pPr>
              <w:ind w:left="1720"/>
              <w:spacing w:after="0"/>
              <w:rPr>
                <w:sz w:val="20"/>
                <w:szCs w:val="20"/>
                <w:color w:val="auto"/>
              </w:rPr>
            </w:pPr>
            <w:r>
              <w:rPr>
                <w:rFonts w:ascii="Times New Roman" w:cs="Times New Roman" w:eastAsia="Times New Roman" w:hAnsi="Times New Roman"/>
                <w:sz w:val="18"/>
                <w:szCs w:val="18"/>
                <w:color w:val="auto"/>
              </w:rPr>
              <w:t>4149-3528-8639</w:t>
            </w:r>
          </w:p>
        </w:tc>
        <w:tc>
          <w:tcPr>
            <w:tcW w:w="0" w:type="dxa"/>
            <w:vAlign w:val="bottom"/>
          </w:tcPr>
          <w:p>
            <w:pPr>
              <w:spacing w:after="0"/>
              <w:rPr>
                <w:sz w:val="1"/>
                <w:szCs w:val="1"/>
                <w:color w:val="auto"/>
              </w:rPr>
            </w:pPr>
          </w:p>
        </w:tc>
      </w:tr>
      <w:tr>
        <w:trPr>
          <w:trHeight w:val="86"/>
        </w:trPr>
        <w:tc>
          <w:tcPr>
            <w:tcW w:w="2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Altrincham</w:t>
            </w:r>
          </w:p>
        </w:tc>
        <w:tc>
          <w:tcPr>
            <w:tcW w:w="2920" w:type="dxa"/>
            <w:vAlign w:val="bottom"/>
            <w:vMerge w:val="continue"/>
          </w:tcPr>
          <w:p>
            <w:pPr>
              <w:spacing w:after="0"/>
              <w:rPr>
                <w:sz w:val="7"/>
                <w:szCs w:val="7"/>
                <w:color w:val="auto"/>
              </w:rPr>
            </w:pPr>
          </w:p>
        </w:tc>
        <w:tc>
          <w:tcPr>
            <w:tcW w:w="5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980" w:type="dxa"/>
            <w:vAlign w:val="bottom"/>
            <w:vMerge w:val="continue"/>
          </w:tcPr>
          <w:p>
            <w:pPr>
              <w:spacing w:after="0"/>
              <w:rPr>
                <w:sz w:val="11"/>
                <w:szCs w:val="11"/>
                <w:color w:val="auto"/>
              </w:rPr>
            </w:pPr>
          </w:p>
        </w:tc>
        <w:tc>
          <w:tcPr>
            <w:tcW w:w="292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Direct line:</w:t>
            </w:r>
          </w:p>
        </w:tc>
        <w:tc>
          <w:tcPr>
            <w:tcW w:w="5120" w:type="dxa"/>
            <w:vAlign w:val="bottom"/>
            <w:vMerge w:val="restart"/>
          </w:tcPr>
          <w:p>
            <w:pPr>
              <w:ind w:left="1720"/>
              <w:spacing w:after="0"/>
              <w:rPr>
                <w:sz w:val="20"/>
                <w:szCs w:val="20"/>
                <w:color w:val="auto"/>
              </w:rPr>
            </w:pPr>
            <w:r>
              <w:rPr>
                <w:rFonts w:ascii="Times New Roman" w:cs="Times New Roman" w:eastAsia="Times New Roman" w:hAnsi="Times New Roman"/>
                <w:sz w:val="18"/>
                <w:szCs w:val="18"/>
                <w:color w:val="auto"/>
              </w:rPr>
              <w:t>+44 (0)20 7295 3000</w:t>
            </w:r>
          </w:p>
        </w:tc>
        <w:tc>
          <w:tcPr>
            <w:tcW w:w="0" w:type="dxa"/>
            <w:vAlign w:val="bottom"/>
          </w:tcPr>
          <w:p>
            <w:pPr>
              <w:spacing w:after="0"/>
              <w:rPr>
                <w:sz w:val="1"/>
                <w:szCs w:val="1"/>
                <w:color w:val="auto"/>
              </w:rPr>
            </w:pPr>
          </w:p>
        </w:tc>
      </w:tr>
      <w:tr>
        <w:trPr>
          <w:trHeight w:val="113"/>
        </w:trPr>
        <w:tc>
          <w:tcPr>
            <w:tcW w:w="2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Cheshire</w:t>
            </w:r>
          </w:p>
        </w:tc>
        <w:tc>
          <w:tcPr>
            <w:tcW w:w="2920" w:type="dxa"/>
            <w:vAlign w:val="bottom"/>
            <w:vMerge w:val="continue"/>
          </w:tcPr>
          <w:p>
            <w:pPr>
              <w:spacing w:after="0"/>
              <w:rPr>
                <w:sz w:val="9"/>
                <w:szCs w:val="9"/>
                <w:color w:val="auto"/>
              </w:rPr>
            </w:pPr>
          </w:p>
        </w:tc>
        <w:tc>
          <w:tcPr>
            <w:tcW w:w="5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980" w:type="dxa"/>
            <w:vAlign w:val="bottom"/>
            <w:vMerge w:val="continue"/>
          </w:tcPr>
          <w:p>
            <w:pPr>
              <w:spacing w:after="0"/>
              <w:rPr>
                <w:sz w:val="8"/>
                <w:szCs w:val="8"/>
                <w:color w:val="auto"/>
              </w:rPr>
            </w:pPr>
          </w:p>
        </w:tc>
        <w:tc>
          <w:tcPr>
            <w:tcW w:w="292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Email:</w:t>
            </w:r>
          </w:p>
        </w:tc>
        <w:tc>
          <w:tcPr>
            <w:tcW w:w="5120" w:type="dxa"/>
            <w:vAlign w:val="bottom"/>
            <w:vMerge w:val="restart"/>
          </w:tcPr>
          <w:p>
            <w:pPr>
              <w:ind w:left="1720"/>
              <w:spacing w:after="0"/>
              <w:rPr>
                <w:sz w:val="20"/>
                <w:szCs w:val="20"/>
                <w:color w:val="auto"/>
              </w:rPr>
            </w:pPr>
            <w:r>
              <w:rPr>
                <w:rFonts w:ascii="Times New Roman" w:cs="Times New Roman" w:eastAsia="Times New Roman" w:hAnsi="Times New Roman"/>
                <w:sz w:val="18"/>
                <w:szCs w:val="18"/>
                <w:color w:val="auto"/>
              </w:rPr>
              <w:t>richard.spedding</w:t>
            </w:r>
          </w:p>
        </w:tc>
        <w:tc>
          <w:tcPr>
            <w:tcW w:w="0" w:type="dxa"/>
            <w:vAlign w:val="bottom"/>
          </w:tcPr>
          <w:p>
            <w:pPr>
              <w:spacing w:after="0"/>
              <w:rPr>
                <w:sz w:val="1"/>
                <w:szCs w:val="1"/>
                <w:color w:val="auto"/>
              </w:rPr>
            </w:pPr>
          </w:p>
        </w:tc>
      </w:tr>
      <w:tr>
        <w:trPr>
          <w:trHeight w:val="135"/>
        </w:trPr>
        <w:tc>
          <w:tcPr>
            <w:tcW w:w="2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WA14 2DT</w:t>
            </w:r>
          </w:p>
        </w:tc>
        <w:tc>
          <w:tcPr>
            <w:tcW w:w="2920" w:type="dxa"/>
            <w:vAlign w:val="bottom"/>
            <w:vMerge w:val="continue"/>
          </w:tcPr>
          <w:p>
            <w:pPr>
              <w:spacing w:after="0"/>
              <w:rPr>
                <w:sz w:val="11"/>
                <w:szCs w:val="11"/>
                <w:color w:val="auto"/>
              </w:rPr>
            </w:pPr>
          </w:p>
        </w:tc>
        <w:tc>
          <w:tcPr>
            <w:tcW w:w="5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980" w:type="dxa"/>
            <w:vAlign w:val="bottom"/>
            <w:vMerge w:val="continue"/>
          </w:tcPr>
          <w:p>
            <w:pPr>
              <w:spacing w:after="0"/>
              <w:rPr>
                <w:sz w:val="7"/>
                <w:szCs w:val="7"/>
                <w:color w:val="auto"/>
              </w:rPr>
            </w:pPr>
          </w:p>
        </w:tc>
        <w:tc>
          <w:tcPr>
            <w:tcW w:w="2920" w:type="dxa"/>
            <w:vAlign w:val="bottom"/>
          </w:tcPr>
          <w:p>
            <w:pPr>
              <w:spacing w:after="0"/>
              <w:rPr>
                <w:sz w:val="7"/>
                <w:szCs w:val="7"/>
                <w:color w:val="auto"/>
              </w:rPr>
            </w:pPr>
          </w:p>
        </w:tc>
        <w:tc>
          <w:tcPr>
            <w:tcW w:w="5120" w:type="dxa"/>
            <w:vAlign w:val="bottom"/>
            <w:vMerge w:val="restart"/>
          </w:tcPr>
          <w:p>
            <w:pPr>
              <w:ind w:left="1720"/>
              <w:spacing w:after="0"/>
              <w:rPr>
                <w:sz w:val="20"/>
                <w:szCs w:val="20"/>
                <w:color w:val="auto"/>
              </w:rPr>
            </w:pPr>
            <w:r>
              <w:rPr>
                <w:rFonts w:ascii="Times New Roman" w:cs="Times New Roman" w:eastAsia="Times New Roman" w:hAnsi="Times New Roman"/>
                <w:sz w:val="18"/>
                <w:szCs w:val="18"/>
                <w:color w:val="auto"/>
              </w:rPr>
              <w:t>@traverssmith.com</w:t>
            </w:r>
          </w:p>
        </w:tc>
        <w:tc>
          <w:tcPr>
            <w:tcW w:w="0" w:type="dxa"/>
            <w:vAlign w:val="bottom"/>
          </w:tcPr>
          <w:p>
            <w:pPr>
              <w:spacing w:after="0"/>
              <w:rPr>
                <w:sz w:val="1"/>
                <w:szCs w:val="1"/>
                <w:color w:val="auto"/>
              </w:rPr>
            </w:pPr>
          </w:p>
        </w:tc>
      </w:tr>
      <w:tr>
        <w:trPr>
          <w:trHeight w:val="153"/>
        </w:trPr>
        <w:tc>
          <w:tcPr>
            <w:tcW w:w="2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FAO the Board of Directors</w:t>
            </w:r>
          </w:p>
        </w:tc>
        <w:tc>
          <w:tcPr>
            <w:tcW w:w="2920" w:type="dxa"/>
            <w:vAlign w:val="bottom"/>
          </w:tcPr>
          <w:p>
            <w:pPr>
              <w:spacing w:after="0"/>
              <w:rPr>
                <w:sz w:val="13"/>
                <w:szCs w:val="13"/>
                <w:color w:val="auto"/>
              </w:rPr>
            </w:pPr>
          </w:p>
        </w:tc>
        <w:tc>
          <w:tcPr>
            <w:tcW w:w="5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980" w:type="dxa"/>
            <w:vAlign w:val="bottom"/>
            <w:vMerge w:val="continue"/>
          </w:tcPr>
          <w:p>
            <w:pPr>
              <w:spacing w:after="0"/>
              <w:rPr>
                <w:sz w:val="7"/>
                <w:szCs w:val="7"/>
                <w:color w:val="auto"/>
              </w:rPr>
            </w:pPr>
          </w:p>
        </w:tc>
        <w:tc>
          <w:tcPr>
            <w:tcW w:w="2920" w:type="dxa"/>
            <w:vAlign w:val="bottom"/>
          </w:tcPr>
          <w:p>
            <w:pPr>
              <w:spacing w:after="0"/>
              <w:rPr>
                <w:sz w:val="7"/>
                <w:szCs w:val="7"/>
                <w:color w:val="auto"/>
              </w:rPr>
            </w:pPr>
          </w:p>
        </w:tc>
        <w:tc>
          <w:tcPr>
            <w:tcW w:w="5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30 September 2022</w:t>
            </w:r>
          </w:p>
        </w:tc>
        <w:tc>
          <w:tcPr>
            <w:tcW w:w="29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Dear Directors:</w:t>
            </w:r>
          </w:p>
        </w:tc>
        <w:tc>
          <w:tcPr>
            <w:tcW w:w="29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Legal opinion regarding shares of Noble Corporation plc</w:t>
      </w:r>
    </w:p>
    <w:p>
      <w:pPr>
        <w:spacing w:after="0" w:line="252" w:lineRule="exact"/>
        <w:rPr>
          <w:sz w:val="20"/>
          <w:szCs w:val="20"/>
          <w:color w:val="auto"/>
        </w:rPr>
      </w:pPr>
    </w:p>
    <w:p>
      <w:pPr>
        <w:ind w:left="544" w:hanging="544"/>
        <w:spacing w:after="0"/>
        <w:tabs>
          <w:tab w:leader="none" w:pos="54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121" w:lineRule="exact"/>
        <w:rPr>
          <w:rFonts w:ascii="Times New Roman" w:cs="Times New Roman" w:eastAsia="Times New Roman" w:hAnsi="Times New Roman"/>
          <w:sz w:val="18"/>
          <w:szCs w:val="18"/>
          <w:b w:val="1"/>
          <w:bCs w:val="1"/>
          <w:color w:val="auto"/>
        </w:rPr>
      </w:pPr>
    </w:p>
    <w:p>
      <w:pPr>
        <w:ind w:left="544"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acting as advisers as to English law to Noble Corporation plc, a public limited company incorporated under the laws of England and Wales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We understand that the Company intends to file, on or around the date hereof, a Registration Statement on Form S-3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 the Securities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relating to the offer and resale, from time to time, of up to the number of A ordinary shares, par value $0.00001 per share, of the Company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set forth in the Registration Statement comprising (a) issued Ordinary Shares held by one or more selling shareholders party to registration rights agreements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(b) Ordinary Shares issuable upon exercise of the warrants constituted by the Tranche 1 Warrant Agreement and the Tranche 2 Warrant Agreement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We have been asked to provide an opinion on certain matters, as set out below, in connection with the filing of the Registration Statement.</w:t>
      </w:r>
    </w:p>
    <w:p>
      <w:pPr>
        <w:spacing w:after="0" w:line="214"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REVIEWED</w:t>
      </w:r>
    </w:p>
    <w:p>
      <w:pPr>
        <w:spacing w:after="0" w:line="121" w:lineRule="exact"/>
        <w:rPr>
          <w:rFonts w:ascii="Times New Roman" w:cs="Times New Roman" w:eastAsia="Times New Roman" w:hAnsi="Times New Roman"/>
          <w:sz w:val="18"/>
          <w:szCs w:val="18"/>
          <w:b w:val="1"/>
          <w:bCs w:val="1"/>
          <w:color w:val="auto"/>
        </w:rPr>
      </w:pPr>
    </w:p>
    <w:p>
      <w:pPr>
        <w:ind w:left="544"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examined the documents listed in Appendix 3 to this opinion. Terms defined in the Appendices have the same meaning where used in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 w:right="200"/>
        <w:spacing w:after="0" w:line="261" w:lineRule="auto"/>
        <w:rPr>
          <w:sz w:val="20"/>
          <w:szCs w:val="20"/>
          <w:color w:val="auto"/>
        </w:rPr>
      </w:pPr>
      <w:r>
        <w:rPr>
          <w:rFonts w:ascii="Times New Roman" w:cs="Times New Roman" w:eastAsia="Times New Roman" w:hAnsi="Times New Roman"/>
          <w:sz w:val="14"/>
          <w:szCs w:val="14"/>
          <w:color w:val="auto"/>
        </w:rPr>
        <w:t>Travers Smith LLP is a limited liability partnership registered in England and Wales under number OC 336962 and is authorised and regulated by the Solicitors Regulation Authority (SRA number 489478). A list of the members of Travers Smith LLP is open to inspection at our registered office and principal place of business: 10 Snow Hill London EC1A 2AL</w:t>
      </w:r>
    </w:p>
    <w:p>
      <w:pPr>
        <w:sectPr>
          <w:pgSz w:w="11900" w:h="16838" w:orient="portrait"/>
          <w:cols w:equalWidth="0" w:num="1">
            <w:col w:w="11024"/>
          </w:cols>
          <w:pgMar w:left="436" w:top="117" w:right="439" w:bottom="1440" w:gutter="0" w:footer="0" w:header="0"/>
        </w:sectPr>
      </w:pPr>
    </w:p>
    <w:bookmarkStart w:id="99" w:name="page100"/>
    <w:bookmarkEnd w:id="99"/>
    <w:p>
      <w:pPr>
        <w:ind w:left="958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30 September, 2022</w:t>
      </w:r>
    </w:p>
    <w:p>
      <w:pPr>
        <w:spacing w:after="0" w:line="165" w:lineRule="exact"/>
        <w:rPr>
          <w:sz w:val="20"/>
          <w:szCs w:val="20"/>
          <w:color w:val="auto"/>
        </w:rPr>
      </w:pPr>
    </w:p>
    <w:p>
      <w:pPr>
        <w:ind w:left="544" w:hanging="544"/>
        <w:spacing w:after="0"/>
        <w:tabs>
          <w:tab w:leader="none" w:pos="544"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OPINION AND OBSERVATIONS</w:t>
      </w:r>
    </w:p>
    <w:p>
      <w:pPr>
        <w:spacing w:after="0" w:line="131" w:lineRule="exact"/>
        <w:rPr>
          <w:sz w:val="20"/>
          <w:szCs w:val="20"/>
          <w:color w:val="auto"/>
        </w:rPr>
      </w:pPr>
    </w:p>
    <w:p>
      <w:pPr>
        <w:ind w:left="544" w:right="2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color w:val="auto"/>
        </w:rPr>
        <w:t>This opinion is confined to matters of English law (including case law) as at the date of this opinion. We express no opinion with regard to any system of law other than the laws of England as currently applied by the English courts. In particular:</w:t>
      </w:r>
    </w:p>
    <w:p>
      <w:pPr>
        <w:spacing w:after="0" w:line="67" w:lineRule="exact"/>
        <w:rPr>
          <w:sz w:val="20"/>
          <w:szCs w:val="20"/>
          <w:color w:val="auto"/>
        </w:rPr>
      </w:pPr>
    </w:p>
    <w:p>
      <w:pPr>
        <w:ind w:left="1184" w:right="6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b w:val="1"/>
          <w:bCs w:val="1"/>
          <w:color w:val="auto"/>
        </w:rPr>
        <w:t>3.1.1</w:t>
      </w:r>
      <w:r>
        <w:rPr>
          <w:sz w:val="20"/>
          <w:szCs w:val="20"/>
          <w:color w:val="auto"/>
        </w:rPr>
        <w:tab/>
      </w:r>
      <w:r>
        <w:rPr>
          <w:rFonts w:ascii="Times New Roman" w:cs="Times New Roman" w:eastAsia="Times New Roman" w:hAnsi="Times New Roman"/>
          <w:sz w:val="18"/>
          <w:szCs w:val="18"/>
          <w:color w:val="auto"/>
        </w:rPr>
        <w:t>by giving this opinion, we do not assume any obligation to notify you of future changes in law which may affect the opinions expressed in this opinion, or otherwise to update this opinion in any respect;</w:t>
      </w:r>
    </w:p>
    <w:p>
      <w:pPr>
        <w:spacing w:after="0" w:line="67" w:lineRule="exact"/>
        <w:rPr>
          <w:sz w:val="20"/>
          <w:szCs w:val="20"/>
          <w:color w:val="auto"/>
        </w:rPr>
      </w:pPr>
    </w:p>
    <w:p>
      <w:pPr>
        <w:ind w:left="1184" w:right="40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b w:val="1"/>
          <w:bCs w:val="1"/>
          <w:color w:val="auto"/>
        </w:rPr>
        <w:t>3.1.2</w:t>
      </w:r>
      <w:r>
        <w:rPr>
          <w:sz w:val="20"/>
          <w:szCs w:val="20"/>
          <w:color w:val="auto"/>
        </w:rPr>
        <w:tab/>
      </w:r>
      <w:r>
        <w:rPr>
          <w:rFonts w:ascii="Times New Roman" w:cs="Times New Roman" w:eastAsia="Times New Roman" w:hAnsi="Times New Roman"/>
          <w:sz w:val="18"/>
          <w:szCs w:val="18"/>
          <w:color w:val="auto"/>
        </w:rPr>
        <w:t>to the extent that the laws of any other jurisdiction may be relevant, our opinion is subject to the effect of such laws. We express no views in this opinion on the validity of the matters set out in any opinion given in relation to such laws;</w:t>
      </w:r>
    </w:p>
    <w:p>
      <w:pPr>
        <w:spacing w:after="0" w:line="67" w:lineRule="exact"/>
        <w:rPr>
          <w:sz w:val="20"/>
          <w:szCs w:val="20"/>
          <w:color w:val="auto"/>
        </w:rPr>
      </w:pPr>
    </w:p>
    <w:p>
      <w:pPr>
        <w:ind w:left="1184" w:right="28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b w:val="1"/>
          <w:bCs w:val="1"/>
          <w:color w:val="auto"/>
        </w:rPr>
        <w:t>3.1.3</w:t>
      </w:r>
      <w:r>
        <w:rPr>
          <w:sz w:val="20"/>
          <w:szCs w:val="20"/>
          <w:color w:val="auto"/>
        </w:rPr>
        <w:tab/>
      </w:r>
      <w:r>
        <w:rPr>
          <w:rFonts w:ascii="Times New Roman" w:cs="Times New Roman" w:eastAsia="Times New Roman" w:hAnsi="Times New Roman"/>
          <w:sz w:val="18"/>
          <w:szCs w:val="18"/>
          <w:color w:val="auto"/>
        </w:rPr>
        <w:t>we have not been responsible for verifying whether statements of fact (including foreign law), opinion or intention in any documents referred to in this opinion or in any related documents are accurate, complete or reasonable; and</w:t>
      </w:r>
    </w:p>
    <w:p>
      <w:pPr>
        <w:spacing w:after="0" w:line="67" w:lineRule="exact"/>
        <w:rPr>
          <w:sz w:val="20"/>
          <w:szCs w:val="20"/>
          <w:color w:val="auto"/>
        </w:rPr>
      </w:pPr>
    </w:p>
    <w:p>
      <w:pPr>
        <w:ind w:left="1184" w:right="80" w:hanging="647"/>
        <w:spacing w:after="0" w:line="261" w:lineRule="auto"/>
        <w:tabs>
          <w:tab w:leader="none" w:pos="1164" w:val="left"/>
        </w:tabs>
        <w:rPr>
          <w:sz w:val="20"/>
          <w:szCs w:val="20"/>
          <w:color w:val="auto"/>
        </w:rPr>
      </w:pPr>
      <w:r>
        <w:rPr>
          <w:rFonts w:ascii="Times New Roman" w:cs="Times New Roman" w:eastAsia="Times New Roman" w:hAnsi="Times New Roman"/>
          <w:sz w:val="18"/>
          <w:szCs w:val="18"/>
          <w:b w:val="1"/>
          <w:bCs w:val="1"/>
          <w:color w:val="auto"/>
        </w:rPr>
        <w:t>3.1.4</w:t>
      </w:r>
      <w:r>
        <w:rPr>
          <w:sz w:val="20"/>
          <w:szCs w:val="20"/>
          <w:color w:val="auto"/>
        </w:rPr>
        <w:tab/>
      </w:r>
      <w:r>
        <w:rPr>
          <w:rFonts w:ascii="Times New Roman" w:cs="Times New Roman" w:eastAsia="Times New Roman" w:hAnsi="Times New Roman"/>
          <w:sz w:val="18"/>
          <w:szCs w:val="18"/>
          <w:color w:val="auto"/>
        </w:rPr>
        <w:t>the term “non-assessable” has no recognised meaning in English law but for the purposes herein the term means that, under the Companies Act 2006 (as amended) and the Articles, no holder of the Shares or Warrant Shares is liable, solely because of such holder’s status as a holder of the Shares or Warrant Shares, for additional payments or calls on the Shares or Warrant Shares (as applicable) to or by the Company or its creditors.</w:t>
      </w:r>
    </w:p>
    <w:p>
      <w:pPr>
        <w:spacing w:after="0" w:line="85" w:lineRule="exact"/>
        <w:rPr>
          <w:sz w:val="20"/>
          <w:szCs w:val="20"/>
          <w:color w:val="auto"/>
        </w:rPr>
      </w:pPr>
    </w:p>
    <w:p>
      <w:pPr>
        <w:ind w:left="544" w:hanging="544"/>
        <w:spacing w:after="0"/>
        <w:tabs>
          <w:tab w:leader="none" w:pos="544"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121" w:lineRule="exact"/>
        <w:rPr>
          <w:rFonts w:ascii="Times New Roman" w:cs="Times New Roman" w:eastAsia="Times New Roman" w:hAnsi="Times New Roman"/>
          <w:sz w:val="18"/>
          <w:szCs w:val="18"/>
          <w:b w:val="1"/>
          <w:bCs w:val="1"/>
          <w:color w:val="auto"/>
        </w:rPr>
      </w:pPr>
    </w:p>
    <w:p>
      <w:pPr>
        <w:ind w:left="544"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the basis stated in paragraph 3, and subject to the assumptions in Appendix 1 and the qualifications in Appendix 2, we are of the opinion that the Shares are validly issued, fully paid and non-assessable, and, when issued in accordance with the terms of the Warrants and the applicable Warrant Agreements, the Warrant Shares will be validly issued, fully paid and non-assessable, when all of (i) the Registration Statement shall have become effective under the Securities Act; and (ii) valid entries in the books and registers of the Company have been made.</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1024"/>
          </w:cols>
          <w:pgMar w:left="436" w:top="270" w:right="439" w:bottom="1440" w:gutter="0" w:footer="0" w:header="0"/>
        </w:sectPr>
      </w:pPr>
    </w:p>
    <w:bookmarkStart w:id="100" w:name="page101"/>
    <w:bookmarkEnd w:id="100"/>
    <w:p>
      <w:pPr>
        <w:ind w:left="958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30 September, 2022</w:t>
      </w:r>
    </w:p>
    <w:p>
      <w:pPr>
        <w:spacing w:after="0" w:line="165" w:lineRule="exact"/>
        <w:rPr>
          <w:sz w:val="20"/>
          <w:szCs w:val="20"/>
          <w:color w:val="auto"/>
        </w:rPr>
      </w:pPr>
    </w:p>
    <w:p>
      <w:pPr>
        <w:ind w:left="544" w:hanging="544"/>
        <w:spacing w:after="0"/>
        <w:tabs>
          <w:tab w:leader="none" w:pos="544"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CONSENT TO FILING</w:t>
      </w:r>
    </w:p>
    <w:p>
      <w:pPr>
        <w:spacing w:after="0" w:line="121" w:lineRule="exact"/>
        <w:rPr>
          <w:rFonts w:ascii="Times New Roman" w:cs="Times New Roman" w:eastAsia="Times New Roman" w:hAnsi="Times New Roman"/>
          <w:sz w:val="18"/>
          <w:szCs w:val="18"/>
          <w:b w:val="1"/>
          <w:bCs w:val="1"/>
          <w:color w:val="auto"/>
        </w:rPr>
      </w:pPr>
    </w:p>
    <w:p>
      <w:pPr>
        <w:ind w:left="544"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hereby consent to the filing of this opinion letter as Exhibit 5.1 to the Registration Statement and to all references to our firm included in or made a part of the Registration Statement. In giving such consent, we do not thereby admit that we are in the category of persons whose consent is required under Section 7 of the Securities Act, or the rules or regulations of the SEC promulgated thereunder.</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Yours faithfully</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Travers Smith LLP</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Travers Smith LLP</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p>
      <w:pPr>
        <w:sectPr>
          <w:pgSz w:w="11900" w:h="16838" w:orient="portrait"/>
          <w:cols w:equalWidth="0" w:num="1">
            <w:col w:w="11024"/>
          </w:cols>
          <w:pgMar w:left="436" w:top="270" w:right="439" w:bottom="1440" w:gutter="0" w:footer="0" w:header="0"/>
        </w:sectPr>
      </w:pPr>
    </w:p>
    <w:bookmarkStart w:id="101" w:name="page102"/>
    <w:bookmarkEnd w:id="101"/>
    <w:p>
      <w:pPr>
        <w:ind w:left="958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30 September, 2022</w:t>
      </w:r>
    </w:p>
    <w:p>
      <w:pPr>
        <w:spacing w:after="0" w:line="16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APPENDIX 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considering the documents listed in Appendix 3 and in rendering this opinion, we have (with your consent and without any further enquiry) assumed:</w:t>
      </w:r>
    </w:p>
    <w:p>
      <w:pPr>
        <w:spacing w:after="0" w:line="127" w:lineRule="exact"/>
        <w:rPr>
          <w:sz w:val="20"/>
          <w:szCs w:val="20"/>
          <w:color w:val="auto"/>
        </w:rPr>
      </w:pPr>
    </w:p>
    <w:p>
      <w:pPr>
        <w:ind w:left="424" w:right="200" w:hanging="424"/>
        <w:spacing w:after="0" w:line="286" w:lineRule="auto"/>
        <w:tabs>
          <w:tab w:leader="none" w:pos="424"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Powers and Duties</w:t>
      </w:r>
      <w:r>
        <w:rPr>
          <w:rFonts w:ascii="Times New Roman" w:cs="Times New Roman" w:eastAsia="Times New Roman" w:hAnsi="Times New Roman"/>
          <w:sz w:val="18"/>
          <w:szCs w:val="18"/>
          <w:color w:val="auto"/>
        </w:rPr>
        <w:t>: the Directors of the Company, when authorising the allotment of the Ordinary Shares, exercised their powers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their duties under English law and the articles of association of the Company at the relevant time;</w:t>
      </w:r>
    </w:p>
    <w:p>
      <w:pPr>
        <w:spacing w:after="0" w:line="6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Adoption of Articles</w:t>
      </w:r>
      <w:r>
        <w:rPr>
          <w:rFonts w:ascii="Times New Roman" w:cs="Times New Roman" w:eastAsia="Times New Roman" w:hAnsi="Times New Roman"/>
          <w:sz w:val="18"/>
          <w:szCs w:val="18"/>
          <w:color w:val="auto"/>
        </w:rPr>
        <w:t>: the Articles have been validly and lawfully adopted prior to the Ordinary Shares being allotted;</w:t>
      </w:r>
    </w:p>
    <w:p>
      <w:pPr>
        <w:spacing w:after="0" w:line="130" w:lineRule="exact"/>
        <w:rPr>
          <w:rFonts w:ascii="Times New Roman" w:cs="Times New Roman" w:eastAsia="Times New Roman" w:hAnsi="Times New Roman"/>
          <w:sz w:val="18"/>
          <w:szCs w:val="18"/>
          <w:b w:val="1"/>
          <w:bCs w:val="1"/>
          <w:color w:val="auto"/>
        </w:rPr>
      </w:pPr>
    </w:p>
    <w:p>
      <w:pPr>
        <w:ind w:left="424" w:right="140" w:hanging="424"/>
        <w:spacing w:after="0" w:line="286" w:lineRule="auto"/>
        <w:tabs>
          <w:tab w:leader="none" w:pos="424"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 approval</w:t>
      </w:r>
      <w:r>
        <w:rPr>
          <w:rFonts w:ascii="Times New Roman" w:cs="Times New Roman" w:eastAsia="Times New Roman" w:hAnsi="Times New Roman"/>
          <w:sz w:val="18"/>
          <w:szCs w:val="18"/>
          <w:color w:val="auto"/>
        </w:rPr>
        <w:t>: to the extent required by law, the shareholder(s) of the Company passed, by the requisite majority, an ordinary resolution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authorising the Directors of the Company to allot the Ordinary Shares;</w:t>
      </w:r>
    </w:p>
    <w:p>
      <w:pPr>
        <w:spacing w:after="0" w:line="60" w:lineRule="exact"/>
        <w:rPr>
          <w:rFonts w:ascii="Times New Roman" w:cs="Times New Roman" w:eastAsia="Times New Roman" w:hAnsi="Times New Roman"/>
          <w:sz w:val="18"/>
          <w:szCs w:val="18"/>
          <w:b w:val="1"/>
          <w:bCs w:val="1"/>
          <w:color w:val="auto"/>
        </w:rPr>
      </w:pPr>
    </w:p>
    <w:p>
      <w:pPr>
        <w:ind w:left="424" w:right="120" w:hanging="424"/>
        <w:spacing w:after="0" w:line="262" w:lineRule="auto"/>
        <w:tabs>
          <w:tab w:leader="none" w:pos="424"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FSMA: </w:t>
      </w:r>
      <w:r>
        <w:rPr>
          <w:rFonts w:ascii="Times New Roman" w:cs="Times New Roman" w:eastAsia="Times New Roman" w:hAnsi="Times New Roman"/>
          <w:sz w:val="18"/>
          <w:szCs w:val="18"/>
          <w:color w:val="auto"/>
        </w:rPr>
        <w:t>(i) no Ordinary Shares, or rights to subscribe for Ordinary Shares, have been or shall be offered to the public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Kingdom in breach of the Financial Services and Markets Act 2000 (“</w:t>
      </w:r>
      <w:r>
        <w:rPr>
          <w:rFonts w:ascii="Times New Roman" w:cs="Times New Roman" w:eastAsia="Times New Roman" w:hAnsi="Times New Roman"/>
          <w:sz w:val="18"/>
          <w:szCs w:val="18"/>
          <w:b w:val="1"/>
          <w:bCs w:val="1"/>
          <w:color w:val="auto"/>
        </w:rPr>
        <w:t>FSMA</w:t>
      </w:r>
      <w:r>
        <w:rPr>
          <w:rFonts w:ascii="Times New Roman" w:cs="Times New Roman" w:eastAsia="Times New Roman" w:hAnsi="Times New Roman"/>
          <w:sz w:val="18"/>
          <w:szCs w:val="18"/>
          <w:color w:val="auto"/>
        </w:rPr>
        <w:t>”) or of any other law or regulation concerning offers to the public, invitations to subscribe for, or to acquire rights to, or otherwise acquire, shares in the United Kingdom; and (ii) in issuing and allotting the Ordinary Shares, the Company is not carrying on a regulated activity for the purposes of section 19 of FSMA;</w:t>
      </w:r>
    </w:p>
    <w:p>
      <w:pPr>
        <w:spacing w:after="0" w:line="81" w:lineRule="exact"/>
        <w:rPr>
          <w:rFonts w:ascii="Times New Roman" w:cs="Times New Roman" w:eastAsia="Times New Roman" w:hAnsi="Times New Roman"/>
          <w:sz w:val="18"/>
          <w:szCs w:val="18"/>
          <w:b w:val="1"/>
          <w:bCs w:val="1"/>
          <w:color w:val="auto"/>
        </w:rPr>
      </w:pPr>
    </w:p>
    <w:p>
      <w:pPr>
        <w:ind w:left="424" w:right="100" w:hanging="424"/>
        <w:spacing w:after="0" w:line="259" w:lineRule="auto"/>
        <w:tabs>
          <w:tab w:leader="none" w:pos="424"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Agreements: </w:t>
      </w:r>
      <w:r>
        <w:rPr>
          <w:rFonts w:ascii="Times New Roman" w:cs="Times New Roman" w:eastAsia="Times New Roman" w:hAnsi="Times New Roman"/>
          <w:sz w:val="18"/>
          <w:szCs w:val="18"/>
          <w:color w:val="auto"/>
        </w:rPr>
        <w:t>to the extent that any of the Ordinary Shares are to be issued under the terms of warrant instruments, the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such warrants shall comply with the procedures set out in such instruments in order to acquire the Ordinary Shares, in particular the due execution of any notices or consents; that the Ordinary Shares have been duly allotted; and the Company complies with such documentation at all times in effecting the issue of the Ordinary Shares and has adopted the prescribed procedures therein to ensure that the Ordinary Shares are paid up at least as to nominal value and (where relevant) as to the amount of any additional exercise price;</w:t>
      </w:r>
    </w:p>
    <w:p>
      <w:pPr>
        <w:spacing w:after="0" w:line="84" w:lineRule="exact"/>
        <w:rPr>
          <w:rFonts w:ascii="Times New Roman" w:cs="Times New Roman" w:eastAsia="Times New Roman" w:hAnsi="Times New Roman"/>
          <w:sz w:val="18"/>
          <w:szCs w:val="18"/>
          <w:b w:val="1"/>
          <w:bCs w:val="1"/>
          <w:color w:val="auto"/>
        </w:rPr>
      </w:pPr>
    </w:p>
    <w:p>
      <w:pPr>
        <w:ind w:left="424" w:right="100" w:hanging="424"/>
        <w:spacing w:after="0" w:line="286" w:lineRule="auto"/>
        <w:tabs>
          <w:tab w:leader="none" w:pos="424"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Authenticity</w:t>
      </w:r>
      <w:r>
        <w:rPr>
          <w:rFonts w:ascii="Times New Roman" w:cs="Times New Roman" w:eastAsia="Times New Roman" w:hAnsi="Times New Roman"/>
          <w:sz w:val="18"/>
          <w:szCs w:val="18"/>
          <w:color w:val="auto"/>
        </w:rPr>
        <w:t>: the genuineness of all signatures, stamps and seals on, and the authenticity, accuracy and completeness of, all documents submitted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us whether as originals or copies (and whether in hard copy or electronic form);</w:t>
      </w:r>
    </w:p>
    <w:p>
      <w:pPr>
        <w:spacing w:after="0" w:line="60" w:lineRule="exact"/>
        <w:rPr>
          <w:rFonts w:ascii="Times New Roman" w:cs="Times New Roman" w:eastAsia="Times New Roman" w:hAnsi="Times New Roman"/>
          <w:sz w:val="18"/>
          <w:szCs w:val="18"/>
          <w:b w:val="1"/>
          <w:bCs w:val="1"/>
          <w:color w:val="auto"/>
        </w:rPr>
      </w:pPr>
    </w:p>
    <w:p>
      <w:pPr>
        <w:ind w:left="424" w:right="240" w:hanging="424"/>
        <w:spacing w:after="0" w:line="286" w:lineRule="auto"/>
        <w:tabs>
          <w:tab w:leader="none" w:pos="424"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Copies</w:t>
      </w:r>
      <w:r>
        <w:rPr>
          <w:rFonts w:ascii="Times New Roman" w:cs="Times New Roman" w:eastAsia="Times New Roman" w:hAnsi="Times New Roman"/>
          <w:sz w:val="18"/>
          <w:szCs w:val="18"/>
          <w:color w:val="auto"/>
        </w:rPr>
        <w:t>: the conformity to originals of all documents supplied to us as photocopies, portable document format (PDF) copies, facsimile copies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e-mail versions;</w:t>
      </w:r>
    </w:p>
    <w:p>
      <w:pPr>
        <w:spacing w:after="0" w:line="60" w:lineRule="exact"/>
        <w:rPr>
          <w:rFonts w:ascii="Times New Roman" w:cs="Times New Roman" w:eastAsia="Times New Roman" w:hAnsi="Times New Roman"/>
          <w:sz w:val="18"/>
          <w:szCs w:val="18"/>
          <w:b w:val="1"/>
          <w:bCs w:val="1"/>
          <w:color w:val="auto"/>
        </w:rPr>
      </w:pPr>
    </w:p>
    <w:p>
      <w:pPr>
        <w:ind w:left="424" w:right="400" w:hanging="424"/>
        <w:spacing w:after="0" w:line="286" w:lineRule="auto"/>
        <w:tabs>
          <w:tab w:leader="none" w:pos="424"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Secretary’s Certificate</w:t>
      </w:r>
      <w:r>
        <w:rPr>
          <w:rFonts w:ascii="Times New Roman" w:cs="Times New Roman" w:eastAsia="Times New Roman" w:hAnsi="Times New Roman"/>
          <w:sz w:val="18"/>
          <w:szCs w:val="18"/>
          <w:color w:val="auto"/>
        </w:rPr>
        <w:t>: that each of the statements contained in a certificate of the Secretary of the Company dated September 30, 2022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is true and correct as at the date of this opinion;</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w:t>
      </w:r>
    </w:p>
    <w:p>
      <w:pPr>
        <w:sectPr>
          <w:pgSz w:w="11900" w:h="16838" w:orient="portrait"/>
          <w:cols w:equalWidth="0" w:num="1">
            <w:col w:w="11024"/>
          </w:cols>
          <w:pgMar w:left="436" w:top="270" w:right="439" w:bottom="1440" w:gutter="0" w:footer="0" w:header="0"/>
        </w:sectPr>
      </w:pPr>
    </w:p>
    <w:bookmarkStart w:id="102" w:name="page103"/>
    <w:bookmarkEnd w:id="102"/>
    <w:p>
      <w:pPr>
        <w:ind w:left="958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30 September, 2022</w:t>
      </w:r>
    </w:p>
    <w:p>
      <w:pPr>
        <w:spacing w:after="0" w:line="165" w:lineRule="exact"/>
        <w:rPr>
          <w:sz w:val="20"/>
          <w:szCs w:val="20"/>
          <w:color w:val="auto"/>
        </w:rPr>
      </w:pPr>
    </w:p>
    <w:p>
      <w:pPr>
        <w:ind w:left="424" w:right="160" w:hanging="424"/>
        <w:spacing w:after="0" w:line="262" w:lineRule="auto"/>
        <w:tabs>
          <w:tab w:leader="none" w:pos="424"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Search</w:t>
      </w:r>
      <w:r>
        <w:rPr>
          <w:rFonts w:ascii="Times New Roman" w:cs="Times New Roman" w:eastAsia="Times New Roman" w:hAnsi="Times New Roman"/>
          <w:sz w:val="18"/>
          <w:szCs w:val="18"/>
          <w:color w:val="auto"/>
        </w:rPr>
        <w:t>: that the information revealed by our search against the Company’s records available for public viewing at Companies House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its website (https://find-andupdate.company-information.service.gov.uk/) made at approximately 10 a.m. on September 29, 2022 (the “</w:t>
      </w:r>
      <w:r>
        <w:rPr>
          <w:rFonts w:ascii="Times New Roman" w:cs="Times New Roman" w:eastAsia="Times New Roman" w:hAnsi="Times New Roman"/>
          <w:sz w:val="18"/>
          <w:szCs w:val="18"/>
          <w:b w:val="1"/>
          <w:bCs w:val="1"/>
          <w:color w:val="auto"/>
        </w:rPr>
        <w:t>Company Search</w:t>
      </w:r>
      <w:r>
        <w:rPr>
          <w:rFonts w:ascii="Times New Roman" w:cs="Times New Roman" w:eastAsia="Times New Roman" w:hAnsi="Times New Roman"/>
          <w:sz w:val="18"/>
          <w:szCs w:val="18"/>
          <w:color w:val="auto"/>
        </w:rPr>
        <w:t>”) (i) was accurate in all respects and has not since the time of such searches been altered, and (ii) was complete and included all relevant information which had been properly submitted to the Registrar of Companies;</w:t>
      </w:r>
    </w:p>
    <w:p>
      <w:pPr>
        <w:spacing w:after="0" w:line="81" w:lineRule="exact"/>
        <w:rPr>
          <w:rFonts w:ascii="Times New Roman" w:cs="Times New Roman" w:eastAsia="Times New Roman" w:hAnsi="Times New Roman"/>
          <w:sz w:val="18"/>
          <w:szCs w:val="18"/>
          <w:b w:val="1"/>
          <w:bCs w:val="1"/>
          <w:color w:val="auto"/>
        </w:rPr>
      </w:pPr>
    </w:p>
    <w:p>
      <w:pPr>
        <w:ind w:left="424" w:right="260" w:hanging="424"/>
        <w:spacing w:after="0" w:line="286" w:lineRule="auto"/>
        <w:tabs>
          <w:tab w:leader="none" w:pos="424"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Winding-up Enquiry</w:t>
      </w:r>
      <w:r>
        <w:rPr>
          <w:rFonts w:ascii="Times New Roman" w:cs="Times New Roman" w:eastAsia="Times New Roman" w:hAnsi="Times New Roman"/>
          <w:sz w:val="18"/>
          <w:szCs w:val="18"/>
          <w:color w:val="auto"/>
        </w:rPr>
        <w:t>: that the information revealed by our enquiry at approximately 10 a.m. on September 29, 2022 of the Central Registry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Winding-up Petitions (the “</w:t>
      </w:r>
      <w:r>
        <w:rPr>
          <w:rFonts w:ascii="Times New Roman" w:cs="Times New Roman" w:eastAsia="Times New Roman" w:hAnsi="Times New Roman"/>
          <w:sz w:val="18"/>
          <w:szCs w:val="18"/>
          <w:b w:val="1"/>
          <w:bCs w:val="1"/>
          <w:color w:val="auto"/>
        </w:rPr>
        <w:t>Winding-up Enquiry</w:t>
      </w:r>
      <w:r>
        <w:rPr>
          <w:rFonts w:ascii="Times New Roman" w:cs="Times New Roman" w:eastAsia="Times New Roman" w:hAnsi="Times New Roman"/>
          <w:sz w:val="18"/>
          <w:szCs w:val="18"/>
          <w:color w:val="auto"/>
        </w:rPr>
        <w:t>”) was accurate in all respects and has not since the time of such enquiry been altered;</w:t>
      </w:r>
    </w:p>
    <w:p>
      <w:pPr>
        <w:spacing w:after="0" w:line="60" w:lineRule="exact"/>
        <w:rPr>
          <w:rFonts w:ascii="Times New Roman" w:cs="Times New Roman" w:eastAsia="Times New Roman" w:hAnsi="Times New Roman"/>
          <w:sz w:val="18"/>
          <w:szCs w:val="18"/>
          <w:b w:val="1"/>
          <w:bCs w:val="1"/>
          <w:color w:val="auto"/>
        </w:rPr>
      </w:pPr>
    </w:p>
    <w:p>
      <w:pPr>
        <w:ind w:left="424" w:right="40" w:hanging="424"/>
        <w:spacing w:after="0" w:line="286" w:lineRule="auto"/>
        <w:tabs>
          <w:tab w:leader="none" w:pos="424"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change in law</w:t>
      </w:r>
      <w:r>
        <w:rPr>
          <w:rFonts w:ascii="Times New Roman" w:cs="Times New Roman" w:eastAsia="Times New Roman" w:hAnsi="Times New Roman"/>
          <w:sz w:val="18"/>
          <w:szCs w:val="18"/>
          <w:color w:val="auto"/>
        </w:rPr>
        <w:t>: there is no change in law or regulation from the date of this opinion that would have the effect of rendering any of our opinions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 void or otherwise incorrect; and</w:t>
      </w:r>
    </w:p>
    <w:p>
      <w:pPr>
        <w:spacing w:after="0" w:line="60" w:lineRule="exact"/>
        <w:rPr>
          <w:rFonts w:ascii="Times New Roman" w:cs="Times New Roman" w:eastAsia="Times New Roman" w:hAnsi="Times New Roman"/>
          <w:sz w:val="18"/>
          <w:szCs w:val="18"/>
          <w:b w:val="1"/>
          <w:bCs w:val="1"/>
          <w:color w:val="auto"/>
        </w:rPr>
      </w:pPr>
    </w:p>
    <w:p>
      <w:pPr>
        <w:ind w:left="424" w:right="420" w:hanging="424"/>
        <w:spacing w:after="0" w:line="286" w:lineRule="auto"/>
        <w:tabs>
          <w:tab w:leader="none" w:pos="424"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Agreements</w:t>
      </w:r>
      <w:r>
        <w:rPr>
          <w:rFonts w:ascii="Times New Roman" w:cs="Times New Roman" w:eastAsia="Times New Roman" w:hAnsi="Times New Roman"/>
          <w:sz w:val="18"/>
          <w:szCs w:val="18"/>
          <w:color w:val="auto"/>
        </w:rPr>
        <w:t>: that the parties to the Tranche 1 Warrant Agreement and the Tranche 2 Warrant Agreement will have duly and validly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such agreements.</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5</w:t>
      </w:r>
    </w:p>
    <w:p>
      <w:pPr>
        <w:sectPr>
          <w:pgSz w:w="11900" w:h="16838" w:orient="portrait"/>
          <w:cols w:equalWidth="0" w:num="1">
            <w:col w:w="11024"/>
          </w:cols>
          <w:pgMar w:left="436" w:top="270" w:right="439" w:bottom="1440" w:gutter="0" w:footer="0" w:header="0"/>
        </w:sectPr>
      </w:pPr>
    </w:p>
    <w:bookmarkStart w:id="103" w:name="page104"/>
    <w:bookmarkEnd w:id="103"/>
    <w:p>
      <w:pPr>
        <w:ind w:left="958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30 September, 2022</w:t>
      </w:r>
    </w:p>
    <w:p>
      <w:pPr>
        <w:spacing w:after="0" w:line="16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APPENDIX 2</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QUALIFICATIONS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Our opinion is subject to the following qualifications:</w:t>
      </w:r>
    </w:p>
    <w:p>
      <w:pPr>
        <w:spacing w:after="0" w:line="127" w:lineRule="exact"/>
        <w:rPr>
          <w:sz w:val="20"/>
          <w:szCs w:val="20"/>
          <w:color w:val="auto"/>
        </w:rPr>
      </w:pPr>
    </w:p>
    <w:p>
      <w:pPr>
        <w:ind w:left="544" w:hanging="544"/>
        <w:spacing w:after="0"/>
        <w:tabs>
          <w:tab w:leader="none" w:pos="544"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Search</w:t>
      </w:r>
      <w:r>
        <w:rPr>
          <w:rFonts w:ascii="Times New Roman" w:cs="Times New Roman" w:eastAsia="Times New Roman" w:hAnsi="Times New Roman"/>
          <w:sz w:val="18"/>
          <w:szCs w:val="18"/>
          <w:color w:val="auto"/>
        </w:rPr>
        <w:t>: the Company Search is not capable of revealing conclusively whether or not:</w:t>
      </w:r>
    </w:p>
    <w:p>
      <w:pPr>
        <w:spacing w:after="0" w:line="130"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7"/>
          <w:szCs w:val="17"/>
          <w:color w:val="auto"/>
        </w:rPr>
        <w:t>a winding-up order has been made or a resolution passed for the winding up of a company; or</w:t>
      </w:r>
    </w:p>
    <w:p>
      <w:pPr>
        <w:spacing w:after="0" w:line="130"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an administration order has been made; or</w:t>
      </w:r>
    </w:p>
    <w:p>
      <w:pPr>
        <w:spacing w:after="0" w:line="130"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7"/>
          <w:szCs w:val="17"/>
          <w:color w:val="auto"/>
        </w:rPr>
        <w:t>a receiver, administrative receiver, administrator or liquidator has been appointed; or</w:t>
      </w:r>
    </w:p>
    <w:p>
      <w:pPr>
        <w:spacing w:after="0" w:line="130"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a court order has been made under the Cross Border Insolvency Regulations 2006,</w:t>
      </w:r>
    </w:p>
    <w:p>
      <w:pPr>
        <w:spacing w:after="0" w:line="121" w:lineRule="exact"/>
        <w:rPr>
          <w:rFonts w:ascii="Times New Roman" w:cs="Times New Roman" w:eastAsia="Times New Roman" w:hAnsi="Times New Roman"/>
          <w:sz w:val="18"/>
          <w:szCs w:val="18"/>
          <w:b w:val="1"/>
          <w:bCs w:val="1"/>
          <w:color w:val="auto"/>
        </w:rPr>
      </w:pPr>
    </w:p>
    <w:p>
      <w:pPr>
        <w:ind w:left="544" w:right="2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since notice of these matters may not be filed with the Registrar of Companies immediately and, when filed, may not be entered on the public microfiche of the relevant company immediately.</w:t>
      </w:r>
    </w:p>
    <w:p>
      <w:pPr>
        <w:spacing w:after="0" w:line="53" w:lineRule="exact"/>
        <w:rPr>
          <w:rFonts w:ascii="Times New Roman" w:cs="Times New Roman" w:eastAsia="Times New Roman" w:hAnsi="Times New Roman"/>
          <w:sz w:val="18"/>
          <w:szCs w:val="18"/>
          <w:b w:val="1"/>
          <w:bCs w:val="1"/>
          <w:color w:val="auto"/>
        </w:rPr>
      </w:pPr>
    </w:p>
    <w:p>
      <w:pPr>
        <w:ind w:left="544" w:right="36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In addition, the Company Search is not capable of revealing, prior to the making of the relevant order or the appointment of an administrator otherwise taking effect, whether or not a winding-up petition or an application for an administration order has been presented or notice of intention to appoint an administrator under paragraphs 14 or 22 of Schedule B1 to the Insolvency Act 1986 has been filed with the court;</w:t>
      </w:r>
    </w:p>
    <w:p>
      <w:pPr>
        <w:spacing w:after="0" w:line="59" w:lineRule="exact"/>
        <w:rPr>
          <w:rFonts w:ascii="Times New Roman" w:cs="Times New Roman" w:eastAsia="Times New Roman" w:hAnsi="Times New Roman"/>
          <w:sz w:val="18"/>
          <w:szCs w:val="18"/>
          <w:b w:val="1"/>
          <w:bCs w:val="1"/>
          <w:color w:val="auto"/>
        </w:rPr>
      </w:pPr>
    </w:p>
    <w:p>
      <w:pPr>
        <w:ind w:left="544" w:right="100" w:hanging="544"/>
        <w:spacing w:after="0" w:line="257" w:lineRule="auto"/>
        <w:tabs>
          <w:tab w:leader="none" w:pos="544"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Winding-up Enquiry</w:t>
      </w:r>
      <w:r>
        <w:rPr>
          <w:rFonts w:ascii="Times New Roman" w:cs="Times New Roman" w:eastAsia="Times New Roman" w:hAnsi="Times New Roman"/>
          <w:sz w:val="18"/>
          <w:szCs w:val="18"/>
          <w:color w:val="auto"/>
        </w:rPr>
        <w:t>: the Winding-up Enquiry relates only to the presentation of (i) a petition for the making of a winding-up order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making of a winding-up order by the Court, (ii) an application to the High Court of Justice in London for the making of an administration order and the making by such court of an administration order, and (iii) a notice of intention to appoint an administrator or a notice of appointment of an administrator filed at the High Court of Justice in London. It is not capable of revealing conclusively whether or not such a winding-up petition, application for an administration order, notice of intention or notice of appointment has been presented or winding-up or administration order granted, because:</w:t>
      </w:r>
    </w:p>
    <w:p>
      <w:pPr>
        <w:spacing w:after="0" w:line="87" w:lineRule="exact"/>
        <w:rPr>
          <w:rFonts w:ascii="Times New Roman" w:cs="Times New Roman" w:eastAsia="Times New Roman" w:hAnsi="Times New Roman"/>
          <w:sz w:val="18"/>
          <w:szCs w:val="18"/>
          <w:b w:val="1"/>
          <w:bCs w:val="1"/>
          <w:color w:val="auto"/>
        </w:rPr>
      </w:pPr>
    </w:p>
    <w:p>
      <w:pPr>
        <w:ind w:left="1184" w:right="48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8"/>
          <w:szCs w:val="18"/>
          <w:color w:val="auto"/>
        </w:rPr>
        <w:t>details of a winding-up petition or application for an administration order may not have been entered on the records of the Central Registry of Winding-up Petitions immediately;</w:t>
      </w:r>
    </w:p>
    <w:p>
      <w:pPr>
        <w:spacing w:after="0" w:line="67" w:lineRule="exact"/>
        <w:rPr>
          <w:rFonts w:ascii="Times New Roman" w:cs="Times New Roman" w:eastAsia="Times New Roman" w:hAnsi="Times New Roman"/>
          <w:sz w:val="18"/>
          <w:szCs w:val="18"/>
          <w:b w:val="1"/>
          <w:bCs w:val="1"/>
          <w:color w:val="auto"/>
        </w:rPr>
      </w:pPr>
    </w:p>
    <w:p>
      <w:pPr>
        <w:ind w:left="1184" w:right="2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2.2</w:t>
      </w:r>
      <w:r>
        <w:rPr>
          <w:rFonts w:ascii="Times New Roman" w:cs="Times New Roman" w:eastAsia="Times New Roman" w:hAnsi="Times New Roman"/>
          <w:sz w:val="18"/>
          <w:szCs w:val="18"/>
          <w:color w:val="auto"/>
        </w:rPr>
        <w:t>in the case of an application for the making of an administration order and such order and the presentation of a notice of intention to appoint or notice of appointment, if such application is made to, order made by or notice filed with, a Court other than the High Court of Justice in London, no record of such application, order or notice will be kept by the Central Registry of Winding-up Petitions;</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6</w:t>
      </w:r>
    </w:p>
    <w:p>
      <w:pPr>
        <w:sectPr>
          <w:pgSz w:w="11900" w:h="16838" w:orient="portrait"/>
          <w:cols w:equalWidth="0" w:num="1">
            <w:col w:w="11024"/>
          </w:cols>
          <w:pgMar w:left="436" w:top="270" w:right="439" w:bottom="1440" w:gutter="0" w:footer="0" w:header="0"/>
        </w:sectPr>
      </w:pPr>
    </w:p>
    <w:bookmarkStart w:id="104" w:name="page105"/>
    <w:bookmarkEnd w:id="104"/>
    <w:p>
      <w:pPr>
        <w:ind w:left="958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30 September, 2022</w:t>
      </w:r>
    </w:p>
    <w:p>
      <w:pPr>
        <w:spacing w:after="0" w:line="165" w:lineRule="exact"/>
        <w:rPr>
          <w:sz w:val="20"/>
          <w:szCs w:val="20"/>
          <w:color w:val="auto"/>
        </w:rPr>
      </w:pPr>
    </w:p>
    <w:p>
      <w:pPr>
        <w:ind w:left="1184" w:right="22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color w:val="auto"/>
        </w:rPr>
        <w:t>a winding-up order or administration order may be made before the relevant petition or application has been entered on the records of the Central Registry immediately;</w:t>
      </w:r>
    </w:p>
    <w:p>
      <w:pPr>
        <w:spacing w:after="0" w:line="67" w:lineRule="exact"/>
        <w:rPr>
          <w:sz w:val="20"/>
          <w:szCs w:val="20"/>
          <w:color w:val="auto"/>
        </w:rPr>
      </w:pPr>
    </w:p>
    <w:p>
      <w:pPr>
        <w:ind w:left="1184" w:right="100"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color w:val="auto"/>
        </w:rPr>
        <w:t>details of a notice of intention to appoint an administrator or a notice of appointment of an administrator under paragraphs 14 and 22 of Schedule B1 of the Insolvency Act 1986 may not be entered on the records immediately (or, in the case of a notice of intention to appoint, at all); and</w:t>
      </w:r>
    </w:p>
    <w:p>
      <w:pPr>
        <w:spacing w:after="0" w:line="81" w:lineRule="exact"/>
        <w:rPr>
          <w:sz w:val="20"/>
          <w:szCs w:val="20"/>
          <w:color w:val="auto"/>
        </w:rPr>
      </w:pPr>
    </w:p>
    <w:p>
      <w:pPr>
        <w:ind w:left="1184" w:right="16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color w:val="auto"/>
        </w:rPr>
        <w:t>with regard to winding-up petitions, the Central Registry of Winding-up Petitions may not have records of winding-up petitions issued prior to 1994.</w:t>
      </w:r>
    </w:p>
    <w:p>
      <w:pPr>
        <w:spacing w:after="0" w:line="71" w:lineRule="exact"/>
        <w:rPr>
          <w:sz w:val="20"/>
          <w:szCs w:val="20"/>
          <w:color w:val="auto"/>
        </w:rPr>
      </w:pPr>
    </w:p>
    <w:p>
      <w:pPr>
        <w:ind w:left="544" w:hanging="544"/>
        <w:spacing w:after="0"/>
        <w:tabs>
          <w:tab w:leader="none" w:pos="544"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express no opinion on any appraisal rights that may arise as a matter of the laws of any other country.</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7</w:t>
      </w:r>
    </w:p>
    <w:p>
      <w:pPr>
        <w:sectPr>
          <w:pgSz w:w="11900" w:h="16838" w:orient="portrait"/>
          <w:cols w:equalWidth="0" w:num="1">
            <w:col w:w="11024"/>
          </w:cols>
          <w:pgMar w:left="436" w:top="270" w:right="439" w:bottom="1440" w:gutter="0" w:footer="0" w:header="0"/>
        </w:sectPr>
      </w:pPr>
    </w:p>
    <w:bookmarkStart w:id="105" w:name="page106"/>
    <w:bookmarkEnd w:id="105"/>
    <w:p>
      <w:pPr>
        <w:ind w:left="958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30 September, 2022</w:t>
      </w:r>
    </w:p>
    <w:p>
      <w:pPr>
        <w:spacing w:after="0" w:line="16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APPENDIX 3</w:t>
      </w:r>
    </w:p>
    <w:p>
      <w:pPr>
        <w:spacing w:after="0" w:line="256" w:lineRule="exact"/>
        <w:rPr>
          <w:sz w:val="20"/>
          <w:szCs w:val="20"/>
          <w:color w:val="auto"/>
        </w:rPr>
      </w:pPr>
    </w:p>
    <w:p>
      <w:pPr>
        <w:ind w:left="544" w:right="240" w:hanging="544"/>
        <w:spacing w:after="0" w:line="282" w:lineRule="auto"/>
        <w:tabs>
          <w:tab w:leader="none" w:pos="544"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copy of the business combination agreement among the Company, Noble Corporation, a Cayman Islands exempted company with registered number 368504, Noble Newco Sub Limited and The Drilling Company of 1972 A/S, dated November 10, 2021;</w:t>
      </w:r>
    </w:p>
    <w:p>
      <w:pPr>
        <w:spacing w:after="0" w:line="67" w:lineRule="exact"/>
        <w:rPr>
          <w:rFonts w:ascii="Times New Roman" w:cs="Times New Roman" w:eastAsia="Times New Roman" w:hAnsi="Times New Roman"/>
          <w:sz w:val="18"/>
          <w:szCs w:val="18"/>
          <w:b w:val="1"/>
          <w:bCs w:val="1"/>
          <w:color w:val="auto"/>
        </w:rPr>
      </w:pPr>
    </w:p>
    <w:p>
      <w:pPr>
        <w:ind w:left="544" w:right="20" w:hanging="544"/>
        <w:spacing w:after="0" w:line="261" w:lineRule="auto"/>
        <w:tabs>
          <w:tab w:leader="none" w:pos="544"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copies of (i) the Tranche 1 Warrant Agreement to be entered into by and among the Company, Computershare Inc. and Computershare Trust Company, N.A., dated September 30, 2022 (the “</w:t>
      </w:r>
      <w:r>
        <w:rPr>
          <w:rFonts w:ascii="Times New Roman" w:cs="Times New Roman" w:eastAsia="Times New Roman" w:hAnsi="Times New Roman"/>
          <w:sz w:val="18"/>
          <w:szCs w:val="18"/>
          <w:b w:val="1"/>
          <w:bCs w:val="1"/>
          <w:color w:val="auto"/>
        </w:rPr>
        <w:t>Tranche 1 Warrant Agreement</w:t>
      </w:r>
      <w:r>
        <w:rPr>
          <w:rFonts w:ascii="Times New Roman" w:cs="Times New Roman" w:eastAsia="Times New Roman" w:hAnsi="Times New Roman"/>
          <w:sz w:val="18"/>
          <w:szCs w:val="18"/>
          <w:color w:val="auto"/>
        </w:rPr>
        <w:t>”); and (ii) the Tranche 2 Warrant Agreement to be entered into by and among the Company, Computershare Inc. and Computershare Trust Company, N.A., dated September 30, 2022 (the “</w:t>
      </w:r>
      <w:r>
        <w:rPr>
          <w:rFonts w:ascii="Times New Roman" w:cs="Times New Roman" w:eastAsia="Times New Roman" w:hAnsi="Times New Roman"/>
          <w:sz w:val="18"/>
          <w:szCs w:val="18"/>
          <w:b w:val="1"/>
          <w:bCs w:val="1"/>
          <w:color w:val="auto"/>
        </w:rPr>
        <w:t>Tranche 2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 together with the Tranche 1 Warrant Agreement, the “</w:t>
      </w:r>
      <w:r>
        <w:rPr>
          <w:rFonts w:ascii="Times New Roman" w:cs="Times New Roman" w:eastAsia="Times New Roman" w:hAnsi="Times New Roman"/>
          <w:sz w:val="18"/>
          <w:szCs w:val="18"/>
          <w:b w:val="1"/>
          <w:bCs w:val="1"/>
          <w:color w:val="auto"/>
        </w:rPr>
        <w:t>Warrant Agreements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amended and restated articles of association of the Company adopted on May 5, 2022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copy of the draft Registration Statement dated September 30, 2022; and</w:t>
      </w:r>
    </w:p>
    <w:p>
      <w:pPr>
        <w:spacing w:after="0" w:line="130"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Certificate.</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8</w:t>
      </w:r>
    </w:p>
    <w:p>
      <w:pPr>
        <w:sectPr>
          <w:pgSz w:w="11900" w:h="16838" w:orient="portrait"/>
          <w:cols w:equalWidth="0" w:num="1">
            <w:col w:w="11024"/>
          </w:cols>
          <w:pgMar w:left="436" w:top="270" w:right="4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Guarantor Subsidiaries and Affiliate Securities Pledged as Collateral</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of the date of the registration statement of which this Exhibit 22.1 is a part, the 11%/ 13%/ 15% Senior Secured PIK Toggle Notes due 2028 (the “Notes”) issued by Noble Finance Company, an exempted company incorporated in the Cayman Islands with limited liability (“Finco”), are fully and unconditionally guaranteed by each of the following wholly-owned subsidiaries of Finco (the “Guarantors”).</w:t>
      </w:r>
    </w:p>
    <w:p>
      <w:pPr>
        <w:spacing w:after="0" w:line="176"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Concurrently with the issuance of the Notes, Finco and certain of its subsidiaries entered into pledge, collateral and mortgage agreements. Pursuant to the terms of these agreements, the Notes are secured on a second-priority basis by a pledge of the equity interests of the Guarantors and substantially all of the other direct subsidiaries of Finco and the Guarantors. Unless otherwise indicated, all pledges are 100% of the equity interests of the Guarantors.</w:t>
      </w:r>
    </w:p>
    <w:p>
      <w:pPr>
        <w:spacing w:after="0" w:line="178"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b w:val="1"/>
          <w:bCs w:val="1"/>
          <w:color w:val="auto"/>
        </w:rPr>
        <w:t>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3497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Bully 1 (Switzerland) GmbH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Noble BD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Noble Cayman SCS Holding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Noble Contracting II GmbH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Noble Drilling (Guyana)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Noble Drilling (Norway)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Noble Drilling (TVL)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Noble Drilling (U.S.)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Noble Drilling Doha LLC (49% of equity pledged)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Noble Drilling International GmbH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Noble Drilling Services LLC (fka Noble Drilling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Noble DT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Noble International Finance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Noble Leasing (Switzerland) GmbH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Noble Leasing III (Switzerland) GmbH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Noble NDUS UK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Noble Resources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Noble Rig Holding 2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Noble Rig Holding I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Noble SA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Noble Services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Noble Services International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Pacific Drilling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Pacific Santa Ana Limited</w:t>
      </w:r>
    </w:p>
    <w:p>
      <w:pPr>
        <w:sectPr>
          <w:pgSz w:w="11900" w:h="16838" w:orient="portrait"/>
          <w:cols w:equalWidth="0" w:num="1">
            <w:col w:w="11020"/>
          </w:cols>
          <w:pgMar w:left="440" w:top="117" w:right="4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Noble Corporation plc of our report dated</w:t>
      </w:r>
    </w:p>
    <w:p>
      <w:pPr>
        <w:spacing w:after="0" w:line="2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February 17, 2022 relating to the financial statements and the effectiveness of internal control over financial reporting of Noble Corporation (Successor), which appears in Noble Corporation’s Annual Report on Form 10-K for the year ended December 31, 2021. We also consent to the reference to us under the heading “Experts” in such Registration Statement.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w:t>
      </w:r>
    </w:p>
    <w:p>
      <w:pPr>
        <w:sectPr>
          <w:pgSz w:w="11900" w:h="16838" w:orient="portrait"/>
          <w:cols w:equalWidth="0" w:num="1">
            <w:col w:w="11020"/>
          </w:cols>
          <w:pgMar w:left="440" w:top="117" w:right="4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Noble Corporation plc of our report dated February 17, 2022 relating to the financial statements of Noble Holding Corporation plc (formerly known as Noble Corporation plc) (Predecessor), which appears in Noble Corporation’s Annual Report on Form 10-K for the year ended December 31, 2021. We also consent to the reference to us under the heading “Experts” in such Registration Statement.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w:t>
      </w:r>
    </w:p>
    <w:p>
      <w:pPr>
        <w:sectPr>
          <w:pgSz w:w="11900" w:h="16838" w:orient="portrait"/>
          <w:cols w:equalWidth="0" w:num="1">
            <w:col w:w="11020"/>
          </w:cols>
          <w:pgMar w:left="440" w:top="117" w:right="4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S-3 of Noble Corporation plc of our report dated April 1, 2021, with respect to the consolidated financial statements of Pacific Drilling Company LLC and its subsidiaries (Successor) and Pacific Drilling S.A. and its subsidiaries (Predecessor) (referred to herein collectively as Pacific Drilling), which report appears in the Form 8-K/A of Noble Corporation dated June 23, 2021, and to the reference to our firm under the heading “Experts” in the prospectus.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w:t>
      </w:r>
    </w:p>
    <w:p>
      <w:pPr>
        <w:sectPr>
          <w:pgSz w:w="11900" w:h="16838" w:orient="portrait"/>
          <w:cols w:equalWidth="0" w:num="1">
            <w:col w:w="11020"/>
          </w:cols>
          <w:pgMar w:left="440" w:top="117" w:right="4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23.4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Noble Corporation plc of our report dated March 9, 2022 relating to the financial statements of The Drilling Company of 1972 A/S, which appears in Noble Corporation plc’s (formerly known as Noble Finco Limited) Registration Statement on Form S-4 dated March 31, 2022. We also consent to the reference to us under the heading “Experts” in such Registration Statement.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Statsautoriseret Revisionspartnerselskab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Copenhagen, Denmark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w:t>
      </w:r>
    </w:p>
    <w:p>
      <w:pPr>
        <w:sectPr>
          <w:pgSz w:w="11900" w:h="16838" w:orient="portrait"/>
          <w:cols w:equalWidth="0" w:num="1">
            <w:col w:w="11020"/>
          </w:cols>
          <w:pgMar w:left="440" w:top="117" w:right="4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S-3ASR</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Noble Corporation plc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374" w:type="dxa"/>
        <w:tblCellMar>
          <w:top w:w="0" w:type="dxa"/>
          <w:left w:w="0" w:type="dxa"/>
          <w:bottom w:w="0" w:type="dxa"/>
          <w:right w:w="0" w:type="dxa"/>
        </w:tblCellMar>
      </w:tblPr>
      <w:tr>
        <w:trPr>
          <w:trHeight w:val="144"/>
        </w:trPr>
        <w:tc>
          <w:tcPr>
            <w:tcW w:w="540" w:type="dxa"/>
            <w:vAlign w:val="bottom"/>
            <w:tcBorders>
              <w:top w:val="single" w:sz="8" w:color="auto"/>
              <w:left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360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Fee</w:t>
            </w:r>
          </w:p>
        </w:tc>
        <w:tc>
          <w:tcPr>
            <w:tcW w:w="1140" w:type="dxa"/>
            <w:vAlign w:val="bottom"/>
            <w:tcBorders>
              <w:top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34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r>
      <w:tr>
        <w:trPr>
          <w:trHeight w:val="135"/>
        </w:trPr>
        <w:tc>
          <w:tcPr>
            <w:tcW w:w="54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36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14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8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r>
      <w:tr>
        <w:trPr>
          <w:trHeight w:val="135"/>
        </w:trPr>
        <w:tc>
          <w:tcPr>
            <w:tcW w:w="54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36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or</w:t>
            </w:r>
          </w:p>
        </w:tc>
        <w:tc>
          <w:tcPr>
            <w:tcW w:w="114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8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r>
      <w:tr>
        <w:trPr>
          <w:trHeight w:val="135"/>
        </w:trPr>
        <w:tc>
          <w:tcPr>
            <w:tcW w:w="54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3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Carry Forward</w:t>
            </w:r>
          </w:p>
        </w:tc>
        <w:tc>
          <w:tcPr>
            <w:tcW w:w="11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Amount</w:t>
            </w: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8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r>
      <w:tr>
        <w:trPr>
          <w:trHeight w:val="179"/>
        </w:trPr>
        <w:tc>
          <w:tcPr>
            <w:tcW w:w="540" w:type="dxa"/>
            <w:vAlign w:val="bottom"/>
            <w:tcBorders>
              <w:left w:val="single" w:sz="8" w:color="auto"/>
              <w:bottom w:val="single" w:sz="8" w:color="auto"/>
              <w:right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Class Title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Per Unit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 Rate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r>
      <w:tr>
        <w:trPr>
          <w:trHeight w:val="202"/>
        </w:trPr>
        <w:tc>
          <w:tcPr>
            <w:tcW w:w="540" w:type="dxa"/>
            <w:vAlign w:val="bottom"/>
            <w:tcBorders>
              <w:left w:val="single" w:sz="8" w:color="auto"/>
              <w:right w:val="single" w:sz="8" w:color="auto"/>
            </w:tcBorders>
          </w:tcPr>
          <w:p>
            <w:pPr>
              <w:jc w:val="center"/>
              <w:ind w:lef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Fees</w:t>
            </w:r>
          </w:p>
        </w:tc>
        <w:tc>
          <w:tcPr>
            <w:tcW w:w="54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r>
      <w:tr>
        <w:trPr>
          <w:trHeight w:val="216"/>
        </w:trPr>
        <w:tc>
          <w:tcPr>
            <w:tcW w:w="54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to</w:t>
            </w:r>
          </w:p>
        </w:tc>
        <w:tc>
          <w:tcPr>
            <w:tcW w:w="54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54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Be</w:t>
            </w:r>
          </w:p>
        </w:tc>
        <w:tc>
          <w:tcPr>
            <w:tcW w:w="54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59"/>
        </w:trPr>
        <w:tc>
          <w:tcPr>
            <w:tcW w:w="5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Paid</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 Ordinary Shares, par value $0.00001 per share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Other (1)</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18,143,769 (2)</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(3)</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$499,860,836 (1)</w:t>
            </w: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0.0000927</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$46,337.10</w:t>
            </w:r>
          </w:p>
        </w:tc>
      </w:tr>
      <w:tr>
        <w:trPr>
          <w:trHeight w:val="241"/>
        </w:trPr>
        <w:tc>
          <w:tcPr>
            <w:tcW w:w="54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center"/>
              <w:ind w:left="1358"/>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82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$499,860,836</w:t>
            </w:r>
          </w:p>
        </w:tc>
        <w:tc>
          <w:tcPr>
            <w:tcW w:w="8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$46,337.10</w:t>
            </w:r>
          </w:p>
        </w:tc>
      </w:tr>
      <w:tr>
        <w:trPr>
          <w:trHeight w:val="237"/>
        </w:trPr>
        <w:tc>
          <w:tcPr>
            <w:tcW w:w="54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center"/>
              <w:ind w:left="1358"/>
              <w:spacing w:after="0"/>
              <w:rPr>
                <w:sz w:val="20"/>
                <w:szCs w:val="20"/>
                <w:color w:val="auto"/>
              </w:rPr>
            </w:pPr>
            <w:r>
              <w:rPr>
                <w:rFonts w:ascii="Times New Roman" w:cs="Times New Roman" w:eastAsia="Times New Roman" w:hAnsi="Times New Roman"/>
                <w:sz w:val="18"/>
                <w:szCs w:val="18"/>
                <w:b w:val="1"/>
                <w:bCs w:val="1"/>
                <w:color w:val="auto"/>
                <w:w w:val="99"/>
              </w:rPr>
              <w:t>Total Fees Previously Paid</w:t>
            </w:r>
          </w:p>
        </w:tc>
        <w:tc>
          <w:tcPr>
            <w:tcW w:w="82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54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center"/>
              <w:ind w:left="1358"/>
              <w:spacing w:after="0"/>
              <w:rPr>
                <w:sz w:val="20"/>
                <w:szCs w:val="20"/>
                <w:color w:val="auto"/>
              </w:rPr>
            </w:pPr>
            <w:r>
              <w:rPr>
                <w:rFonts w:ascii="Times New Roman" w:cs="Times New Roman" w:eastAsia="Times New Roman" w:hAnsi="Times New Roman"/>
                <w:sz w:val="18"/>
                <w:szCs w:val="18"/>
                <w:b w:val="1"/>
                <w:bCs w:val="1"/>
                <w:color w:val="auto"/>
                <w:w w:val="97"/>
              </w:rPr>
              <w:t>Total Fee Offsets</w:t>
            </w:r>
          </w:p>
        </w:tc>
        <w:tc>
          <w:tcPr>
            <w:tcW w:w="82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54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center"/>
              <w:ind w:left="1338"/>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82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$46,337.10</w:t>
            </w:r>
          </w:p>
        </w:tc>
      </w:tr>
    </w:tbl>
    <w:p>
      <w:pPr>
        <w:spacing w:after="0" w:line="225" w:lineRule="exact"/>
        <w:rPr>
          <w:sz w:val="20"/>
          <w:szCs w:val="20"/>
          <w:color w:val="auto"/>
        </w:rPr>
      </w:pPr>
    </w:p>
    <w:p>
      <w:pPr>
        <w:ind w:left="424" w:right="260" w:hanging="424"/>
        <w:spacing w:after="0" w:line="255" w:lineRule="auto"/>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 457(c) under the Securities Act of 1933, as amended (the “Securities Act”), solely for the purpose of calculating the registration fee, based on the average of the high and low prices of the ordinary shares, par value $0.00001 per share, of Noble Corporation, as reported on the New York Stock Exchange on September 26, 2022 ($27.55 per share). The registrant is the successor to Noble Corporation pursuant to the Securities Exchange Act of 1934, as amended.</w:t>
      </w:r>
    </w:p>
    <w:p>
      <w:pPr>
        <w:spacing w:after="0" w:line="2"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A ordinary shares, par value $0.00001 per share, of the registrant (the “Ordinary Shares”) previously issued and registered for resale hereby and (ii) Ordinary Shares issuable from time to time upon the exercise of outstanding Warrants (as defined in this Registration Statement on Form S-3). The registrant is also registering an indeterminate number of Ordinary Shares that may become issuable upon exercise of the Warrants pursuant to anti-dilution adjustments of such Warrants. Pursuant to Rule 416 under the Securities Act, the number of Ordinary Shares being registered on behalf of the selling shareholders shall be adjusted to include any additional Ordinary Shares that may become issuable as a result of any share capitalization, sub-division, combination or similar transaction.</w:t>
      </w:r>
    </w:p>
    <w:p>
      <w:pPr>
        <w:spacing w:after="0" w:line="2" w:lineRule="exact"/>
        <w:rPr>
          <w:rFonts w:ascii="Times New Roman" w:cs="Times New Roman" w:eastAsia="Times New Roman" w:hAnsi="Times New Roman"/>
          <w:sz w:val="18"/>
          <w:szCs w:val="18"/>
          <w:color w:val="auto"/>
        </w:rPr>
      </w:pPr>
    </w:p>
    <w:p>
      <w:pPr>
        <w:ind w:left="424" w:right="280" w:hanging="424"/>
        <w:spacing w:after="0" w:line="260" w:lineRule="auto"/>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Ordinary Share will be determined from time to time by the selling shareholders in connection with, and at the time of, the sale by the selling shareholders of the Ordinary Shares registered hereunder.</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decimal"/>
      <w:start w:val="28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1)"/>
      <w:numFmt w:val="lowerRoman"/>
      <w:start w:val="1"/>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1)"/>
      <w:numFmt w:val="lowerRoman"/>
      <w:start w:val="1"/>
    </w:lvl>
  </w:abstractNum>
  <w:abstractNum w:abstractNumId="12">
    <w:nsid w:val="614FD4A1"/>
    <w:multiLevelType w:val="hybridMultilevel"/>
    <w:lvl w:ilvl="0">
      <w:lvlJc w:val="left"/>
      <w:lvlText w:val="(%1)"/>
      <w:numFmt w:val="lowerRoman"/>
      <w:start w:val="6"/>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lowerLetter"/>
      <w:start w:val="1"/>
    </w:lvl>
  </w:abstractNum>
  <w:abstractNum w:abstractNumId="16">
    <w:nsid w:val="5072367"/>
    <w:multiLevelType w:val="hybridMultilevel"/>
    <w:lvl w:ilvl="0">
      <w:lvlJc w:val="left"/>
      <w:lvlText w:val="(%1)"/>
      <w:numFmt w:val="upperLetter"/>
      <w:start w:val="9"/>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1)"/>
      <w:numFmt w:val="lowerLetter"/>
      <w:start w:val="1"/>
    </w:lvl>
  </w:abstractNum>
  <w:abstractNum w:abstractNumId="23">
    <w:nsid w:val="51EAD36B"/>
    <w:multiLevelType w:val="hybridMultilevel"/>
    <w:lvl w:ilvl="0">
      <w:lvlJc w:val="left"/>
      <w:lvlText w:val="(%1)"/>
      <w:numFmt w:val="lowerLetter"/>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1)"/>
      <w:numFmt w:val="lowerLetter"/>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1"/>
      <w:numFmt w:val="bullet"/>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1)"/>
      <w:numFmt w:val="lowerLetter"/>
      <w:start w:val="1"/>
    </w:lvl>
  </w:abstractNum>
  <w:abstractNum w:abstractNumId="36">
    <w:nsid w:val="4B588F54"/>
    <w:multiLevelType w:val="hybridMultilevel"/>
    <w:lvl w:ilvl="0">
      <w:lvlJc w:val="left"/>
      <w:lvlText w:val="%1"/>
      <w:numFmt w:val="decimal"/>
      <w:start w:val="107"/>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9">
    <w:nsid w:val="38437FDB"/>
    <w:multiLevelType w:val="hybridMultilevel"/>
    <w:lvl w:ilvl="0">
      <w:lvlJc w:val="left"/>
      <w:lvlText w:val="(%1)"/>
      <w:numFmt w:val="decimal"/>
      <w:start w:val="2"/>
    </w:lvl>
    <w:lvl w:ilvl="1">
      <w:lvlJc w:val="left"/>
      <w:lvlText w:val="(%2)"/>
      <w:numFmt w:val="lowerRoman"/>
      <w:start w:val="1"/>
    </w:lvl>
  </w:abstractNum>
  <w:abstractNum w:abstractNumId="40">
    <w:nsid w:val="7644A45C"/>
    <w:multiLevelType w:val="hybridMultilevel"/>
    <w:lvl w:ilvl="0">
      <w:lvlJc w:val="left"/>
      <w:lvlText w:val="(%1)"/>
      <w:numFmt w:val="lowerLetter"/>
      <w:start w:val="2"/>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decimal"/>
      <w:start w:val="4"/>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4"/>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decimal"/>
      <w:start w:val="3"/>
    </w:lvl>
  </w:abstractNum>
  <w:abstractNum w:abstractNumId="47">
    <w:nsid w:val="79A1DEAA"/>
    <w:multiLevelType w:val="hybridMultilevel"/>
    <w:lvl w:ilvl="0">
      <w:lvlJc w:val="left"/>
      <w:lvlText w:val="%1."/>
      <w:numFmt w:val="decimal"/>
      <w:start w:val="4"/>
    </w:lvl>
  </w:abstractNum>
  <w:abstractNum w:abstractNumId="48">
    <w:nsid w:val="75C6C33A"/>
    <w:multiLevelType w:val="hybridMultilevel"/>
    <w:lvl w:ilvl="0">
      <w:lvlJc w:val="left"/>
      <w:lvlText w:val="%1."/>
      <w:numFmt w:val="decimal"/>
      <w:start w:val="5"/>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decimal"/>
      <w:start w:val="9"/>
    </w:lvl>
  </w:abstractNum>
  <w:abstractNum w:abstractNumId="51">
    <w:nsid w:val="520EEDD1"/>
    <w:multiLevelType w:val="hybridMultilevel"/>
    <w:lvl w:ilvl="0">
      <w:lvlJc w:val="left"/>
      <w:lvlText w:val="%1."/>
      <w:numFmt w:val="decimal"/>
      <w:start w:val="1"/>
    </w:lvl>
  </w:abstractNum>
  <w:abstractNum w:abstractNumId="52">
    <w:nsid w:val="374A3FE6"/>
    <w:multiLevelType w:val="hybridMultilevel"/>
    <w:lvl w:ilvl="0">
      <w:lvlJc w:val="left"/>
      <w:lvlText w:val="%1."/>
      <w:numFmt w:val="decimal"/>
      <w:start w:val="3"/>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jpe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51" Type="http://schemas.openxmlformats.org/officeDocument/2006/relationships/image" Target="media/image130.png"/><Relationship Id="rId163" Type="http://schemas.openxmlformats.org/officeDocument/2006/relationships/image" Target="media/image131.png"/><Relationship Id="rId168" Type="http://schemas.openxmlformats.org/officeDocument/2006/relationships/image" Target="media/image132.png"/><Relationship Id="rId169" Type="http://schemas.openxmlformats.org/officeDocument/2006/relationships/image" Target="media/image133.png"/><Relationship Id="rId170" Type="http://schemas.openxmlformats.org/officeDocument/2006/relationships/image" Target="media/image134.png"/><Relationship Id="rId171" Type="http://schemas.openxmlformats.org/officeDocument/2006/relationships/image" Target="media/image135.png"/><Relationship Id="rId172" Type="http://schemas.openxmlformats.org/officeDocument/2006/relationships/image" Target="media/image136.png"/><Relationship Id="rId173" Type="http://schemas.openxmlformats.org/officeDocument/2006/relationships/image" Target="media/image137.png"/><Relationship Id="rId174" Type="http://schemas.openxmlformats.org/officeDocument/2006/relationships/image" Target="media/image138.png"/><Relationship Id="rId175" Type="http://schemas.openxmlformats.org/officeDocument/2006/relationships/image" Target="media/image139.png"/><Relationship Id="rId176" Type="http://schemas.openxmlformats.org/officeDocument/2006/relationships/image" Target="media/image140.png"/><Relationship Id="rId177" Type="http://schemas.openxmlformats.org/officeDocument/2006/relationships/image" Target="media/image141.jpeg"/><Relationship Id="rId178" Type="http://schemas.openxmlformats.org/officeDocument/2006/relationships/image" Target="media/image142.png"/><Relationship Id="rId179" Type="http://schemas.openxmlformats.org/officeDocument/2006/relationships/image" Target="media/image143.png"/><Relationship Id="rId180" Type="http://schemas.openxmlformats.org/officeDocument/2006/relationships/image" Target="media/image144.png"/><Relationship Id="rId181" Type="http://schemas.openxmlformats.org/officeDocument/2006/relationships/image" Target="media/image145.png"/><Relationship Id="rId182" Type="http://schemas.openxmlformats.org/officeDocument/2006/relationships/image" Target="media/image146.png"/><Relationship Id="rId183" Type="http://schemas.openxmlformats.org/officeDocument/2006/relationships/image" Target="media/image147.png"/><Relationship Id="rId184" Type="http://schemas.openxmlformats.org/officeDocument/2006/relationships/image" Target="media/image148.png"/><Relationship Id="rId185" Type="http://schemas.openxmlformats.org/officeDocument/2006/relationships/image" Target="media/image149.png"/><Relationship Id="rId186" Type="http://schemas.openxmlformats.org/officeDocument/2006/relationships/image" Target="media/image150.png"/><Relationship Id="rId27" Type="http://schemas.openxmlformats.org/officeDocument/2006/relationships/hyperlink" Target="http://www.sec.gov/ix?doc=/Archives/edgar/data/1169055/000162828022003005/ne-20211231.htm" TargetMode="External"/><Relationship Id="rId28" Type="http://schemas.openxmlformats.org/officeDocument/2006/relationships/hyperlink" Target="http://www.sec.gov/ix?doc=/Archives/edgar/data/1169055/000162828022005851/ne-20211231.htm" TargetMode="External"/><Relationship Id="rId29" Type="http://schemas.openxmlformats.org/officeDocument/2006/relationships/hyperlink" Target="http://www.sec.gov/ix?doc=/Archives/edgar/data/1169055/000162828022012009/ne-20220331.htm" TargetMode="External"/><Relationship Id="rId30" Type="http://schemas.openxmlformats.org/officeDocument/2006/relationships/hyperlink" Target="http://www.sec.gov/ix?doc=/Archives/edgar/data/1169055/000162828022021784/ne-20220630.htm" TargetMode="External"/><Relationship Id="rId31" Type="http://schemas.openxmlformats.org/officeDocument/2006/relationships/hyperlink" Target="http://www.sec.gov/ix?doc=/Archives/edgar/data/1458891/000119312521118586/d103700d8k.htm" TargetMode="External"/><Relationship Id="rId32" Type="http://schemas.openxmlformats.org/officeDocument/2006/relationships/hyperlink" Target="http://www.sec.gov/ix?doc=/Archives/edgar/data/1458891/000119312521197399/d164943d8ka.htm" TargetMode="External"/><Relationship Id="rId33" Type="http://schemas.openxmlformats.org/officeDocument/2006/relationships/hyperlink" Target="http://www.sec.gov/ix?doc=/Archives/edgar/data/1458891/000119312522010011/d276808d8k.htm" TargetMode="External"/><Relationship Id="rId34" Type="http://schemas.openxmlformats.org/officeDocument/2006/relationships/hyperlink" Target="http://www.sec.gov/ix?doc=/Archives/edgar/data/1169055/000119312522235821/d309721d8k.htm" TargetMode="External"/><Relationship Id="rId35" Type="http://schemas.openxmlformats.org/officeDocument/2006/relationships/hyperlink" Target="http://www.sec.gov/ix?doc=/Archives/edgar/data/1895262/000119312522254859/d377058d8k12b.htm" TargetMode="External"/><Relationship Id="rId36" Type="http://schemas.openxmlformats.org/officeDocument/2006/relationships/hyperlink" Target="http://www.sec.gov/Archives/edgar/data/1895262/000119312522101363/d268162d424b3.htm" TargetMode="External"/><Relationship Id="rId37" Type="http://schemas.openxmlformats.org/officeDocument/2006/relationships/hyperlink" Target="http://www.sec.gov/Archives/edgar/data/1895262/000119312521362586/d268162ds4.htm" TargetMode="External"/><Relationship Id="rId148" Type="http://schemas.openxmlformats.org/officeDocument/2006/relationships/hyperlink" Target="http://www.sec.gov/Archives/edgar/data/1169055/000119312520301545/d25389dex21.htm" TargetMode="External"/><Relationship Id="rId149" Type="http://schemas.openxmlformats.org/officeDocument/2006/relationships/hyperlink" Target="http://www.sec.gov/Archives/edgar/data/1458891/000119312521093536/d114189dex21.htm" TargetMode="External"/><Relationship Id="rId150" Type="http://schemas.openxmlformats.org/officeDocument/2006/relationships/hyperlink" Target="http://www.sec.gov/Archives/edgar/data/1458891/000119312521256890/d221300dex21.htm" TargetMode="External"/><Relationship Id="rId152" Type="http://schemas.openxmlformats.org/officeDocument/2006/relationships/hyperlink" Target="http://www.sec.gov/Archives/edgar/data/1169055/000162828021021925/exhibit27-amendmentno1topu.htm" TargetMode="External"/><Relationship Id="rId153" Type="http://schemas.openxmlformats.org/officeDocument/2006/relationships/hyperlink" Target="http://www.sec.gov/Archives/edgar/data/1458891/000119312521325414/d263913dex21.htm" TargetMode="External"/><Relationship Id="rId154" Type="http://schemas.openxmlformats.org/officeDocument/2006/relationships/hyperlink" Target="http://www.sec.gov/Archives/edgar/data/0001458891/000119312522213585/d383148dex21.htm" TargetMode="External"/><Relationship Id="rId155" Type="http://schemas.openxmlformats.org/officeDocument/2006/relationships/hyperlink" Target="http://www.sec.gov/Archives/edgar/data/1458891/000119312522180253/d303055dex21.htm" TargetMode="External"/><Relationship Id="rId156" Type="http://schemas.openxmlformats.org/officeDocument/2006/relationships/hyperlink" Target="http://www.sec.gov/Archives/edgar/data/1169055/000119312522234683/d314665dex21.htm" TargetMode="External"/><Relationship Id="rId157" Type="http://schemas.openxmlformats.org/officeDocument/2006/relationships/hyperlink" Target="http://www.sec.gov/Archives/edgar/data/1895262/000119312522254859/d377058dex31.htm" TargetMode="External"/><Relationship Id="rId158" Type="http://schemas.openxmlformats.org/officeDocument/2006/relationships/hyperlink" Target="http://www.sec.gov/Archives/edgar/data/1169055/000119312521032043/d109435dex41.htm" TargetMode="External"/><Relationship Id="rId159" Type="http://schemas.openxmlformats.org/officeDocument/2006/relationships/hyperlink" Target="http://www.sec.gov/Archives/edgar/data/1458891/000119312521364338/d157989dex42.htm" TargetMode="External"/><Relationship Id="rId160" Type="http://schemas.openxmlformats.org/officeDocument/2006/relationships/hyperlink" Target="http://www.sec.gov/Archives/edgar/data/1169055/000119312521032043/d109435dex106.htm" TargetMode="External"/><Relationship Id="rId161" Type="http://schemas.openxmlformats.org/officeDocument/2006/relationships/hyperlink" Target="http://www.sec.gov/Archives/edgar/data/1458891/000119312521118586/d103700dex101.htm" TargetMode="External"/><Relationship Id="rId162" Type="http://schemas.openxmlformats.org/officeDocument/2006/relationships/hyperlink" Target="http://www.sec.gov/Archives/edgar/data/1458891/000119312521325414/d263913dex104.htm" TargetMode="External"/><Relationship Id="rId164" Type="http://schemas.openxmlformats.org/officeDocument/2006/relationships/hyperlink" Target="http://www.sec.gov/Archives/edgar/data/1895262/000119312522254859/d377058dex102.htm" TargetMode="External"/><Relationship Id="rId165" Type="http://schemas.openxmlformats.org/officeDocument/2006/relationships/hyperlink" Target="http://www.sec.gov/Archives/edgar/data/1895262/000119312522254859/d377058dex103.htm" TargetMode="External"/><Relationship Id="rId166" Type="http://schemas.openxmlformats.org/officeDocument/2006/relationships/hyperlink" Target="http://www.sec.gov/Archives/edgar/data/1895262/000119312522254859/d377058dex104.htm" TargetMode="External"/><Relationship Id="rId167" Type="http://schemas.openxmlformats.org/officeDocument/2006/relationships/hyperlink" Target="http://www.sec.gov/Archives/edgar/data/1895262/000119312522254859/d377058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2022-09-30T15:55:02Z</dcterms:created>
  <dcterms:modified xsi:type="dcterms:W3CDTF">2022-09-30T15:55:02Z</dcterms:modified>
</cp:coreProperties>
</file>