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As filed with the Securities and Exchange Commission on September 4, 2024</w:t>
      </w:r>
    </w:p>
    <w:p>
      <w:pPr>
        <w:spacing w:after="0" w:line="12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333-280726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POST-EFFECTIVE AMENDMENT NO. 1 ON FORM S-8</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FORM S-4 REGISTRATION STATEMENT</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ACT OF 1933</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Noble Corporation plc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441" w:right="339" w:bottom="1440" w:gutter="0" w:footer="0" w:header="0"/>
        </w:sectPr>
      </w:pPr>
    </w:p>
    <w:p>
      <w:pPr>
        <w:spacing w:after="0" w:line="203" w:lineRule="exact"/>
        <w:rPr>
          <w:sz w:val="24"/>
          <w:szCs w:val="24"/>
          <w:color w:val="auto"/>
        </w:rPr>
      </w:pPr>
    </w:p>
    <w:p>
      <w:pPr>
        <w:jc w:val="center"/>
        <w:ind w:right="760"/>
        <w:spacing w:after="0"/>
        <w:rPr>
          <w:sz w:val="20"/>
          <w:szCs w:val="20"/>
          <w:color w:val="auto"/>
        </w:rPr>
      </w:pPr>
      <w:r>
        <w:rPr>
          <w:rFonts w:ascii="Times New Roman" w:cs="Times New Roman" w:eastAsia="Times New Roman" w:hAnsi="Times New Roman"/>
          <w:sz w:val="18"/>
          <w:szCs w:val="18"/>
          <w:b w:val="1"/>
          <w:bCs w:val="1"/>
          <w:color w:val="auto"/>
        </w:rPr>
        <w:t>England and Wales</w:t>
      </w:r>
    </w:p>
    <w:p>
      <w:pPr>
        <w:spacing w:after="0" w:line="31" w:lineRule="exact"/>
        <w:rPr>
          <w:sz w:val="24"/>
          <w:szCs w:val="24"/>
          <w:color w:val="auto"/>
        </w:rPr>
      </w:pPr>
    </w:p>
    <w:p>
      <w:pPr>
        <w:jc w:val="center"/>
        <w:ind w:right="760"/>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18"/>
          <w:szCs w:val="18"/>
          <w:b w:val="1"/>
          <w:bCs w:val="1"/>
          <w:color w:val="auto"/>
        </w:rPr>
        <w:t>98-1644664</w:t>
      </w:r>
    </w:p>
    <w:p>
      <w:pPr>
        <w:spacing w:after="0" w:line="31"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2">
            <w:col w:w="6400" w:space="720"/>
            <w:col w:w="4120"/>
          </w:cols>
          <w:pgMar w:left="320" w:top="441" w:right="339" w:bottom="1440" w:gutter="0" w:footer="0" w:header="0"/>
          <w:type w:val="continuous"/>
        </w:sectPr>
      </w:pP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13135 Dairy Ashford, Suite 800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Sugar Land, Texas 77478</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(281) 276-6100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Diamond Offshore Drilling, Inc. 2021 Long-Term Stock Incentive Plan</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(Full title of the plans)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Jennie P. Howard</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Senior Vice President, General Counsel, and Corporate Secretary</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Noble Corporation plc</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13135 Dairy Ashford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Suite 800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Sugar Land, Texas 77478</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(281) 276-6100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9"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Copies of all communications, including communications sent to agent for service, should be sent to:</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Scott A. Barshay</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Kyle T. Seifried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Paul, Weiss, Rifkind, Wharton &amp; Garrison LLP</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1285 Avenue of the Americas</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New York, NY 10019-6064</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(212) 373-3000</w:t>
      </w:r>
    </w:p>
    <w:p>
      <w:pPr>
        <w:spacing w:after="0" w:line="207" w:lineRule="exact"/>
        <w:rPr>
          <w:sz w:val="24"/>
          <w:szCs w:val="24"/>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560" w:type="dxa"/>
        <w:tblCellMar>
          <w:top w:w="0" w:type="dxa"/>
          <w:left w:w="0" w:type="dxa"/>
          <w:bottom w:w="0" w:type="dxa"/>
          <w:right w:w="0" w:type="dxa"/>
        </w:tblCellMar>
      </w:tblPr>
      <w:tr>
        <w:trPr>
          <w:trHeight w:val="221"/>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0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Accelerated filer</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0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7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5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Emerging growth company</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7(a)(2)(B) of the Securities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499745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5" w:lineRule="exact"/>
        <w:rPr>
          <w:sz w:val="20"/>
          <w:szCs w:val="20"/>
          <w:color w:val="auto"/>
        </w:rPr>
      </w:pPr>
    </w:p>
    <w:p>
      <w:pPr>
        <w:ind w:right="20" w:firstLine="648"/>
        <w:spacing w:after="0" w:line="259" w:lineRule="auto"/>
        <w:rPr>
          <w:sz w:val="20"/>
          <w:szCs w:val="20"/>
          <w:color w:val="auto"/>
        </w:rPr>
      </w:pPr>
      <w:r>
        <w:rPr>
          <w:rFonts w:ascii="Times New Roman" w:cs="Times New Roman" w:eastAsia="Times New Roman" w:hAnsi="Times New Roman"/>
          <w:sz w:val="18"/>
          <w:szCs w:val="18"/>
          <w:color w:val="auto"/>
        </w:rPr>
        <w:t>Noble Corporation plc, a public limited company organized under the laws of England and Wales (the “</w:t>
      </w:r>
      <w:r>
        <w:rPr>
          <w:rFonts w:ascii="Times New Roman" w:cs="Times New Roman" w:eastAsia="Times New Roman" w:hAnsi="Times New Roman"/>
          <w:sz w:val="18"/>
          <w:szCs w:val="18"/>
          <w:b w:val="1"/>
          <w:bCs w:val="1"/>
          <w:i w:val="1"/>
          <w:iCs w:val="1"/>
          <w:color w:val="auto"/>
        </w:rPr>
        <w:t>Registrant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Noble</w:t>
      </w:r>
      <w:r>
        <w:rPr>
          <w:rFonts w:ascii="Times New Roman" w:cs="Times New Roman" w:eastAsia="Times New Roman" w:hAnsi="Times New Roman"/>
          <w:sz w:val="18"/>
          <w:szCs w:val="18"/>
          <w:color w:val="auto"/>
        </w:rPr>
        <w:t>”) hereby amends its original registration statement on Form S-4 (File No. 333-280726) filed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on July 8, 2024, as amended by the pre-effective Amendment No. 1 thereto filed with the Commission on July 19, 2024 (the “</w:t>
      </w:r>
      <w:r>
        <w:rPr>
          <w:rFonts w:ascii="Times New Roman" w:cs="Times New Roman" w:eastAsia="Times New Roman" w:hAnsi="Times New Roman"/>
          <w:sz w:val="18"/>
          <w:szCs w:val="18"/>
          <w:b w:val="1"/>
          <w:bCs w:val="1"/>
          <w:i w:val="1"/>
          <w:iCs w:val="1"/>
          <w:color w:val="auto"/>
        </w:rPr>
        <w:t>Form S-4</w:t>
      </w:r>
      <w:r>
        <w:rPr>
          <w:rFonts w:ascii="Times New Roman" w:cs="Times New Roman" w:eastAsia="Times New Roman" w:hAnsi="Times New Roman"/>
          <w:sz w:val="18"/>
          <w:szCs w:val="18"/>
          <w:color w:val="auto"/>
        </w:rPr>
        <w:t>”), which the Commission declared effective at 4:00 p.m. Eastern Time on July 25, 2024, by filing this post-effective Amendment No. 1 on Form S-8 (this “</w:t>
      </w:r>
      <w:r>
        <w:rPr>
          <w:rFonts w:ascii="Times New Roman" w:cs="Times New Roman" w:eastAsia="Times New Roman" w:hAnsi="Times New Roman"/>
          <w:sz w:val="18"/>
          <w:szCs w:val="18"/>
          <w:b w:val="1"/>
          <w:bCs w:val="1"/>
          <w:i w:val="1"/>
          <w:iCs w:val="1"/>
          <w:color w:val="auto"/>
        </w:rPr>
        <w:t>Post-Effective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color w:val="auto"/>
        </w:rPr>
        <w:t>” and together with the Form S-4, this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Noble filed the Form S-4 in connection with the merger contemplated by the Agreement and Plan of Merger (the “</w:t>
      </w:r>
      <w:r>
        <w:rPr>
          <w:rFonts w:ascii="Times New Roman" w:cs="Times New Roman" w:eastAsia="Times New Roman" w:hAnsi="Times New Roman"/>
          <w:sz w:val="18"/>
          <w:szCs w:val="18"/>
          <w:b w:val="1"/>
          <w:bCs w:val="1"/>
          <w:i w:val="1"/>
          <w:iCs w:val="1"/>
          <w:color w:val="auto"/>
        </w:rPr>
        <w:t>Merger Agreement</w:t>
      </w:r>
      <w:r>
        <w:rPr>
          <w:rFonts w:ascii="Times New Roman" w:cs="Times New Roman" w:eastAsia="Times New Roman" w:hAnsi="Times New Roman"/>
          <w:sz w:val="18"/>
          <w:szCs w:val="18"/>
          <w:color w:val="auto"/>
        </w:rPr>
        <w:t>”), dated as of June 9, 2024, by and among Noble, Diamond Offshore Drilling, Inc., a Delaware corporation (“</w:t>
      </w:r>
      <w:r>
        <w:rPr>
          <w:rFonts w:ascii="Times New Roman" w:cs="Times New Roman" w:eastAsia="Times New Roman" w:hAnsi="Times New Roman"/>
          <w:sz w:val="18"/>
          <w:szCs w:val="18"/>
          <w:b w:val="1"/>
          <w:bCs w:val="1"/>
          <w:i w:val="1"/>
          <w:iCs w:val="1"/>
          <w:color w:val="auto"/>
        </w:rPr>
        <w:t>Diamond Offshore</w:t>
      </w:r>
      <w:r>
        <w:rPr>
          <w:rFonts w:ascii="Times New Roman" w:cs="Times New Roman" w:eastAsia="Times New Roman" w:hAnsi="Times New Roman"/>
          <w:sz w:val="18"/>
          <w:szCs w:val="18"/>
          <w:color w:val="auto"/>
        </w:rPr>
        <w:t>”), Dolphin Merger Sub 1, Inc., a Delaware corporation and indirect wholly owned subsidiary of Noble (“</w:t>
      </w:r>
      <w:r>
        <w:rPr>
          <w:rFonts w:ascii="Times New Roman" w:cs="Times New Roman" w:eastAsia="Times New Roman" w:hAnsi="Times New Roman"/>
          <w:sz w:val="18"/>
          <w:szCs w:val="18"/>
          <w:b w:val="1"/>
          <w:bCs w:val="1"/>
          <w:i w:val="1"/>
          <w:iCs w:val="1"/>
          <w:color w:val="auto"/>
        </w:rPr>
        <w:t>Merger Sub 1</w:t>
      </w:r>
      <w:r>
        <w:rPr>
          <w:rFonts w:ascii="Times New Roman" w:cs="Times New Roman" w:eastAsia="Times New Roman" w:hAnsi="Times New Roman"/>
          <w:sz w:val="18"/>
          <w:szCs w:val="18"/>
          <w:color w:val="auto"/>
        </w:rPr>
        <w:t>”), and Dolphin Merger Sub 2, Inc., a Delaware corporation and indirect wholly owned subsidiary of Noble (“</w:t>
      </w:r>
      <w:r>
        <w:rPr>
          <w:rFonts w:ascii="Times New Roman" w:cs="Times New Roman" w:eastAsia="Times New Roman" w:hAnsi="Times New Roman"/>
          <w:sz w:val="18"/>
          <w:szCs w:val="18"/>
          <w:b w:val="1"/>
          <w:bCs w:val="1"/>
          <w:i w:val="1"/>
          <w:iCs w:val="1"/>
          <w:color w:val="auto"/>
        </w:rPr>
        <w:t>Merger Sub 2</w:t>
      </w:r>
      <w:r>
        <w:rPr>
          <w:rFonts w:ascii="Times New Roman" w:cs="Times New Roman" w:eastAsia="Times New Roman" w:hAnsi="Times New Roman"/>
          <w:sz w:val="18"/>
          <w:szCs w:val="18"/>
          <w:color w:val="auto"/>
        </w:rPr>
        <w:t>”). Effective as of September 4, 2024, Merger Sub 1 merged with and into Diamond Offshore (the “</w:t>
      </w:r>
      <w:r>
        <w:rPr>
          <w:rFonts w:ascii="Times New Roman" w:cs="Times New Roman" w:eastAsia="Times New Roman" w:hAnsi="Times New Roman"/>
          <w:sz w:val="18"/>
          <w:szCs w:val="18"/>
          <w:b w:val="1"/>
          <w:bCs w:val="1"/>
          <w:i w:val="1"/>
          <w:iCs w:val="1"/>
          <w:color w:val="auto"/>
        </w:rPr>
        <w:t>First Merger</w:t>
      </w:r>
      <w:r>
        <w:rPr>
          <w:rFonts w:ascii="Times New Roman" w:cs="Times New Roman" w:eastAsia="Times New Roman" w:hAnsi="Times New Roman"/>
          <w:sz w:val="18"/>
          <w:szCs w:val="18"/>
          <w:color w:val="auto"/>
        </w:rPr>
        <w:t>”), with Diamond Offshore surviving and becoming an indirect wholly owned subsidiary of Noble, and immediately thereafter, Diamond Offshore, as the surviving entity in the First Merger, merged with and into Merger Sub 2, with Merger Sub 2 surviving and continuing as an indirect wholly owned subsidiary of Noble.</w:t>
      </w:r>
    </w:p>
    <w:p>
      <w:pPr>
        <w:spacing w:after="0" w:line="183"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17"/>
          <w:szCs w:val="17"/>
          <w:color w:val="auto"/>
        </w:rPr>
        <w:t>Pursuant to the terms of the Merger Agreement, at the effective time of the First Merger (the “</w:t>
      </w:r>
      <w:r>
        <w:rPr>
          <w:rFonts w:ascii="Times New Roman" w:cs="Times New Roman" w:eastAsia="Times New Roman" w:hAnsi="Times New Roman"/>
          <w:sz w:val="17"/>
          <w:szCs w:val="17"/>
          <w:b w:val="1"/>
          <w:bCs w:val="1"/>
          <w:i w:val="1"/>
          <w:iCs w:val="1"/>
          <w:color w:val="auto"/>
        </w:rPr>
        <w:t>Effective Time</w:t>
      </w:r>
      <w:r>
        <w:rPr>
          <w:rFonts w:ascii="Times New Roman" w:cs="Times New Roman" w:eastAsia="Times New Roman" w:hAnsi="Times New Roman"/>
          <w:sz w:val="17"/>
          <w:szCs w:val="17"/>
          <w:color w:val="auto"/>
        </w:rPr>
        <w:t>”), each then outstanding performance-vesting restricted stock unit (a “</w:t>
      </w:r>
      <w:r>
        <w:rPr>
          <w:rFonts w:ascii="Times New Roman" w:cs="Times New Roman" w:eastAsia="Times New Roman" w:hAnsi="Times New Roman"/>
          <w:sz w:val="17"/>
          <w:szCs w:val="17"/>
          <w:b w:val="1"/>
          <w:bCs w:val="1"/>
          <w:i w:val="1"/>
          <w:iCs w:val="1"/>
          <w:color w:val="auto"/>
        </w:rPr>
        <w:t>PSU</w:t>
      </w:r>
      <w:r>
        <w:rPr>
          <w:rFonts w:ascii="Times New Roman" w:cs="Times New Roman" w:eastAsia="Times New Roman" w:hAnsi="Times New Roman"/>
          <w:sz w:val="17"/>
          <w:szCs w:val="17"/>
          <w:color w:val="auto"/>
        </w:rPr>
        <w:t>”) or time-vesting restricted stock unit (an “</w:t>
      </w:r>
      <w:r>
        <w:rPr>
          <w:rFonts w:ascii="Times New Roman" w:cs="Times New Roman" w:eastAsia="Times New Roman" w:hAnsi="Times New Roman"/>
          <w:sz w:val="17"/>
          <w:szCs w:val="17"/>
          <w:b w:val="1"/>
          <w:bCs w:val="1"/>
          <w:i w:val="1"/>
          <w:iCs w:val="1"/>
          <w:color w:val="auto"/>
        </w:rPr>
        <w:t>RSU</w:t>
      </w:r>
      <w:r>
        <w:rPr>
          <w:rFonts w:ascii="Times New Roman" w:cs="Times New Roman" w:eastAsia="Times New Roman" w:hAnsi="Times New Roman"/>
          <w:sz w:val="17"/>
          <w:szCs w:val="17"/>
          <w:color w:val="auto"/>
        </w:rPr>
        <w:t>”) covering shares of Diamond Offshore common stock (each, a “</w:t>
      </w:r>
      <w:r>
        <w:rPr>
          <w:rFonts w:ascii="Times New Roman" w:cs="Times New Roman" w:eastAsia="Times New Roman" w:hAnsi="Times New Roman"/>
          <w:sz w:val="17"/>
          <w:szCs w:val="17"/>
          <w:b w:val="1"/>
          <w:bCs w:val="1"/>
          <w:i w:val="1"/>
          <w:iCs w:val="1"/>
          <w:color w:val="auto"/>
        </w:rPr>
        <w:t>Diamond PSU</w:t>
      </w:r>
      <w:r>
        <w:rPr>
          <w:rFonts w:ascii="Times New Roman" w:cs="Times New Roman" w:eastAsia="Times New Roman" w:hAnsi="Times New Roman"/>
          <w:sz w:val="17"/>
          <w:szCs w:val="17"/>
          <w:color w:val="auto"/>
        </w:rPr>
        <w:t>” and a “</w:t>
      </w:r>
      <w:r>
        <w:rPr>
          <w:rFonts w:ascii="Times New Roman" w:cs="Times New Roman" w:eastAsia="Times New Roman" w:hAnsi="Times New Roman"/>
          <w:sz w:val="17"/>
          <w:szCs w:val="17"/>
          <w:b w:val="1"/>
          <w:bCs w:val="1"/>
          <w:i w:val="1"/>
          <w:iCs w:val="1"/>
          <w:color w:val="auto"/>
        </w:rPr>
        <w:t>Diamond RSU</w:t>
      </w:r>
      <w:r>
        <w:rPr>
          <w:rFonts w:ascii="Times New Roman" w:cs="Times New Roman" w:eastAsia="Times New Roman" w:hAnsi="Times New Roman"/>
          <w:sz w:val="17"/>
          <w:szCs w:val="17"/>
          <w:color w:val="auto"/>
        </w:rPr>
        <w:t>”, respectively) ceased to represent a right to acquire shares of Diamond Offshore common stock (or value equivalent to shares of Diamond Offshore common stock) and was converted, at the Effective Time, into the right to acquire a number of Ordinary Shares (as defined below) equal to the product of (i) the number of Diamond Offshore common stock subject to such Diamond PSU or Diamond RSU, as applicable, immediately prior to the Effective Time and (ii) the sum of (a) the Exchange Ratio (as defined in the Merger Agreement) plus (b) the quotient of</w:t>
      </w:r>
    </w:p>
    <w:p>
      <w:pPr>
        <w:spacing w:after="0" w:line="4" w:lineRule="exact"/>
        <w:rPr>
          <w:sz w:val="20"/>
          <w:szCs w:val="20"/>
          <w:color w:val="auto"/>
        </w:rPr>
      </w:pPr>
    </w:p>
    <w:p>
      <w:pPr>
        <w:ind w:right="20" w:firstLine="8"/>
        <w:spacing w:after="0" w:line="253" w:lineRule="auto"/>
        <w:tabs>
          <w:tab w:leader="none" w:pos="2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 Share Cash Consideration (as defined in the Merger Agreement), divided by (2) the closing price on the New York Stock Exchange for Ordinary Shares on the last trading day immediately preceding the Effective Time. Under this formula, Diamond PSUs were converted into RSUs covering Ordinary Shares (“</w:t>
      </w:r>
      <w:r>
        <w:rPr>
          <w:rFonts w:ascii="Times New Roman" w:cs="Times New Roman" w:eastAsia="Times New Roman" w:hAnsi="Times New Roman"/>
          <w:sz w:val="18"/>
          <w:szCs w:val="18"/>
          <w:b w:val="1"/>
          <w:bCs w:val="1"/>
          <w:i w:val="1"/>
          <w:iCs w:val="1"/>
          <w:color w:val="auto"/>
        </w:rPr>
        <w:t>Noble RSUs</w:t>
      </w:r>
      <w:r>
        <w:rPr>
          <w:rFonts w:ascii="Times New Roman" w:cs="Times New Roman" w:eastAsia="Times New Roman" w:hAnsi="Times New Roman"/>
          <w:sz w:val="18"/>
          <w:szCs w:val="18"/>
          <w:color w:val="auto"/>
        </w:rPr>
        <w:t>”) based on the greater of (x) actual Diamond Offshore performance level achieved and (y) target Diamond Offshore performance level, in each case as determined under the performance criteria as otherwise provided in the applicable award agreements of such Diamond PSUs, which Noble RSUs will otherwise vest on the same terms and conditions as were applicable under the Diamond PSUs.</w:t>
      </w:r>
    </w:p>
    <w:p>
      <w:pPr>
        <w:spacing w:after="0" w:line="187"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The Registrant hereby amends the Form S-4 by filing this Post-Effective Amendment relating to 1,921,321 A ordinary shares of the Registrant, par value $0.00001 per share (“</w:t>
      </w:r>
      <w:r>
        <w:rPr>
          <w:rFonts w:ascii="Times New Roman" w:cs="Times New Roman" w:eastAsia="Times New Roman" w:hAnsi="Times New Roman"/>
          <w:sz w:val="18"/>
          <w:szCs w:val="18"/>
          <w:b w:val="1"/>
          <w:bCs w:val="1"/>
          <w:i w:val="1"/>
          <w:iCs w:val="1"/>
          <w:color w:val="auto"/>
        </w:rPr>
        <w:t>Ordinary Shares</w:t>
      </w:r>
      <w:r>
        <w:rPr>
          <w:rFonts w:ascii="Times New Roman" w:cs="Times New Roman" w:eastAsia="Times New Roman" w:hAnsi="Times New Roman"/>
          <w:sz w:val="18"/>
          <w:szCs w:val="18"/>
          <w:color w:val="auto"/>
        </w:rPr>
        <w:t>”), issuable pursuant to the Diamond Offshore Drilling, Inc. 2021 Long-Term Stock Incentive Plan (the “</w:t>
      </w:r>
      <w:r>
        <w:rPr>
          <w:rFonts w:ascii="Times New Roman" w:cs="Times New Roman" w:eastAsia="Times New Roman" w:hAnsi="Times New Roman"/>
          <w:sz w:val="18"/>
          <w:szCs w:val="18"/>
          <w:b w:val="1"/>
          <w:bCs w:val="1"/>
          <w:i w:val="1"/>
          <w:iCs w:val="1"/>
          <w:color w:val="auto"/>
        </w:rPr>
        <w:t>2021 LTIP</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All such Ordinary Shares were previously registered on the Form S-4 but will be subject to issuance pursuant to this Post-Effective Amendment.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07"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information to be specified in Item 1 and Item 2 of Part I of this Post Effective Amendment is omitted from this filing in accordance with the provisions of Rule 428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 the introductory note to Part I of Form S-8. The documents containing the information to be specified in Part I will be delivered to the holders as required by Rule 428(b)(1).</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229" w:lineRule="exact"/>
        <w:rPr>
          <w:sz w:val="20"/>
          <w:szCs w:val="20"/>
          <w:color w:val="auto"/>
        </w:rPr>
      </w:pPr>
    </w:p>
    <w:p>
      <w:pPr>
        <w:ind w:right="720" w:firstLine="648"/>
        <w:spacing w:after="0" w:line="282" w:lineRule="auto"/>
        <w:rPr>
          <w:sz w:val="20"/>
          <w:szCs w:val="20"/>
          <w:color w:val="auto"/>
        </w:rPr>
      </w:pPr>
      <w:r>
        <w:rPr>
          <w:rFonts w:ascii="Times New Roman" w:cs="Times New Roman" w:eastAsia="Times New Roman" w:hAnsi="Times New Roman"/>
          <w:sz w:val="18"/>
          <w:szCs w:val="18"/>
          <w:color w:val="auto"/>
        </w:rPr>
        <w:t>The following documents filed by the Registrant with the Commission pursuant to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are incorporated by reference into, and shall be deemed to be a part of, this Post-Effective Amendment:</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p>
      <w:pPr>
        <w:ind w:left="980" w:right="620" w:hanging="324"/>
        <w:spacing w:after="0" w:line="286"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Annual Report on </w:t>
      </w:r>
      <w:hyperlink r:id="rId14">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2023, filed with the Commission on February 23, 2024 (the “</w:t>
      </w:r>
      <w:r>
        <w:rPr>
          <w:rFonts w:ascii="Times New Roman" w:cs="Times New Roman" w:eastAsia="Times New Roman" w:hAnsi="Times New Roman"/>
          <w:sz w:val="18"/>
          <w:szCs w:val="18"/>
          <w:b w:val="1"/>
          <w:bCs w:val="1"/>
          <w:i w:val="1"/>
          <w:iCs w:val="1"/>
          <w:color w:val="auto"/>
        </w:rPr>
        <w:t>Annual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Report</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color w:val="auto"/>
        </w:rPr>
      </w:pPr>
    </w:p>
    <w:p>
      <w:pPr>
        <w:ind w:left="980" w:right="54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contained in Noble’s Definitive Proxy Statement on </w:t>
      </w:r>
      <w:hyperlink r:id="rId15">
        <w:r>
          <w:rPr>
            <w:rFonts w:ascii="Times New Roman" w:cs="Times New Roman" w:eastAsia="Times New Roman" w:hAnsi="Times New Roman"/>
            <w:sz w:val="18"/>
            <w:szCs w:val="18"/>
            <w:u w:val="single" w:color="auto"/>
            <w:color w:val="0000EE"/>
          </w:rPr>
          <w:t>Schedule 14A</w:t>
        </w:r>
      </w:hyperlink>
      <w:r>
        <w:rPr>
          <w:rFonts w:ascii="Times New Roman" w:cs="Times New Roman" w:eastAsia="Times New Roman" w:hAnsi="Times New Roman"/>
          <w:sz w:val="18"/>
          <w:szCs w:val="18"/>
          <w:color w:val="auto"/>
        </w:rPr>
        <w:t>, filed with the Commission on April 10, 2024 and incorporated into Part III of the Annual Report;</w:t>
      </w:r>
    </w:p>
    <w:p>
      <w:pPr>
        <w:spacing w:after="0" w:line="161" w:lineRule="exact"/>
        <w:rPr>
          <w:rFonts w:ascii="Times New Roman" w:cs="Times New Roman" w:eastAsia="Times New Roman" w:hAnsi="Times New Roman"/>
          <w:sz w:val="18"/>
          <w:szCs w:val="18"/>
          <w:color w:val="auto"/>
        </w:rPr>
      </w:pPr>
    </w:p>
    <w:p>
      <w:pPr>
        <w:ind w:left="980" w:right="160" w:hanging="324"/>
        <w:spacing w:after="0" w:line="282" w:lineRule="auto"/>
        <w:tabs>
          <w:tab w:leader="none" w:pos="980" w:val="left"/>
        </w:tabs>
        <w:numPr>
          <w:ilvl w:val="0"/>
          <w:numId w:val="2"/>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Quarterly Reports on Form 10-Q for the quarters ended March 31, 2024 and June 30, 2024, filed with the Commission on </w:t>
      </w:r>
      <w:hyperlink r:id="rId16">
        <w:r>
          <w:rPr>
            <w:rFonts w:ascii="Times New Roman" w:cs="Times New Roman" w:eastAsia="Times New Roman" w:hAnsi="Times New Roman"/>
            <w:sz w:val="18"/>
            <w:szCs w:val="18"/>
            <w:u w:val="single" w:color="auto"/>
            <w:color w:val="0000EE"/>
          </w:rPr>
          <w:t>May 7,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17">
        <w:r>
          <w:rPr>
            <w:rFonts w:ascii="Times New Roman" w:cs="Times New Roman" w:eastAsia="Times New Roman" w:hAnsi="Times New Roman"/>
            <w:sz w:val="18"/>
            <w:szCs w:val="18"/>
            <w:u w:val="single" w:color="auto"/>
            <w:color w:val="0000EE"/>
          </w:rPr>
          <w:t>August 1,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respectively;</w:t>
      </w:r>
    </w:p>
    <w:p>
      <w:pPr>
        <w:spacing w:after="0" w:line="161" w:lineRule="exact"/>
        <w:rPr>
          <w:rFonts w:ascii="Times New Roman" w:cs="Times New Roman" w:eastAsia="Times New Roman" w:hAnsi="Times New Roman"/>
          <w:sz w:val="18"/>
          <w:szCs w:val="18"/>
          <w:color w:val="0000EE"/>
        </w:rPr>
      </w:pPr>
    </w:p>
    <w:p>
      <w:pPr>
        <w:ind w:left="980" w:right="220" w:hanging="324"/>
        <w:spacing w:after="0" w:line="266" w:lineRule="auto"/>
        <w:tabs>
          <w:tab w:leader="none" w:pos="980" w:val="left"/>
        </w:tabs>
        <w:numPr>
          <w:ilvl w:val="0"/>
          <w:numId w:val="2"/>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Current Reports on Form 8-K filed on </w:t>
      </w:r>
      <w:hyperlink r:id="rId18">
        <w:r>
          <w:rPr>
            <w:rFonts w:ascii="Times New Roman" w:cs="Times New Roman" w:eastAsia="Times New Roman" w:hAnsi="Times New Roman"/>
            <w:sz w:val="18"/>
            <w:szCs w:val="18"/>
            <w:u w:val="single" w:color="auto"/>
            <w:color w:val="0000EE"/>
          </w:rPr>
          <w:t>May 21, 2024</w:t>
        </w:r>
      </w:hyperlink>
      <w:r>
        <w:rPr>
          <w:rFonts w:ascii="Times New Roman" w:cs="Times New Roman" w:eastAsia="Times New Roman" w:hAnsi="Times New Roman"/>
          <w:sz w:val="18"/>
          <w:szCs w:val="18"/>
          <w:color w:val="auto"/>
        </w:rPr>
        <w:t xml:space="preserve">, </w:t>
      </w:r>
      <w:hyperlink r:id="rId19">
        <w:r>
          <w:rPr>
            <w:rFonts w:ascii="Times New Roman" w:cs="Times New Roman" w:eastAsia="Times New Roman" w:hAnsi="Times New Roman"/>
            <w:sz w:val="18"/>
            <w:szCs w:val="18"/>
            <w:u w:val="single" w:color="auto"/>
            <w:color w:val="0000EE"/>
          </w:rPr>
          <w:t>June 10, 2024</w:t>
        </w:r>
      </w:hyperlink>
      <w:r>
        <w:rPr>
          <w:rFonts w:ascii="Times New Roman" w:cs="Times New Roman" w:eastAsia="Times New Roman" w:hAnsi="Times New Roman"/>
          <w:sz w:val="18"/>
          <w:szCs w:val="18"/>
          <w:color w:val="auto"/>
        </w:rPr>
        <w:t xml:space="preserve">, </w:t>
      </w:r>
      <w:hyperlink r:id="rId20">
        <w:r>
          <w:rPr>
            <w:rFonts w:ascii="Times New Roman" w:cs="Times New Roman" w:eastAsia="Times New Roman" w:hAnsi="Times New Roman"/>
            <w:sz w:val="18"/>
            <w:szCs w:val="18"/>
            <w:u w:val="single" w:color="auto"/>
            <w:color w:val="0000EE"/>
          </w:rPr>
          <w:t>June 27, 2024</w:t>
        </w:r>
      </w:hyperlink>
      <w:r>
        <w:rPr>
          <w:rFonts w:ascii="Times New Roman" w:cs="Times New Roman" w:eastAsia="Times New Roman" w:hAnsi="Times New Roman"/>
          <w:sz w:val="18"/>
          <w:szCs w:val="18"/>
          <w:color w:val="auto"/>
        </w:rPr>
        <w:t xml:space="preserve">, </w:t>
      </w:r>
      <w:hyperlink r:id="rId21">
        <w:r>
          <w:rPr>
            <w:rFonts w:ascii="Times New Roman" w:cs="Times New Roman" w:eastAsia="Times New Roman" w:hAnsi="Times New Roman"/>
            <w:sz w:val="18"/>
            <w:szCs w:val="18"/>
            <w:u w:val="single" w:color="auto"/>
            <w:color w:val="0000EE"/>
          </w:rPr>
          <w:t>July 26, 2024</w:t>
        </w:r>
      </w:hyperlink>
      <w:r>
        <w:rPr>
          <w:rFonts w:ascii="Times New Roman" w:cs="Times New Roman" w:eastAsia="Times New Roman" w:hAnsi="Times New Roman"/>
          <w:sz w:val="18"/>
          <w:szCs w:val="18"/>
          <w:color w:val="auto"/>
        </w:rPr>
        <w:t xml:space="preserve">, </w:t>
      </w:r>
      <w:hyperlink r:id="rId22">
        <w:r>
          <w:rPr>
            <w:rFonts w:ascii="Times New Roman" w:cs="Times New Roman" w:eastAsia="Times New Roman" w:hAnsi="Times New Roman"/>
            <w:sz w:val="18"/>
            <w:szCs w:val="18"/>
            <w:u w:val="single" w:color="auto"/>
            <w:color w:val="0000EE"/>
          </w:rPr>
          <w:t>August 8, 2024</w:t>
        </w:r>
      </w:hyperlink>
      <w:r>
        <w:rPr>
          <w:rFonts w:ascii="Times New Roman" w:cs="Times New Roman" w:eastAsia="Times New Roman" w:hAnsi="Times New Roman"/>
          <w:sz w:val="18"/>
          <w:szCs w:val="18"/>
          <w:color w:val="auto"/>
        </w:rPr>
        <w:t xml:space="preserve">, </w:t>
      </w:r>
      <w:hyperlink r:id="rId23">
        <w:r>
          <w:rPr>
            <w:rFonts w:ascii="Times New Roman" w:cs="Times New Roman" w:eastAsia="Times New Roman" w:hAnsi="Times New Roman"/>
            <w:sz w:val="18"/>
            <w:szCs w:val="18"/>
            <w:u w:val="single" w:color="auto"/>
            <w:color w:val="0000EE"/>
          </w:rPr>
          <w:t>August 9,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24">
        <w:r>
          <w:rPr>
            <w:rFonts w:ascii="Times New Roman" w:cs="Times New Roman" w:eastAsia="Times New Roman" w:hAnsi="Times New Roman"/>
            <w:sz w:val="18"/>
            <w:szCs w:val="18"/>
            <w:u w:val="single" w:color="auto"/>
            <w:color w:val="0000EE"/>
          </w:rPr>
          <w:t>August 22, 2024</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(other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than the portions of those documents not deemed to be filed pursuant to the rules promulgated under the Exchange</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Act); and</w:t>
      </w:r>
    </w:p>
    <w:p>
      <w:pPr>
        <w:spacing w:after="0" w:line="175" w:lineRule="exact"/>
        <w:rPr>
          <w:rFonts w:ascii="Times New Roman" w:cs="Times New Roman" w:eastAsia="Times New Roman" w:hAnsi="Times New Roman"/>
          <w:sz w:val="18"/>
          <w:szCs w:val="18"/>
          <w:color w:val="0000EE"/>
        </w:rPr>
      </w:pPr>
    </w:p>
    <w:p>
      <w:pPr>
        <w:ind w:left="980" w:right="140" w:hanging="324"/>
        <w:spacing w:after="0" w:line="266"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Ordinary Shares contained in </w:t>
      </w:r>
      <w:hyperlink r:id="rId25">
        <w:r>
          <w:rPr>
            <w:rFonts w:ascii="Times New Roman" w:cs="Times New Roman" w:eastAsia="Times New Roman" w:hAnsi="Times New Roman"/>
            <w:sz w:val="18"/>
            <w:szCs w:val="18"/>
            <w:u w:val="single" w:color="auto"/>
            <w:color w:val="0000EE"/>
          </w:rPr>
          <w:t>Exhibit 4.2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to the </w:t>
      </w:r>
      <w:hyperlink r:id="rId14">
        <w:r>
          <w:rPr>
            <w:rFonts w:ascii="Times New Roman" w:cs="Times New Roman" w:eastAsia="Times New Roman" w:hAnsi="Times New Roman"/>
            <w:sz w:val="18"/>
            <w:szCs w:val="18"/>
            <w:u w:val="single" w:color="auto"/>
            <w:color w:val="0000EE"/>
          </w:rPr>
          <w:t>Annual Report</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(which updates and supersedes the description in Noble’s registration statements filed under Section 12 of the Exchange Act), including any amendment or report filed with the Commission for the purpose of updating this description.</w:t>
      </w:r>
    </w:p>
    <w:p>
      <w:pPr>
        <w:spacing w:after="0" w:line="176" w:lineRule="exact"/>
        <w:rPr>
          <w:rFonts w:ascii="Times New Roman" w:cs="Times New Roman" w:eastAsia="Times New Roman" w:hAnsi="Times New Roman"/>
          <w:sz w:val="18"/>
          <w:szCs w:val="18"/>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All documents filed by the Registrant pursuant to Sections 13(a), 13(c), 14 or 15(d) of the Exchange Act subsequent to the date of this Post-Effective Amendment (other than any such documents or portions thereof that are furnished under Item 2.02 or Item 7.01 of Form 8-K, unless otherwise indicated therein, including any exhibits included with such Items), prior to the filing of a post-effective amendment to this Post-Effective Amendment, which indicates that all securities offered hereby have been sold or which deregisters all securities then remaining unsold, shall be deemed to be incorporated by reference in this Post-Effective Amendment and to be a part hereof from the date of filing of such documents.</w:t>
      </w:r>
    </w:p>
    <w:p>
      <w:pPr>
        <w:spacing w:after="0" w:line="183" w:lineRule="exact"/>
        <w:rPr>
          <w:rFonts w:ascii="Times New Roman" w:cs="Times New Roman" w:eastAsia="Times New Roman" w:hAnsi="Times New Roman"/>
          <w:sz w:val="18"/>
          <w:szCs w:val="18"/>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Any statement contained in this Post-Effective Amendment or in a document incorporated or deemed to be incorporated by reference herein shall be deemed to be modified or superseded for purposes of this Post-Effective Amendment to the extent that a statement contained or incorporated by reference herein or in any subsequently filed document that is deemed to be incorporated by reference herein modifies or supersedes such statement. Any such statement so modified or superseded shall not be deemed, except as so modified or superseded, to constitute a part of this Post-Effective Amendment.</w:t>
      </w:r>
    </w:p>
    <w:p>
      <w:pPr>
        <w:spacing w:after="0" w:line="176"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Description of Securities.</w:t>
      </w:r>
    </w:p>
    <w:p>
      <w:pPr>
        <w:spacing w:after="0" w:line="229" w:lineRule="exact"/>
        <w:rPr>
          <w:rFonts w:ascii="Times New Roman" w:cs="Times New Roman" w:eastAsia="Times New Roman" w:hAnsi="Times New Roman"/>
          <w:sz w:val="18"/>
          <w:szCs w:val="18"/>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Interests of Named Experts and Counsel.</w:t>
      </w:r>
    </w:p>
    <w:p>
      <w:pPr>
        <w:spacing w:after="0" w:line="229" w:lineRule="exact"/>
        <w:rPr>
          <w:rFonts w:ascii="Times New Roman" w:cs="Times New Roman" w:eastAsia="Times New Roman" w:hAnsi="Times New Roman"/>
          <w:sz w:val="18"/>
          <w:szCs w:val="18"/>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229" w:lineRule="exact"/>
        <w:rPr>
          <w:rFonts w:ascii="Times New Roman" w:cs="Times New Roman" w:eastAsia="Times New Roman" w:hAnsi="Times New Roman"/>
          <w:sz w:val="18"/>
          <w:szCs w:val="18"/>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Noble is a public limited company incorporated under the laws of England and Wales. Chapter 7 of Part 10 of the Companies Act contains provisions in respect of the protection of directors from liability. All statutory references in this Item 20 are to the Companies Act.</w:t>
      </w:r>
    </w:p>
    <w:p>
      <w:pPr>
        <w:spacing w:after="0" w:line="162" w:lineRule="exact"/>
        <w:rPr>
          <w:rFonts w:ascii="Times New Roman" w:cs="Times New Roman" w:eastAsia="Times New Roman" w:hAnsi="Times New Roman"/>
          <w:sz w:val="18"/>
          <w:szCs w:val="18"/>
          <w:color w:val="auto"/>
        </w:rPr>
      </w:pPr>
    </w:p>
    <w:p>
      <w:pPr>
        <w:ind w:right="240" w:firstLine="441"/>
        <w:spacing w:after="0" w:line="282" w:lineRule="auto"/>
        <w:rPr>
          <w:sz w:val="20"/>
          <w:szCs w:val="20"/>
          <w:color w:val="auto"/>
        </w:rPr>
      </w:pPr>
      <w:r>
        <w:rPr>
          <w:rFonts w:ascii="Times New Roman" w:cs="Times New Roman" w:eastAsia="Times New Roman" w:hAnsi="Times New Roman"/>
          <w:sz w:val="18"/>
          <w:szCs w:val="18"/>
          <w:color w:val="auto"/>
        </w:rPr>
        <w:t>Section 232(1) makes void any provision that purports to exempt a director of a company from any liability that would otherwise attach to him in connection with any negligence, default, breach of duty or breach of trust in relation to the company.</w:t>
      </w:r>
    </w:p>
    <w:p>
      <w:pPr>
        <w:spacing w:after="0" w:line="54" w:lineRule="exact"/>
        <w:rPr>
          <w:rFonts w:ascii="Times New Roman" w:cs="Times New Roman" w:eastAsia="Times New Roman" w:hAnsi="Times New Roman"/>
          <w:sz w:val="18"/>
          <w:szCs w:val="18"/>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792" w:right="419" w:bottom="1440" w:gutter="0" w:footer="0" w:header="0"/>
        </w:sectPr>
      </w:pPr>
    </w:p>
    <w:bookmarkStart w:id="3" w:name="page4"/>
    <w:bookmarkEnd w:id="3"/>
    <w:p>
      <w:pPr>
        <w:jc w:val="both"/>
        <w:ind w:right="240" w:firstLine="441"/>
        <w:spacing w:after="0" w:line="266" w:lineRule="auto"/>
        <w:rPr>
          <w:sz w:val="20"/>
          <w:szCs w:val="20"/>
          <w:color w:val="auto"/>
        </w:rPr>
      </w:pPr>
      <w:r>
        <w:rPr>
          <w:rFonts w:ascii="Times New Roman" w:cs="Times New Roman" w:eastAsia="Times New Roman" w:hAnsi="Times New Roman"/>
          <w:sz w:val="18"/>
          <w:szCs w:val="18"/>
          <w:color w:val="auto"/>
        </w:rPr>
        <w:t>Section 232(2) makes void any provision by which a company directly or indirectly provides an indemnity for a director of the company (or of an associated company) against any liability attaching to him in connection with any negligence, default, breach of duty or breach of trust in relation to the company, except as permitted by:</w:t>
      </w:r>
    </w:p>
    <w:p>
      <w:pPr>
        <w:spacing w:after="0" w:line="176" w:lineRule="exact"/>
        <w:rPr>
          <w:sz w:val="20"/>
          <w:szCs w:val="20"/>
          <w:color w:val="auto"/>
        </w:rPr>
      </w:pPr>
    </w:p>
    <w:p>
      <w:pPr>
        <w:ind w:left="700" w:hanging="251"/>
        <w:spacing w:after="0"/>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insurance pursuant to Section 233;</w:t>
      </w:r>
    </w:p>
    <w:p>
      <w:pPr>
        <w:spacing w:after="0" w:line="225" w:lineRule="exact"/>
        <w:rPr>
          <w:rFonts w:ascii="Times New Roman" w:cs="Times New Roman" w:eastAsia="Times New Roman" w:hAnsi="Times New Roman"/>
          <w:sz w:val="18"/>
          <w:szCs w:val="18"/>
          <w:color w:val="auto"/>
        </w:rPr>
      </w:pPr>
    </w:p>
    <w:p>
      <w:pPr>
        <w:ind w:left="700" w:hanging="251"/>
        <w:spacing w:after="0"/>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qualifying third-party indemnity provisions falling within Section 234; and</w:t>
      </w:r>
    </w:p>
    <w:p>
      <w:pPr>
        <w:spacing w:after="0" w:line="225" w:lineRule="exact"/>
        <w:rPr>
          <w:rFonts w:ascii="Times New Roman" w:cs="Times New Roman" w:eastAsia="Times New Roman" w:hAnsi="Times New Roman"/>
          <w:sz w:val="18"/>
          <w:szCs w:val="18"/>
          <w:color w:val="auto"/>
        </w:rPr>
      </w:pPr>
    </w:p>
    <w:p>
      <w:pPr>
        <w:ind w:left="700" w:hanging="251"/>
        <w:spacing w:after="0"/>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qualifying pension scheme indemnity provisions falling within Section 235.</w:t>
      </w:r>
    </w:p>
    <w:p>
      <w:pPr>
        <w:spacing w:after="0" w:line="225" w:lineRule="exact"/>
        <w:rPr>
          <w:sz w:val="20"/>
          <w:szCs w:val="20"/>
          <w:color w:val="auto"/>
        </w:rPr>
      </w:pPr>
    </w:p>
    <w:p>
      <w:pPr>
        <w:ind w:right="320" w:firstLine="441"/>
        <w:spacing w:after="0" w:line="282" w:lineRule="auto"/>
        <w:rPr>
          <w:sz w:val="20"/>
          <w:szCs w:val="20"/>
          <w:color w:val="auto"/>
        </w:rPr>
      </w:pPr>
      <w:r>
        <w:rPr>
          <w:rFonts w:ascii="Times New Roman" w:cs="Times New Roman" w:eastAsia="Times New Roman" w:hAnsi="Times New Roman"/>
          <w:sz w:val="18"/>
          <w:szCs w:val="18"/>
          <w:color w:val="auto"/>
        </w:rPr>
        <w:t>Section 233 permits liability insurance, commonly known as directors’ and officers’ liability insurance, purchased and maintained by a company against liability for negligence, default, breach of duty or breach of trust in relation to the company.</w:t>
      </w:r>
    </w:p>
    <w:p>
      <w:pPr>
        <w:spacing w:after="0" w:line="162" w:lineRule="exact"/>
        <w:rPr>
          <w:sz w:val="20"/>
          <w:szCs w:val="20"/>
          <w:color w:val="auto"/>
        </w:rPr>
      </w:pPr>
    </w:p>
    <w:p>
      <w:pPr>
        <w:ind w:right="40" w:firstLine="441"/>
        <w:spacing w:after="0" w:line="272" w:lineRule="auto"/>
        <w:rPr>
          <w:sz w:val="20"/>
          <w:szCs w:val="20"/>
          <w:color w:val="auto"/>
        </w:rPr>
      </w:pPr>
      <w:r>
        <w:rPr>
          <w:rFonts w:ascii="Times New Roman" w:cs="Times New Roman" w:eastAsia="Times New Roman" w:hAnsi="Times New Roman"/>
          <w:sz w:val="17"/>
          <w:szCs w:val="17"/>
          <w:color w:val="auto"/>
        </w:rPr>
        <w:t>Section 234 allows for Noble to provide an indemnity against liability incurred by a director to someone other than Noble or an associated company. Such an indemnity does not permit indemnification against liability to pay (i) criminal fines, (ii) penalties to a regulatory authority, (iii) the costs of an unsuccessful defense of criminal proceedings, (iv) the costs of an unsuccessful defense of civil proceedings brought by Noble or an associated company or</w:t>
      </w:r>
    </w:p>
    <w:p>
      <w:pPr>
        <w:spacing w:after="0" w:line="2" w:lineRule="exact"/>
        <w:rPr>
          <w:sz w:val="20"/>
          <w:szCs w:val="20"/>
          <w:color w:val="auto"/>
        </w:rPr>
      </w:pPr>
    </w:p>
    <w:p>
      <w:pPr>
        <w:ind w:right="420" w:firstLine="8"/>
        <w:spacing w:after="0" w:line="260" w:lineRule="auto"/>
        <w:tabs>
          <w:tab w:leader="none" w:pos="2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 connection with an application for relief under Sections 661(3) or (4) (power of court to grant relief in case of acquisition of shares by innocent nominee) or 1157 (general power of court to grant relief in case of honest and reasonable conduct).</w:t>
      </w:r>
    </w:p>
    <w:p>
      <w:pPr>
        <w:spacing w:after="0" w:line="181" w:lineRule="exact"/>
        <w:rPr>
          <w:sz w:val="20"/>
          <w:szCs w:val="20"/>
          <w:color w:val="auto"/>
        </w:rPr>
      </w:pPr>
    </w:p>
    <w:p>
      <w:pPr>
        <w:ind w:right="40" w:firstLine="441"/>
        <w:spacing w:after="0" w:line="266" w:lineRule="auto"/>
        <w:rPr>
          <w:sz w:val="20"/>
          <w:szCs w:val="20"/>
          <w:color w:val="auto"/>
        </w:rPr>
      </w:pPr>
      <w:r>
        <w:rPr>
          <w:rFonts w:ascii="Times New Roman" w:cs="Times New Roman" w:eastAsia="Times New Roman" w:hAnsi="Times New Roman"/>
          <w:sz w:val="18"/>
          <w:szCs w:val="18"/>
          <w:color w:val="auto"/>
        </w:rPr>
        <w:t>Any indemnity provided under Section 234 must be disclosed in Noble’s annual report in accordance with Section 236 and copies of such indemnification provisions made available for inspection in accordance with Section 237 (and every member has a right to inspect and request such copies under Section 238).</w:t>
      </w:r>
    </w:p>
    <w:p>
      <w:pPr>
        <w:spacing w:after="0" w:line="17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Conduct of a director amounting to negligence, default, breach of duty or breach of trust in relation to the company can be ratified, in accordance with Section 239, by a resolution of the members of the company, disregarding the votes of the director (if a member) and any connected member.</w:t>
      </w:r>
    </w:p>
    <w:p>
      <w:pPr>
        <w:spacing w:after="0" w:line="162"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To the extent permitted by the Companies Act (as amended from time to time) and without prejudice to any indemnity to which any person may otherwise be entitled, Noble’s articles authorize indemnification to the fullest extent permitted under law.</w:t>
      </w:r>
    </w:p>
    <w:p>
      <w:pPr>
        <w:spacing w:after="0" w:line="162"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Where a person is indemnified against any liability in accordance with this Item 20, such indemnity shall extend, to the extent permitted by the Companies Act, to all costs, charges, losses, expenses and liabilities incurred by him in relation thereto.</w:t>
      </w:r>
    </w:p>
    <w:p>
      <w:pPr>
        <w:spacing w:after="0" w:line="16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the authorization set out in Noble’s articles, to the fullest extent permitted by law and without prejudice to any other indemnity to which the director may otherwise be entitled, Noble has entered into deeds of indemnity with its directors and officers. Under the deeds of indemnity, Noble will indemnify its directors and officers to the fullest extent permitted or authorized by the Companies Act, as it may from time to time be amended, or by any other statutory provisions authorizing or permitting such indemnification.</w:t>
      </w:r>
    </w:p>
    <w:p>
      <w:pPr>
        <w:spacing w:after="0" w:line="18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directors of Noble will, to the fullest extent permitted by law, also be entitled to coverage pursuant to Noble’s current directors’ and officers’ liability insurance. The directors and officers of Noble are covered by policies of insurance under which they are insured, within limits and subject to limitations, against certain expenses not indemnifiable by Noble in connection with the defense of actions, suits or proceedings, and certain liabilities not indemnifiable by Noble that might be imposed as a result of such actions, suits or proceedings, in which they are parties by reason of being or having been directors or officers.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Exemption from Registration Claimed.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688" w:right="3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Item 8. Exhibits.</w:t>
            </w:r>
          </w:p>
        </w:tc>
        <w:tc>
          <w:tcPr>
            <w:tcW w:w="22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10"/>
        </w:trPr>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2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38"/>
        </w:trPr>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2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5680" w:type="dxa"/>
            <w:vAlign w:val="bottom"/>
            <w:gridSpan w:val="8"/>
          </w:tcPr>
          <w:p>
            <w:pPr>
              <w:ind w:left="40"/>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209"/>
        </w:trPr>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240" w:type="dxa"/>
            <w:vAlign w:val="bottom"/>
          </w:tcPr>
          <w:p>
            <w:pPr>
              <w:spacing w:after="0"/>
              <w:rPr>
                <w:sz w:val="18"/>
                <w:szCs w:val="18"/>
                <w:color w:val="auto"/>
              </w:rPr>
            </w:pPr>
          </w:p>
        </w:tc>
        <w:tc>
          <w:tcPr>
            <w:tcW w:w="9620" w:type="dxa"/>
            <w:vAlign w:val="bottom"/>
            <w:tcBorders>
              <w:top w:val="single" w:sz="8" w:color="auto"/>
              <w:bottom w:val="single" w:sz="8" w:color="0000EE"/>
            </w:tcBorders>
            <w:gridSpan w:val="9"/>
          </w:tcPr>
          <w:p>
            <w:pPr>
              <w:spacing w:after="0"/>
              <w:rPr>
                <w:rFonts w:ascii="Times New Roman" w:cs="Times New Roman" w:eastAsia="Times New Roman" w:hAnsi="Times New Roman"/>
                <w:sz w:val="18"/>
                <w:szCs w:val="18"/>
                <w:color w:val="0000EE"/>
                <w:w w:val="99"/>
              </w:rPr>
            </w:pPr>
            <w:hyperlink r:id="rId28">
              <w:r>
                <w:rPr>
                  <w:rFonts w:ascii="Times New Roman" w:cs="Times New Roman" w:eastAsia="Times New Roman" w:hAnsi="Times New Roman"/>
                  <w:sz w:val="18"/>
                  <w:szCs w:val="18"/>
                  <w:color w:val="0000EE"/>
                  <w:w w:val="99"/>
                </w:rPr>
                <w:t>Amended and Restated Articles of Association of the Company, effective as of May 5, 2022 (incorporated by reference to Exhibit 3.1</w:t>
              </w:r>
            </w:hyperlink>
          </w:p>
        </w:tc>
        <w:tc>
          <w:tcPr>
            <w:tcW w:w="140" w:type="dxa"/>
            <w:vAlign w:val="bottom"/>
            <w:tcBorders>
              <w:top w:val="single" w:sz="8" w:color="auto"/>
            </w:tcBorders>
          </w:tcPr>
          <w:p>
            <w:pPr>
              <w:spacing w:after="0"/>
              <w:rPr>
                <w:sz w:val="18"/>
                <w:szCs w:val="18"/>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2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28">
              <w:r>
                <w:rPr>
                  <w:rFonts w:ascii="Times New Roman" w:cs="Times New Roman" w:eastAsia="Times New Roman" w:hAnsi="Times New Roman"/>
                  <w:sz w:val="18"/>
                  <w:szCs w:val="18"/>
                  <w:color w:val="0000EE"/>
                  <w:w w:val="99"/>
                </w:rPr>
                <w:t>to the Registrant’s Current Report on Form 8-K filed on September 30, 2022).</w:t>
              </w:r>
            </w:hyperlink>
          </w:p>
        </w:tc>
        <w:tc>
          <w:tcPr>
            <w:tcW w:w="4140" w:type="dxa"/>
            <w:vAlign w:val="bottom"/>
            <w:gridSpan w:val="6"/>
          </w:tcPr>
          <w:p>
            <w:pPr>
              <w:spacing w:after="0"/>
              <w:rPr>
                <w:sz w:val="17"/>
                <w:szCs w:val="17"/>
                <w:color w:val="auto"/>
              </w:rPr>
            </w:pPr>
          </w:p>
        </w:tc>
      </w:tr>
      <w:tr>
        <w:trPr>
          <w:trHeight w:val="196"/>
        </w:trPr>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5.1*</w:t>
            </w:r>
          </w:p>
        </w:tc>
        <w:tc>
          <w:tcPr>
            <w:tcW w:w="240" w:type="dxa"/>
            <w:vAlign w:val="bottom"/>
          </w:tcPr>
          <w:p>
            <w:pPr>
              <w:spacing w:after="0"/>
              <w:rPr>
                <w:sz w:val="17"/>
                <w:szCs w:val="17"/>
                <w:color w:val="auto"/>
              </w:rPr>
            </w:pPr>
          </w:p>
        </w:tc>
        <w:tc>
          <w:tcPr>
            <w:tcW w:w="224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Opinion of Travers Smith LLP.</w:t>
            </w:r>
          </w:p>
        </w:tc>
        <w:tc>
          <w:tcPr>
            <w:tcW w:w="7520" w:type="dxa"/>
            <w:vAlign w:val="bottom"/>
            <w:gridSpan w:val="9"/>
          </w:tcPr>
          <w:p>
            <w:pPr>
              <w:spacing w:after="0"/>
              <w:rPr>
                <w:sz w:val="17"/>
                <w:szCs w:val="17"/>
                <w:color w:val="auto"/>
              </w:rPr>
            </w:pPr>
          </w:p>
        </w:tc>
      </w:tr>
      <w:tr>
        <w:trPr>
          <w:trHeight w:val="196"/>
        </w:trPr>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240" w:type="dxa"/>
            <w:vAlign w:val="bottom"/>
          </w:tcPr>
          <w:p>
            <w:pPr>
              <w:spacing w:after="0"/>
              <w:rPr>
                <w:sz w:val="17"/>
                <w:szCs w:val="17"/>
                <w:color w:val="auto"/>
              </w:rPr>
            </w:pPr>
          </w:p>
        </w:tc>
        <w:tc>
          <w:tcPr>
            <w:tcW w:w="644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Consent of PricewaterhouseCoopers LLP, independent registered public accounting firm.</w:t>
            </w:r>
          </w:p>
        </w:tc>
        <w:tc>
          <w:tcPr>
            <w:tcW w:w="3320" w:type="dxa"/>
            <w:vAlign w:val="bottom"/>
            <w:gridSpan w:val="4"/>
          </w:tcPr>
          <w:p>
            <w:pPr>
              <w:spacing w:after="0"/>
              <w:rPr>
                <w:sz w:val="17"/>
                <w:szCs w:val="17"/>
                <w:color w:val="auto"/>
              </w:rPr>
            </w:pPr>
          </w:p>
        </w:tc>
      </w:tr>
      <w:tr>
        <w:trPr>
          <w:trHeight w:val="196"/>
        </w:trPr>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23.2*</w:t>
            </w:r>
          </w:p>
        </w:tc>
        <w:tc>
          <w:tcPr>
            <w:tcW w:w="240" w:type="dxa"/>
            <w:vAlign w:val="bottom"/>
          </w:tcPr>
          <w:p>
            <w:pPr>
              <w:spacing w:after="0"/>
              <w:rPr>
                <w:sz w:val="17"/>
                <w:szCs w:val="17"/>
                <w:color w:val="auto"/>
              </w:rPr>
            </w:pPr>
          </w:p>
        </w:tc>
        <w:tc>
          <w:tcPr>
            <w:tcW w:w="642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Consent of PricewaterhouseCoopers LLP, independent registered public accounting firm.</w:t>
            </w:r>
          </w:p>
        </w:tc>
        <w:tc>
          <w:tcPr>
            <w:tcW w:w="3340" w:type="dxa"/>
            <w:vAlign w:val="bottom"/>
            <w:gridSpan w:val="5"/>
          </w:tcPr>
          <w:p>
            <w:pPr>
              <w:spacing w:after="0"/>
              <w:rPr>
                <w:sz w:val="17"/>
                <w:szCs w:val="17"/>
                <w:color w:val="auto"/>
              </w:rPr>
            </w:pPr>
          </w:p>
        </w:tc>
      </w:tr>
      <w:tr>
        <w:trPr>
          <w:trHeight w:val="196"/>
        </w:trPr>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23.3*</w:t>
            </w:r>
          </w:p>
        </w:tc>
        <w:tc>
          <w:tcPr>
            <w:tcW w:w="240" w:type="dxa"/>
            <w:vAlign w:val="bottom"/>
          </w:tcPr>
          <w:p>
            <w:pPr>
              <w:spacing w:after="0"/>
              <w:rPr>
                <w:sz w:val="17"/>
                <w:szCs w:val="17"/>
                <w:color w:val="auto"/>
              </w:rPr>
            </w:pPr>
          </w:p>
        </w:tc>
        <w:tc>
          <w:tcPr>
            <w:tcW w:w="408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Consent of Travers Smith LLP (included in Exhibit 5.1).</w:t>
            </w:r>
          </w:p>
        </w:tc>
        <w:tc>
          <w:tcPr>
            <w:tcW w:w="5680" w:type="dxa"/>
            <w:vAlign w:val="bottom"/>
            <w:gridSpan w:val="8"/>
          </w:tcPr>
          <w:p>
            <w:pPr>
              <w:spacing w:after="0"/>
              <w:rPr>
                <w:sz w:val="17"/>
                <w:szCs w:val="17"/>
                <w:color w:val="auto"/>
              </w:rPr>
            </w:pPr>
          </w:p>
        </w:tc>
      </w:tr>
      <w:tr>
        <w:trPr>
          <w:trHeight w:val="196"/>
        </w:trPr>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24.1</w:t>
            </w:r>
          </w:p>
        </w:tc>
        <w:tc>
          <w:tcPr>
            <w:tcW w:w="240" w:type="dxa"/>
            <w:vAlign w:val="bottom"/>
          </w:tcPr>
          <w:p>
            <w:pPr>
              <w:spacing w:after="0"/>
              <w:rPr>
                <w:sz w:val="17"/>
                <w:szCs w:val="17"/>
                <w:color w:val="auto"/>
              </w:rPr>
            </w:pPr>
          </w:p>
        </w:tc>
        <w:tc>
          <w:tcPr>
            <w:tcW w:w="854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29">
              <w:r>
                <w:rPr>
                  <w:rFonts w:ascii="Times New Roman" w:cs="Times New Roman" w:eastAsia="Times New Roman" w:hAnsi="Times New Roman"/>
                  <w:sz w:val="18"/>
                  <w:szCs w:val="18"/>
                  <w:color w:val="0000EE"/>
                  <w:w w:val="99"/>
                </w:rPr>
                <w:t>Powers of Attorney (included as Exhibit 24.1 to the original registration statement on Form S-4 filed on June 9, 2024).</w:t>
              </w:r>
            </w:hyperlink>
          </w:p>
        </w:tc>
        <w:tc>
          <w:tcPr>
            <w:tcW w:w="1220" w:type="dxa"/>
            <w:vAlign w:val="bottom"/>
            <w:gridSpan w:val="3"/>
          </w:tcPr>
          <w:p>
            <w:pPr>
              <w:spacing w:after="0"/>
              <w:rPr>
                <w:sz w:val="17"/>
                <w:szCs w:val="17"/>
                <w:color w:val="auto"/>
              </w:rPr>
            </w:pPr>
          </w:p>
        </w:tc>
      </w:tr>
      <w:tr>
        <w:trPr>
          <w:trHeight w:val="196"/>
        </w:trPr>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99.1</w:t>
            </w:r>
          </w:p>
        </w:tc>
        <w:tc>
          <w:tcPr>
            <w:tcW w:w="240" w:type="dxa"/>
            <w:vAlign w:val="bottom"/>
          </w:tcPr>
          <w:p>
            <w:pPr>
              <w:spacing w:after="0"/>
              <w:rPr>
                <w:sz w:val="17"/>
                <w:szCs w:val="17"/>
                <w:color w:val="auto"/>
              </w:rPr>
            </w:pPr>
          </w:p>
        </w:tc>
        <w:tc>
          <w:tcPr>
            <w:tcW w:w="9760" w:type="dxa"/>
            <w:vAlign w:val="bottom"/>
            <w:gridSpan w:val="10"/>
          </w:tcPr>
          <w:p>
            <w:pPr>
              <w:spacing w:after="0" w:line="196" w:lineRule="exact"/>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Diamond Offshore Drilling, Inc. 2021 Long-Term Stock Incentive Plan (incorporated by reference to Exhibit 10.6 to Diamond</w:t>
              </w:r>
            </w:hyperlink>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8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30">
              <w:r>
                <w:rPr>
                  <w:rFonts w:ascii="Times New Roman" w:cs="Times New Roman" w:eastAsia="Times New Roman" w:hAnsi="Times New Roman"/>
                  <w:sz w:val="18"/>
                  <w:szCs w:val="18"/>
                  <w:color w:val="0000EE"/>
                  <w:w w:val="99"/>
                </w:rPr>
                <w:t>Offshore’s Current Report on Form 8-K filed on April 29, 2021).</w:t>
              </w:r>
            </w:hyperlink>
          </w:p>
        </w:tc>
        <w:tc>
          <w:tcPr>
            <w:tcW w:w="4420" w:type="dxa"/>
            <w:vAlign w:val="bottom"/>
            <w:tcBorders>
              <w:top w:val="single" w:sz="8" w:color="0000EE"/>
            </w:tcBorders>
            <w:gridSpan w:val="5"/>
          </w:tcPr>
          <w:p>
            <w:pPr>
              <w:spacing w:after="0"/>
              <w:rPr>
                <w:sz w:val="17"/>
                <w:szCs w:val="17"/>
                <w:color w:val="auto"/>
              </w:rPr>
            </w:pPr>
          </w:p>
        </w:tc>
        <w:tc>
          <w:tcPr>
            <w:tcW w:w="660" w:type="dxa"/>
            <w:vAlign w:val="bottom"/>
            <w:gridSpan w:val="2"/>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0712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1">
                      <a:extLst>
                        <a:ext uri="{28A0092B-C50C-407E-A947-70E740481C1C}"/>
                      </a:extLst>
                    </a:blip>
                    <a:srcRect/>
                    <a:stretch>
                      <a:fillRect/>
                    </a:stretch>
                  </pic:blipFill>
                  <pic:spPr bwMode="auto">
                    <a:xfrm>
                      <a:off x="0" y="0"/>
                      <a:ext cx="107124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200" w:lineRule="exact"/>
        <w:rPr>
          <w:sz w:val="20"/>
          <w:szCs w:val="20"/>
          <w:color w:val="auto"/>
        </w:rPr>
      </w:pPr>
    </w:p>
    <w:p>
      <w:pPr>
        <w:spacing w:after="0" w:line="245"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1620" w:hanging="640"/>
        <w:spacing w:after="0"/>
        <w:tabs>
          <w:tab w:leader="none" w:pos="162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225" w:lineRule="exact"/>
        <w:rPr>
          <w:rFonts w:ascii="Times New Roman" w:cs="Times New Roman" w:eastAsia="Times New Roman" w:hAnsi="Times New Roman"/>
          <w:sz w:val="18"/>
          <w:szCs w:val="18"/>
          <w:color w:val="auto"/>
        </w:rPr>
      </w:pPr>
    </w:p>
    <w:p>
      <w:pPr>
        <w:ind w:left="1620" w:right="80" w:hanging="640"/>
        <w:spacing w:after="0" w:line="255" w:lineRule="auto"/>
        <w:tabs>
          <w:tab w:leader="none" w:pos="162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this effective Registration Statement; and</w:t>
      </w:r>
    </w:p>
    <w:p>
      <w:pPr>
        <w:spacing w:after="0" w:line="188" w:lineRule="exact"/>
        <w:rPr>
          <w:rFonts w:ascii="Times New Roman" w:cs="Times New Roman" w:eastAsia="Times New Roman" w:hAnsi="Times New Roman"/>
          <w:sz w:val="18"/>
          <w:szCs w:val="18"/>
          <w:color w:val="auto"/>
        </w:rPr>
      </w:pPr>
    </w:p>
    <w:p>
      <w:pPr>
        <w:ind w:left="1620" w:right="60" w:hanging="640"/>
        <w:spacing w:after="0" w:line="282" w:lineRule="auto"/>
        <w:tabs>
          <w:tab w:leader="none" w:pos="162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54" w:lineRule="exact"/>
        <w:rPr>
          <w:sz w:val="20"/>
          <w:szCs w:val="20"/>
          <w:color w:val="auto"/>
        </w:rPr>
      </w:pPr>
    </w:p>
    <w:p>
      <w:pPr>
        <w:ind w:left="660" w:right="80"/>
        <w:spacing w:after="0" w:line="266" w:lineRule="auto"/>
        <w:rPr>
          <w:sz w:val="20"/>
          <w:szCs w:val="20"/>
          <w:color w:val="auto"/>
        </w:rPr>
      </w:pPr>
      <w:r>
        <w:rPr>
          <w:rFonts w:ascii="Times New Roman" w:cs="Times New Roman" w:eastAsia="Times New Roman" w:hAnsi="Times New Roman"/>
          <w:sz w:val="18"/>
          <w:szCs w:val="18"/>
          <w:color w:val="auto"/>
        </w:rPr>
        <w:t>provided, however, that paragraphs (a)(1)(i) and (a)(1)(ii) of this section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this Registration Statement.</w:t>
      </w:r>
    </w:p>
    <w:p>
      <w:pPr>
        <w:spacing w:after="0" w:line="176" w:lineRule="exact"/>
        <w:rPr>
          <w:sz w:val="20"/>
          <w:szCs w:val="20"/>
          <w:color w:val="auto"/>
        </w:rPr>
      </w:pPr>
    </w:p>
    <w:p>
      <w:pPr>
        <w:jc w:val="both"/>
        <w:ind w:left="980" w:right="120" w:hanging="324"/>
        <w:spacing w:after="0" w:line="266"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 w:name="page6"/>
    <w:bookmarkEnd w:id="5"/>
    <w:p>
      <w:pPr>
        <w:ind w:left="648" w:right="560" w:hanging="324"/>
        <w:spacing w:after="0" w:line="282" w:lineRule="auto"/>
        <w:tabs>
          <w:tab w:leader="none" w:pos="648"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ind w:left="328" w:hanging="328"/>
        <w:spacing w:after="0" w:line="258" w:lineRule="auto"/>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Times New Roman" w:cs="Times New Roman" w:eastAsia="Times New Roman" w:hAnsi="Times New Roman"/>
          <w:sz w:val="18"/>
          <w:szCs w:val="18"/>
          <w:color w:val="auto"/>
        </w:rPr>
      </w:pPr>
    </w:p>
    <w:p>
      <w:pPr>
        <w:ind w:left="328" w:right="60" w:hanging="328"/>
        <w:spacing w:after="0" w:line="254" w:lineRule="auto"/>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8"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8"/>
          </w:cols>
          <w:pgMar w:left="652" w:top="580" w:right="359" w:bottom="1440" w:gutter="0" w:footer="0" w:header="0"/>
        </w:sectPr>
      </w:pPr>
    </w:p>
    <w:bookmarkStart w:id="6" w:name="page7"/>
    <w:bookmarkEnd w:id="6"/>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certifies that it has reasonable grounds to believe that it meets all of the requirements for filing on Form S-8 and has duly caused this Post-Effective Amendment on Form S-8 to the Registration Statement on Form S-4 to be signed on its behalf by the undersigned, thereunto duly authorized, in Sugar Land, Texas, on this 4th day of September, 2024.</w:t>
      </w:r>
    </w:p>
    <w:p>
      <w:pPr>
        <w:spacing w:after="0" w:line="17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NOBLE CORPORATION plc</w:t>
      </w:r>
    </w:p>
    <w:p>
      <w:pPr>
        <w:spacing w:after="0" w:line="200" w:lineRule="exact"/>
        <w:rPr>
          <w:sz w:val="20"/>
          <w:szCs w:val="20"/>
          <w:color w:val="auto"/>
        </w:rPr>
      </w:pPr>
    </w:p>
    <w:p>
      <w:pPr>
        <w:spacing w:after="0" w:line="245"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Robert W. Eifler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1342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4">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Robert W. Eifler</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Post-Effective Amendment on Form S-8 to the Registration Statement on Form S-4 has been signed by the following persons in the capacities indicated on the date indicated.</w:t>
      </w:r>
    </w:p>
    <w:p>
      <w:pPr>
        <w:spacing w:after="0" w:line="27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0"/>
          </w:cols>
          <w:pgMar w:left="320" w:top="792" w:right="69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Signature</w:t>
            </w:r>
          </w:p>
        </w:tc>
        <w:tc>
          <w:tcPr>
            <w:tcW w:w="120" w:type="dxa"/>
            <w:vAlign w:val="bottom"/>
          </w:tcPr>
          <w:p>
            <w:pPr>
              <w:spacing w:after="0"/>
              <w:rPr>
                <w:sz w:val="20"/>
                <w:szCs w:val="20"/>
                <w:color w:val="auto"/>
              </w:rPr>
            </w:pPr>
          </w:p>
        </w:tc>
        <w:tc>
          <w:tcPr>
            <w:tcW w:w="5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Title</w:t>
            </w:r>
          </w:p>
        </w:tc>
        <w:tc>
          <w:tcPr>
            <w:tcW w:w="100" w:type="dxa"/>
            <w:vAlign w:val="bottom"/>
          </w:tcPr>
          <w:p>
            <w:pPr>
              <w:spacing w:after="0"/>
              <w:rPr>
                <w:sz w:val="20"/>
                <w:szCs w:val="20"/>
                <w:color w:val="auto"/>
              </w:rPr>
            </w:pPr>
          </w:p>
        </w:tc>
        <w:tc>
          <w:tcPr>
            <w:tcW w:w="2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Date</w:t>
            </w:r>
          </w:p>
        </w:tc>
      </w:tr>
      <w:tr>
        <w:trPr>
          <w:trHeight w:val="425"/>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W. Eifler</w:t>
            </w:r>
          </w:p>
        </w:tc>
        <w:tc>
          <w:tcPr>
            <w:tcW w:w="5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 President and Chief Executive Officer</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September 4, 2024</w:t>
            </w:r>
          </w:p>
        </w:tc>
      </w:tr>
      <w:tr>
        <w:trPr>
          <w:trHeight w:val="228"/>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Robert W. Eifler</w:t>
            </w:r>
          </w:p>
        </w:tc>
        <w:tc>
          <w:tcPr>
            <w:tcW w:w="5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240" w:type="dxa"/>
            <w:vAlign w:val="bottom"/>
          </w:tcPr>
          <w:p>
            <w:pPr>
              <w:spacing w:after="0"/>
              <w:rPr>
                <w:sz w:val="19"/>
                <w:szCs w:val="19"/>
                <w:color w:val="auto"/>
              </w:rPr>
            </w:pPr>
          </w:p>
        </w:tc>
      </w:tr>
      <w:tr>
        <w:trPr>
          <w:trHeight w:val="414"/>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B. Barker</w:t>
            </w:r>
          </w:p>
        </w:tc>
        <w:tc>
          <w:tcPr>
            <w:tcW w:w="5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September 4, 2024</w:t>
            </w:r>
          </w:p>
        </w:tc>
      </w:tr>
      <w:tr>
        <w:trPr>
          <w:trHeight w:val="228"/>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Richard B. Barker</w:t>
            </w:r>
          </w:p>
        </w:tc>
        <w:tc>
          <w:tcPr>
            <w:tcW w:w="5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2240" w:type="dxa"/>
            <w:vAlign w:val="bottom"/>
          </w:tcPr>
          <w:p>
            <w:pPr>
              <w:spacing w:after="0"/>
              <w:rPr>
                <w:sz w:val="19"/>
                <w:szCs w:val="19"/>
                <w:color w:val="auto"/>
              </w:rPr>
            </w:pPr>
          </w:p>
        </w:tc>
      </w:tr>
      <w:tr>
        <w:trPr>
          <w:trHeight w:val="414"/>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Jennifer Yeung</w:t>
            </w:r>
          </w:p>
        </w:tc>
        <w:tc>
          <w:tcPr>
            <w:tcW w:w="5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Vice President, Chief Accounting Officer and Controller</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September 4, 2024</w:t>
            </w:r>
          </w:p>
        </w:tc>
      </w:tr>
      <w:tr>
        <w:trPr>
          <w:trHeight w:val="228"/>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Jennifer Yeung</w:t>
            </w:r>
          </w:p>
        </w:tc>
        <w:tc>
          <w:tcPr>
            <w:tcW w:w="5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2240" w:type="dxa"/>
            <w:vAlign w:val="bottom"/>
          </w:tcPr>
          <w:p>
            <w:pPr>
              <w:spacing w:after="0"/>
              <w:rPr>
                <w:sz w:val="19"/>
                <w:szCs w:val="19"/>
                <w:color w:val="auto"/>
              </w:rPr>
            </w:pPr>
          </w:p>
        </w:tc>
      </w:tr>
      <w:tr>
        <w:trPr>
          <w:trHeight w:val="414"/>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 and Chairman</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September 4, 2024</w:t>
            </w:r>
          </w:p>
        </w:tc>
      </w:tr>
      <w:tr>
        <w:trPr>
          <w:trHeight w:val="228"/>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Charles M. Sledge</w:t>
            </w:r>
          </w:p>
        </w:tc>
        <w:tc>
          <w:tcPr>
            <w:tcW w:w="1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4"/>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September 4, 2024</w:t>
            </w:r>
          </w:p>
        </w:tc>
      </w:tr>
      <w:tr>
        <w:trPr>
          <w:trHeight w:val="228"/>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Claus V. Hemmingsen</w:t>
            </w:r>
          </w:p>
        </w:tc>
        <w:tc>
          <w:tcPr>
            <w:tcW w:w="1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4"/>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September 4, 2024</w:t>
            </w:r>
          </w:p>
        </w:tc>
      </w:tr>
      <w:tr>
        <w:trPr>
          <w:trHeight w:val="228"/>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Alan J. Hirshberg</w:t>
            </w:r>
          </w:p>
        </w:tc>
        <w:tc>
          <w:tcPr>
            <w:tcW w:w="1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4"/>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September 4, 2024</w:t>
            </w:r>
          </w:p>
        </w:tc>
      </w:tr>
      <w:tr>
        <w:trPr>
          <w:trHeight w:val="228"/>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Kristin H. Holth</w:t>
            </w:r>
          </w:p>
        </w:tc>
        <w:tc>
          <w:tcPr>
            <w:tcW w:w="1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4"/>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September 4, 2024</w:t>
            </w:r>
          </w:p>
        </w:tc>
      </w:tr>
      <w:tr>
        <w:trPr>
          <w:trHeight w:val="228"/>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H. Keith Jennings</w:t>
            </w:r>
          </w:p>
        </w:tc>
        <w:tc>
          <w:tcPr>
            <w:tcW w:w="1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4"/>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September 4, 2024</w:t>
            </w:r>
          </w:p>
        </w:tc>
      </w:tr>
      <w:tr>
        <w:trPr>
          <w:trHeight w:val="228"/>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Alastair J. Maxwell</w:t>
            </w:r>
          </w:p>
        </w:tc>
        <w:tc>
          <w:tcPr>
            <w:tcW w:w="1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4"/>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September 4, 2024</w:t>
            </w:r>
          </w:p>
        </w:tc>
      </w:tr>
      <w:tr>
        <w:trPr>
          <w:trHeight w:val="228"/>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Ann D. Pickard</w:t>
            </w:r>
          </w:p>
        </w:tc>
        <w:tc>
          <w:tcPr>
            <w:tcW w:w="1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4"/>
        </w:trPr>
        <w:tc>
          <w:tcPr>
            <w:tcW w:w="3380" w:type="dxa"/>
            <w:vAlign w:val="bottom"/>
            <w:tcBorders>
              <w:bottom w:val="single" w:sz="8" w:color="auto"/>
            </w:tcBorders>
          </w:tcPr>
          <w:p>
            <w:pPr>
              <w:spacing w:after="0"/>
              <w:rPr>
                <w:sz w:val="24"/>
                <w:szCs w:val="24"/>
                <w:color w:val="auto"/>
              </w:rPr>
            </w:pPr>
          </w:p>
        </w:tc>
        <w:tc>
          <w:tcPr>
            <w:tcW w:w="5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September 4, 2024</w:t>
            </w:r>
          </w:p>
        </w:tc>
      </w:tr>
      <w:tr>
        <w:trPr>
          <w:trHeight w:val="228"/>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Patrice Douglas</w:t>
            </w:r>
          </w:p>
        </w:tc>
        <w:tc>
          <w:tcPr>
            <w:tcW w:w="1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140" w:right="8800" w:hanging="565"/>
        <w:spacing w:after="0" w:line="274" w:lineRule="auto"/>
        <w:tabs>
          <w:tab w:leader="none" w:pos="70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 Jennie Howard Jennie Howard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-300990</wp:posOffset>
            </wp:positionV>
            <wp:extent cx="21342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6">
                      <a:extLst>
                        <a:ext uri="{28A0092B-C50C-407E-A947-70E740481C1C}"/>
                      </a:extLst>
                    </a:blip>
                    <a:srcRect/>
                    <a:stretch>
                      <a:fillRect/>
                    </a:stretch>
                  </pic:blipFill>
                  <pic:spPr bwMode="auto">
                    <a:xfrm>
                      <a:off x="0" y="0"/>
                      <a:ext cx="21342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 w:name="page9"/>
    <w:bookmarkEnd w:id="8"/>
    <w:p>
      <w:pPr>
        <w:ind w:left="10000"/>
        <w:spacing w:after="0"/>
        <w:rPr>
          <w:sz w:val="20"/>
          <w:szCs w:val="20"/>
          <w:color w:val="auto"/>
        </w:rPr>
      </w:pPr>
      <w:r>
        <w:rPr>
          <w:rFonts w:ascii="Times New Roman" w:cs="Times New Roman" w:eastAsia="Times New Roman" w:hAnsi="Times New Roman"/>
          <w:sz w:val="21"/>
          <w:szCs w:val="21"/>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1671320" cy="548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8">
                      <a:extLst>
                        <a:ext uri="{28A0092B-C50C-407E-A947-70E740481C1C}"/>
                      </a:extLst>
                    </a:blip>
                    <a:srcRect/>
                    <a:stretch>
                      <a:fillRect/>
                    </a:stretch>
                  </pic:blipFill>
                  <pic:spPr bwMode="auto">
                    <a:xfrm>
                      <a:off x="0" y="0"/>
                      <a:ext cx="167132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520" w:type="dxa"/>
            <w:vAlign w:val="bottom"/>
          </w:tcPr>
          <w:p>
            <w:pPr>
              <w:jc w:val="right"/>
              <w:spacing w:after="0"/>
              <w:rPr>
                <w:sz w:val="20"/>
                <w:szCs w:val="20"/>
                <w:color w:val="auto"/>
              </w:rPr>
            </w:pPr>
            <w:r>
              <w:rPr>
                <w:rFonts w:ascii="Arial" w:cs="Arial" w:eastAsia="Arial" w:hAnsi="Arial"/>
                <w:sz w:val="14"/>
                <w:szCs w:val="14"/>
                <w:b w:val="1"/>
                <w:bCs w:val="1"/>
                <w:color w:val="auto"/>
              </w:rPr>
              <w:t xml:space="preserve">Travers Smith LLP </w:t>
            </w:r>
            <w:r>
              <w:rPr>
                <w:rFonts w:ascii="Arial" w:cs="Arial" w:eastAsia="Arial" w:hAnsi="Arial"/>
                <w:sz w:val="14"/>
                <w:szCs w:val="14"/>
                <w:color w:val="auto"/>
              </w:rPr>
              <w:t>10 Snow Hill, London, EC1A 2AL</w:t>
            </w:r>
          </w:p>
        </w:tc>
        <w:tc>
          <w:tcPr>
            <w:tcW w:w="0" w:type="dxa"/>
            <w:vAlign w:val="bottom"/>
          </w:tcPr>
          <w:p>
            <w:pPr>
              <w:spacing w:after="0"/>
              <w:rPr>
                <w:sz w:val="1"/>
                <w:szCs w:val="1"/>
                <w:color w:val="auto"/>
              </w:rPr>
            </w:pPr>
          </w:p>
        </w:tc>
      </w:tr>
      <w:tr>
        <w:trPr>
          <w:trHeight w:val="190"/>
        </w:trPr>
        <w:tc>
          <w:tcPr>
            <w:tcW w:w="430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3520" w:type="dxa"/>
            <w:vAlign w:val="bottom"/>
          </w:tcPr>
          <w:p>
            <w:pPr>
              <w:jc w:val="right"/>
              <w:spacing w:after="0"/>
              <w:rPr>
                <w:sz w:val="20"/>
                <w:szCs w:val="20"/>
                <w:color w:val="auto"/>
              </w:rPr>
            </w:pPr>
            <w:r>
              <w:rPr>
                <w:rFonts w:ascii="Arial" w:cs="Arial" w:eastAsia="Arial" w:hAnsi="Arial"/>
                <w:sz w:val="14"/>
                <w:szCs w:val="14"/>
                <w:color w:val="auto"/>
              </w:rPr>
              <w:t>T: +44 (0)20 7295 3000 | www.traverssmith.com</w:t>
            </w:r>
          </w:p>
        </w:tc>
        <w:tc>
          <w:tcPr>
            <w:tcW w:w="0" w:type="dxa"/>
            <w:vAlign w:val="bottom"/>
          </w:tcPr>
          <w:p>
            <w:pPr>
              <w:spacing w:after="0"/>
              <w:rPr>
                <w:sz w:val="1"/>
                <w:szCs w:val="1"/>
                <w:color w:val="auto"/>
              </w:rPr>
            </w:pPr>
          </w:p>
        </w:tc>
      </w:tr>
      <w:tr>
        <w:trPr>
          <w:trHeight w:val="35"/>
        </w:trPr>
        <w:tc>
          <w:tcPr>
            <w:tcW w:w="4300" w:type="dxa"/>
            <w:vAlign w:val="bottom"/>
            <w:tcBorders>
              <w:bottom w:val="single" w:sz="8" w:color="339966"/>
            </w:tcBorders>
          </w:tcPr>
          <w:p>
            <w:pPr>
              <w:spacing w:after="0"/>
              <w:rPr>
                <w:sz w:val="3"/>
                <w:szCs w:val="3"/>
                <w:color w:val="auto"/>
              </w:rPr>
            </w:pPr>
          </w:p>
        </w:tc>
        <w:tc>
          <w:tcPr>
            <w:tcW w:w="3420" w:type="dxa"/>
            <w:vAlign w:val="bottom"/>
            <w:tcBorders>
              <w:bottom w:val="single" w:sz="8" w:color="339966"/>
            </w:tcBorders>
          </w:tcPr>
          <w:p>
            <w:pPr>
              <w:spacing w:after="0"/>
              <w:rPr>
                <w:sz w:val="3"/>
                <w:szCs w:val="3"/>
                <w:color w:val="auto"/>
              </w:rPr>
            </w:pPr>
          </w:p>
        </w:tc>
        <w:tc>
          <w:tcPr>
            <w:tcW w:w="3520" w:type="dxa"/>
            <w:vAlign w:val="bottom"/>
            <w:tcBorders>
              <w:bottom w:val="single" w:sz="8" w:color="339966"/>
            </w:tcBorders>
          </w:tcPr>
          <w:p>
            <w:pPr>
              <w:spacing w:after="0"/>
              <w:rPr>
                <w:sz w:val="3"/>
                <w:szCs w:val="3"/>
                <w:color w:val="auto"/>
              </w:rPr>
            </w:pPr>
          </w:p>
        </w:tc>
        <w:tc>
          <w:tcPr>
            <w:tcW w:w="0" w:type="dxa"/>
            <w:vAlign w:val="bottom"/>
          </w:tcPr>
          <w:p>
            <w:pPr>
              <w:spacing w:after="0"/>
              <w:rPr>
                <w:sz w:val="1"/>
                <w:szCs w:val="1"/>
                <w:color w:val="auto"/>
              </w:rPr>
            </w:pPr>
          </w:p>
        </w:tc>
      </w:tr>
      <w:tr>
        <w:trPr>
          <w:trHeight w:val="646"/>
        </w:trPr>
        <w:tc>
          <w:tcPr>
            <w:tcW w:w="4300" w:type="dxa"/>
            <w:vAlign w:val="bottom"/>
          </w:tcPr>
          <w:p>
            <w:pPr>
              <w:spacing w:after="0"/>
              <w:rPr>
                <w:sz w:val="20"/>
                <w:szCs w:val="20"/>
                <w:color w:val="auto"/>
              </w:rPr>
            </w:pPr>
            <w:r>
              <w:rPr>
                <w:rFonts w:ascii="Arial" w:cs="Arial" w:eastAsia="Arial" w:hAnsi="Arial"/>
                <w:sz w:val="18"/>
                <w:szCs w:val="18"/>
                <w:color w:val="auto"/>
              </w:rPr>
              <w:t>Noble Corporation plc</w:t>
            </w:r>
          </w:p>
        </w:tc>
        <w:tc>
          <w:tcPr>
            <w:tcW w:w="3420" w:type="dxa"/>
            <w:vAlign w:val="bottom"/>
          </w:tcPr>
          <w:p>
            <w:pPr>
              <w:ind w:left="2560"/>
              <w:spacing w:after="0"/>
              <w:rPr>
                <w:sz w:val="20"/>
                <w:szCs w:val="20"/>
                <w:color w:val="auto"/>
              </w:rPr>
            </w:pPr>
            <w:r>
              <w:rPr>
                <w:rFonts w:ascii="Arial" w:cs="Arial" w:eastAsia="Arial" w:hAnsi="Arial"/>
                <w:sz w:val="14"/>
                <w:szCs w:val="14"/>
                <w:b w:val="1"/>
                <w:bCs w:val="1"/>
                <w:color w:val="auto"/>
              </w:rPr>
              <w:t>Your ref:</w:t>
            </w:r>
          </w:p>
        </w:tc>
        <w:tc>
          <w:tcPr>
            <w:tcW w:w="3520" w:type="dxa"/>
            <w:vAlign w:val="bottom"/>
            <w:vMerge w:val="restart"/>
          </w:tcPr>
          <w:p>
            <w:pPr>
              <w:ind w:left="840"/>
              <w:spacing w:after="0"/>
              <w:rPr>
                <w:sz w:val="20"/>
                <w:szCs w:val="20"/>
                <w:color w:val="auto"/>
              </w:rPr>
            </w:pPr>
            <w:r>
              <w:rPr>
                <w:rFonts w:ascii="Arial" w:cs="Arial" w:eastAsia="Arial" w:hAnsi="Arial"/>
                <w:sz w:val="18"/>
                <w:szCs w:val="18"/>
                <w:color w:val="auto"/>
              </w:rPr>
              <w:t>JMR/AZS</w:t>
            </w:r>
          </w:p>
        </w:tc>
        <w:tc>
          <w:tcPr>
            <w:tcW w:w="0" w:type="dxa"/>
            <w:vAlign w:val="bottom"/>
          </w:tcPr>
          <w:p>
            <w:pPr>
              <w:spacing w:after="0"/>
              <w:rPr>
                <w:sz w:val="1"/>
                <w:szCs w:val="1"/>
                <w:color w:val="auto"/>
              </w:rPr>
            </w:pPr>
          </w:p>
        </w:tc>
      </w:tr>
      <w:tr>
        <w:trPr>
          <w:trHeight w:val="206"/>
        </w:trPr>
        <w:tc>
          <w:tcPr>
            <w:tcW w:w="4300" w:type="dxa"/>
            <w:vAlign w:val="bottom"/>
          </w:tcPr>
          <w:p>
            <w:pPr>
              <w:spacing w:after="0"/>
              <w:rPr>
                <w:sz w:val="20"/>
                <w:szCs w:val="20"/>
                <w:color w:val="auto"/>
              </w:rPr>
            </w:pPr>
            <w:r>
              <w:rPr>
                <w:rFonts w:ascii="Arial" w:cs="Arial" w:eastAsia="Arial" w:hAnsi="Arial"/>
                <w:sz w:val="18"/>
                <w:szCs w:val="18"/>
                <w:color w:val="auto"/>
              </w:rPr>
              <w:t>3rd Floor</w:t>
            </w:r>
          </w:p>
        </w:tc>
        <w:tc>
          <w:tcPr>
            <w:tcW w:w="3420" w:type="dxa"/>
            <w:vAlign w:val="bottom"/>
          </w:tcPr>
          <w:p>
            <w:pPr>
              <w:ind w:left="2560"/>
              <w:spacing w:after="0"/>
              <w:rPr>
                <w:sz w:val="20"/>
                <w:szCs w:val="20"/>
                <w:color w:val="auto"/>
              </w:rPr>
            </w:pPr>
            <w:r>
              <w:rPr>
                <w:rFonts w:ascii="Arial" w:cs="Arial" w:eastAsia="Arial" w:hAnsi="Arial"/>
                <w:sz w:val="14"/>
                <w:szCs w:val="14"/>
                <w:b w:val="1"/>
                <w:bCs w:val="1"/>
                <w:color w:val="auto"/>
              </w:rPr>
              <w:t>Our ref:</w:t>
            </w:r>
          </w:p>
        </w:tc>
        <w:tc>
          <w:tcPr>
            <w:tcW w:w="3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300" w:type="dxa"/>
            <w:vAlign w:val="bottom"/>
          </w:tcPr>
          <w:p>
            <w:pPr>
              <w:spacing w:after="0"/>
              <w:rPr>
                <w:sz w:val="20"/>
                <w:szCs w:val="20"/>
                <w:color w:val="auto"/>
              </w:rPr>
            </w:pPr>
            <w:r>
              <w:rPr>
                <w:rFonts w:ascii="Arial" w:cs="Arial" w:eastAsia="Arial" w:hAnsi="Arial"/>
                <w:sz w:val="18"/>
                <w:szCs w:val="18"/>
                <w:color w:val="auto"/>
              </w:rPr>
              <w:t>1 Ashley Road</w:t>
            </w:r>
          </w:p>
        </w:tc>
        <w:tc>
          <w:tcPr>
            <w:tcW w:w="3420" w:type="dxa"/>
            <w:vAlign w:val="bottom"/>
          </w:tcPr>
          <w:p>
            <w:pPr>
              <w:ind w:left="2560"/>
              <w:spacing w:after="0"/>
              <w:rPr>
                <w:sz w:val="20"/>
                <w:szCs w:val="20"/>
                <w:color w:val="auto"/>
              </w:rPr>
            </w:pPr>
            <w:r>
              <w:rPr>
                <w:rFonts w:ascii="Arial" w:cs="Arial" w:eastAsia="Arial" w:hAnsi="Arial"/>
                <w:sz w:val="14"/>
                <w:szCs w:val="14"/>
                <w:b w:val="1"/>
                <w:bCs w:val="1"/>
                <w:color w:val="auto"/>
              </w:rPr>
              <w:t>Doc ID:</w:t>
            </w:r>
          </w:p>
        </w:tc>
        <w:tc>
          <w:tcPr>
            <w:tcW w:w="3520" w:type="dxa"/>
            <w:vAlign w:val="bottom"/>
          </w:tcPr>
          <w:p>
            <w:pPr>
              <w:ind w:left="840"/>
              <w:spacing w:after="0"/>
              <w:rPr>
                <w:sz w:val="20"/>
                <w:szCs w:val="20"/>
                <w:color w:val="auto"/>
              </w:rPr>
            </w:pPr>
            <w:r>
              <w:rPr>
                <w:rFonts w:ascii="Arial" w:cs="Arial" w:eastAsia="Arial" w:hAnsi="Arial"/>
                <w:sz w:val="18"/>
                <w:szCs w:val="18"/>
                <w:color w:val="auto"/>
              </w:rPr>
              <w:t>4129-6377-4527</w:t>
            </w:r>
          </w:p>
        </w:tc>
        <w:tc>
          <w:tcPr>
            <w:tcW w:w="0" w:type="dxa"/>
            <w:vAlign w:val="bottom"/>
          </w:tcPr>
          <w:p>
            <w:pPr>
              <w:spacing w:after="0"/>
              <w:rPr>
                <w:sz w:val="1"/>
                <w:szCs w:val="1"/>
                <w:color w:val="auto"/>
              </w:rPr>
            </w:pPr>
          </w:p>
        </w:tc>
      </w:tr>
      <w:tr>
        <w:trPr>
          <w:trHeight w:val="197"/>
        </w:trPr>
        <w:tc>
          <w:tcPr>
            <w:tcW w:w="4300" w:type="dxa"/>
            <w:vAlign w:val="bottom"/>
          </w:tcPr>
          <w:p>
            <w:pPr>
              <w:spacing w:after="0" w:line="197" w:lineRule="exact"/>
              <w:rPr>
                <w:sz w:val="20"/>
                <w:szCs w:val="20"/>
                <w:color w:val="auto"/>
              </w:rPr>
            </w:pPr>
            <w:r>
              <w:rPr>
                <w:rFonts w:ascii="Arial" w:cs="Arial" w:eastAsia="Arial" w:hAnsi="Arial"/>
                <w:sz w:val="18"/>
                <w:szCs w:val="18"/>
                <w:color w:val="auto"/>
              </w:rPr>
              <w:t>Altrincham</w:t>
            </w:r>
          </w:p>
        </w:tc>
        <w:tc>
          <w:tcPr>
            <w:tcW w:w="3420" w:type="dxa"/>
            <w:vAlign w:val="bottom"/>
            <w:vMerge w:val="restart"/>
          </w:tcPr>
          <w:p>
            <w:pPr>
              <w:ind w:left="2560"/>
              <w:spacing w:after="0"/>
              <w:rPr>
                <w:sz w:val="20"/>
                <w:szCs w:val="20"/>
                <w:color w:val="auto"/>
              </w:rPr>
            </w:pPr>
            <w:r>
              <w:rPr>
                <w:rFonts w:ascii="Arial" w:cs="Arial" w:eastAsia="Arial" w:hAnsi="Arial"/>
                <w:sz w:val="14"/>
                <w:szCs w:val="14"/>
                <w:b w:val="1"/>
                <w:bCs w:val="1"/>
                <w:color w:val="auto"/>
              </w:rPr>
              <w:t>Direct line:</w:t>
            </w:r>
          </w:p>
        </w:tc>
        <w:tc>
          <w:tcPr>
            <w:tcW w:w="3520" w:type="dxa"/>
            <w:vAlign w:val="bottom"/>
            <w:vMerge w:val="restart"/>
          </w:tcPr>
          <w:p>
            <w:pPr>
              <w:ind w:left="840"/>
              <w:spacing w:after="0"/>
              <w:rPr>
                <w:sz w:val="20"/>
                <w:szCs w:val="20"/>
                <w:color w:val="auto"/>
              </w:rPr>
            </w:pPr>
            <w:r>
              <w:rPr>
                <w:rFonts w:ascii="Arial" w:cs="Arial" w:eastAsia="Arial" w:hAnsi="Arial"/>
                <w:sz w:val="18"/>
                <w:szCs w:val="18"/>
                <w:color w:val="auto"/>
              </w:rPr>
              <w:t>+44 (0)20 7295 3413</w:t>
            </w:r>
          </w:p>
        </w:tc>
        <w:tc>
          <w:tcPr>
            <w:tcW w:w="0" w:type="dxa"/>
            <w:vAlign w:val="bottom"/>
          </w:tcPr>
          <w:p>
            <w:pPr>
              <w:spacing w:after="0"/>
              <w:rPr>
                <w:sz w:val="1"/>
                <w:szCs w:val="1"/>
                <w:color w:val="auto"/>
              </w:rPr>
            </w:pPr>
          </w:p>
        </w:tc>
      </w:tr>
      <w:tr>
        <w:trPr>
          <w:trHeight w:val="104"/>
        </w:trPr>
        <w:tc>
          <w:tcPr>
            <w:tcW w:w="4300" w:type="dxa"/>
            <w:vAlign w:val="bottom"/>
            <w:vMerge w:val="restart"/>
          </w:tcPr>
          <w:p>
            <w:pPr>
              <w:spacing w:after="0"/>
              <w:rPr>
                <w:sz w:val="20"/>
                <w:szCs w:val="20"/>
                <w:color w:val="auto"/>
              </w:rPr>
            </w:pPr>
            <w:r>
              <w:rPr>
                <w:rFonts w:ascii="Arial" w:cs="Arial" w:eastAsia="Arial" w:hAnsi="Arial"/>
                <w:sz w:val="18"/>
                <w:szCs w:val="18"/>
                <w:color w:val="auto"/>
              </w:rPr>
              <w:t>WA14 2DT</w:t>
            </w:r>
          </w:p>
        </w:tc>
        <w:tc>
          <w:tcPr>
            <w:tcW w:w="3420" w:type="dxa"/>
            <w:vAlign w:val="bottom"/>
            <w:vMerge w:val="continue"/>
          </w:tcPr>
          <w:p>
            <w:pPr>
              <w:spacing w:after="0"/>
              <w:rPr>
                <w:sz w:val="9"/>
                <w:szCs w:val="9"/>
                <w:color w:val="auto"/>
              </w:rPr>
            </w:pPr>
          </w:p>
        </w:tc>
        <w:tc>
          <w:tcPr>
            <w:tcW w:w="3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300" w:type="dxa"/>
            <w:vAlign w:val="bottom"/>
            <w:vMerge w:val="continue"/>
          </w:tcPr>
          <w:p>
            <w:pPr>
              <w:spacing w:after="0"/>
              <w:rPr>
                <w:sz w:val="11"/>
                <w:szCs w:val="11"/>
                <w:color w:val="auto"/>
              </w:rPr>
            </w:pPr>
          </w:p>
        </w:tc>
        <w:tc>
          <w:tcPr>
            <w:tcW w:w="3420" w:type="dxa"/>
            <w:vAlign w:val="bottom"/>
            <w:vMerge w:val="restart"/>
          </w:tcPr>
          <w:p>
            <w:pPr>
              <w:ind w:left="2560"/>
              <w:spacing w:after="0"/>
              <w:rPr>
                <w:sz w:val="20"/>
                <w:szCs w:val="20"/>
                <w:color w:val="auto"/>
              </w:rPr>
            </w:pPr>
            <w:r>
              <w:rPr>
                <w:rFonts w:ascii="Arial" w:cs="Arial" w:eastAsia="Arial" w:hAnsi="Arial"/>
                <w:sz w:val="14"/>
                <w:szCs w:val="14"/>
                <w:b w:val="1"/>
                <w:bCs w:val="1"/>
                <w:color w:val="auto"/>
              </w:rPr>
              <w:t>Email:</w:t>
            </w:r>
          </w:p>
        </w:tc>
        <w:tc>
          <w:tcPr>
            <w:tcW w:w="3520" w:type="dxa"/>
            <w:vAlign w:val="bottom"/>
            <w:vMerge w:val="restart"/>
          </w:tcPr>
          <w:p>
            <w:pPr>
              <w:ind w:left="840"/>
              <w:spacing w:after="0"/>
              <w:rPr>
                <w:sz w:val="20"/>
                <w:szCs w:val="20"/>
                <w:color w:val="auto"/>
              </w:rPr>
            </w:pPr>
            <w:r>
              <w:rPr>
                <w:rFonts w:ascii="Arial" w:cs="Arial" w:eastAsia="Arial" w:hAnsi="Arial"/>
                <w:sz w:val="18"/>
                <w:szCs w:val="18"/>
                <w:color w:val="auto"/>
              </w:rPr>
              <w:t>jon.reddington</w:t>
            </w:r>
          </w:p>
        </w:tc>
        <w:tc>
          <w:tcPr>
            <w:tcW w:w="0" w:type="dxa"/>
            <w:vAlign w:val="bottom"/>
          </w:tcPr>
          <w:p>
            <w:pPr>
              <w:spacing w:after="0"/>
              <w:rPr>
                <w:sz w:val="1"/>
                <w:szCs w:val="1"/>
                <w:color w:val="auto"/>
              </w:rPr>
            </w:pPr>
          </w:p>
        </w:tc>
      </w:tr>
      <w:tr>
        <w:trPr>
          <w:trHeight w:val="72"/>
        </w:trPr>
        <w:tc>
          <w:tcPr>
            <w:tcW w:w="4300" w:type="dxa"/>
            <w:vAlign w:val="bottom"/>
          </w:tcPr>
          <w:p>
            <w:pPr>
              <w:spacing w:after="0"/>
              <w:rPr>
                <w:sz w:val="6"/>
                <w:szCs w:val="6"/>
                <w:color w:val="auto"/>
              </w:rPr>
            </w:pPr>
          </w:p>
        </w:tc>
        <w:tc>
          <w:tcPr>
            <w:tcW w:w="3420" w:type="dxa"/>
            <w:vAlign w:val="bottom"/>
            <w:vMerge w:val="continue"/>
          </w:tcPr>
          <w:p>
            <w:pPr>
              <w:spacing w:after="0"/>
              <w:rPr>
                <w:sz w:val="6"/>
                <w:szCs w:val="6"/>
                <w:color w:val="auto"/>
              </w:rPr>
            </w:pPr>
          </w:p>
        </w:tc>
        <w:tc>
          <w:tcPr>
            <w:tcW w:w="35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430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3520" w:type="dxa"/>
            <w:vAlign w:val="bottom"/>
          </w:tcPr>
          <w:p>
            <w:pPr>
              <w:ind w:left="840"/>
              <w:spacing w:after="0"/>
              <w:rPr>
                <w:sz w:val="20"/>
                <w:szCs w:val="20"/>
                <w:color w:val="auto"/>
              </w:rPr>
            </w:pPr>
            <w:r>
              <w:rPr>
                <w:rFonts w:ascii="Arial" w:cs="Arial" w:eastAsia="Arial" w:hAnsi="Arial"/>
                <w:sz w:val="18"/>
                <w:szCs w:val="18"/>
                <w:color w:val="auto"/>
              </w:rPr>
              <w:t>@traverssmith.com</w:t>
            </w:r>
          </w:p>
        </w:tc>
        <w:tc>
          <w:tcPr>
            <w:tcW w:w="0" w:type="dxa"/>
            <w:vAlign w:val="bottom"/>
          </w:tcPr>
          <w:p>
            <w:pPr>
              <w:spacing w:after="0"/>
              <w:rPr>
                <w:sz w:val="1"/>
                <w:szCs w:val="1"/>
                <w:color w:val="auto"/>
              </w:rPr>
            </w:pPr>
          </w:p>
        </w:tc>
      </w:tr>
      <w:tr>
        <w:trPr>
          <w:trHeight w:val="499"/>
        </w:trPr>
        <w:tc>
          <w:tcPr>
            <w:tcW w:w="4300" w:type="dxa"/>
            <w:vAlign w:val="bottom"/>
          </w:tcPr>
          <w:p>
            <w:pPr>
              <w:spacing w:after="0"/>
              <w:rPr>
                <w:sz w:val="20"/>
                <w:szCs w:val="20"/>
                <w:color w:val="auto"/>
              </w:rPr>
            </w:pPr>
            <w:r>
              <w:rPr>
                <w:rFonts w:ascii="Arial" w:cs="Arial" w:eastAsia="Arial" w:hAnsi="Arial"/>
                <w:sz w:val="18"/>
                <w:szCs w:val="18"/>
                <w:color w:val="auto"/>
              </w:rPr>
              <w:t>4 September 2024</w:t>
            </w:r>
          </w:p>
        </w:tc>
        <w:tc>
          <w:tcPr>
            <w:tcW w:w="34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Dear Sir/Madam</w:t>
      </w:r>
    </w:p>
    <w:p>
      <w:pPr>
        <w:spacing w:after="0" w:line="198" w:lineRule="exact"/>
        <w:rPr>
          <w:sz w:val="20"/>
          <w:szCs w:val="20"/>
          <w:color w:val="auto"/>
        </w:rPr>
      </w:pPr>
    </w:p>
    <w:p>
      <w:pPr>
        <w:ind w:right="160"/>
        <w:spacing w:after="0" w:line="281" w:lineRule="auto"/>
        <w:rPr>
          <w:sz w:val="20"/>
          <w:szCs w:val="20"/>
          <w:color w:val="auto"/>
        </w:rPr>
      </w:pPr>
      <w:r>
        <w:rPr>
          <w:rFonts w:ascii="Arial" w:cs="Arial" w:eastAsia="Arial" w:hAnsi="Arial"/>
          <w:sz w:val="18"/>
          <w:szCs w:val="18"/>
          <w:b w:val="1"/>
          <w:bCs w:val="1"/>
          <w:color w:val="auto"/>
        </w:rPr>
        <w:t>Legal opinion regarding shares of Noble Corporation plc in connection with the Registration Statement on Form S-8 (Registration No. 333-181204) (the "Registration Statement") to be filed with the United States Securities and Exchange Commission ("SEC")</w:t>
      </w:r>
    </w:p>
    <w:p>
      <w:pPr>
        <w:spacing w:after="0" w:line="109"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Introduction</w:t>
      </w:r>
    </w:p>
    <w:p>
      <w:pPr>
        <w:spacing w:after="0" w:line="198" w:lineRule="exact"/>
        <w:rPr>
          <w:sz w:val="20"/>
          <w:szCs w:val="20"/>
          <w:color w:val="auto"/>
        </w:rPr>
      </w:pPr>
    </w:p>
    <w:p>
      <w:pPr>
        <w:ind w:left="760" w:right="480" w:hanging="752"/>
        <w:spacing w:after="0" w:line="281" w:lineRule="auto"/>
        <w:tabs>
          <w:tab w:leader="none" w:pos="7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We are acting as advisers as to English law to Noble Corporation plc, a public limited company incorporated under the laws of England and Wales with registered number 12958050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122" w:lineRule="exact"/>
        <w:rPr>
          <w:rFonts w:ascii="Arial" w:cs="Arial" w:eastAsia="Arial" w:hAnsi="Arial"/>
          <w:sz w:val="18"/>
          <w:szCs w:val="18"/>
          <w:b w:val="1"/>
          <w:bCs w:val="1"/>
          <w:color w:val="auto"/>
        </w:rPr>
      </w:pPr>
    </w:p>
    <w:p>
      <w:pPr>
        <w:ind w:left="760" w:right="40" w:hanging="752"/>
        <w:spacing w:after="0" w:line="242" w:lineRule="auto"/>
        <w:tabs>
          <w:tab w:leader="none" w:pos="7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We understand that the Company intends to file, on or around the date hereof, the Registration Statement with the SEC. As described in the Registration Statement, we understand that the Company may propose to issue A ordinary shares of $0.00001 each in the Company pursuant to the Diamond Offshore Drilling, Inc. 2021 Long-Term Incentive Plan (as amended pursuant to the terms of the agreement and plan of merger entered into between the Company, Dolphin Merger Sub 1, Inc, Dolphin Merger Sub 2, Inc and Diamond Offshore Drilling, Inc dated 9 June 2024 (the "</w:t>
      </w:r>
      <w:r>
        <w:rPr>
          <w:rFonts w:ascii="Arial" w:cs="Arial" w:eastAsia="Arial" w:hAnsi="Arial"/>
          <w:sz w:val="18"/>
          <w:szCs w:val="18"/>
          <w:b w:val="1"/>
          <w:bCs w:val="1"/>
          <w:color w:val="auto"/>
        </w:rPr>
        <w:t>Merger Agreement</w:t>
      </w:r>
      <w:r>
        <w:rPr>
          <w:rFonts w:ascii="Arial" w:cs="Arial" w:eastAsia="Arial" w:hAnsi="Arial"/>
          <w:sz w:val="18"/>
          <w:szCs w:val="18"/>
          <w:color w:val="auto"/>
        </w:rPr>
        <w:t>")) (the "</w:t>
      </w:r>
      <w:r>
        <w:rPr>
          <w:rFonts w:ascii="Arial" w:cs="Arial" w:eastAsia="Arial" w:hAnsi="Arial"/>
          <w:sz w:val="18"/>
          <w:szCs w:val="18"/>
          <w:b w:val="1"/>
          <w:bCs w:val="1"/>
          <w:color w:val="auto"/>
        </w:rPr>
        <w:t>Plan</w:t>
      </w:r>
      <w:r>
        <w:rPr>
          <w:rFonts w:ascii="Arial" w:cs="Arial" w:eastAsia="Arial" w:hAnsi="Arial"/>
          <w:sz w:val="18"/>
          <w:szCs w:val="18"/>
          <w:color w:val="auto"/>
        </w:rPr>
        <w:t>"). We have been asked to provide an opinion on certain matters, as set out below, in connection with the filing of the Registration Statement.</w:t>
      </w:r>
    </w:p>
    <w:p>
      <w:pPr>
        <w:spacing w:after="0" w:line="151" w:lineRule="exact"/>
        <w:rPr>
          <w:rFonts w:ascii="Arial" w:cs="Arial" w:eastAsia="Arial" w:hAnsi="Arial"/>
          <w:sz w:val="18"/>
          <w:szCs w:val="18"/>
          <w:b w:val="1"/>
          <w:bCs w:val="1"/>
          <w:color w:val="auto"/>
        </w:rPr>
      </w:pPr>
    </w:p>
    <w:p>
      <w:pPr>
        <w:ind w:left="7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Documents reviewed</w:t>
      </w:r>
    </w:p>
    <w:p>
      <w:pPr>
        <w:spacing w:after="0" w:line="198" w:lineRule="exact"/>
        <w:rPr>
          <w:rFonts w:ascii="Arial" w:cs="Arial" w:eastAsia="Arial" w:hAnsi="Arial"/>
          <w:sz w:val="18"/>
          <w:szCs w:val="18"/>
          <w:b w:val="1"/>
          <w:bCs w:val="1"/>
          <w:color w:val="auto"/>
        </w:rPr>
      </w:pPr>
    </w:p>
    <w:p>
      <w:pPr>
        <w:ind w:left="760" w:right="360" w:hanging="752"/>
        <w:spacing w:after="0" w:line="271" w:lineRule="auto"/>
        <w:tabs>
          <w:tab w:leader="none" w:pos="7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We have examined the documents listed in Schedule 3 to this opinion. Terms defined in the Schedules have the same meaning where used in this opinion.</w:t>
      </w:r>
    </w:p>
    <w:p>
      <w:pPr>
        <w:spacing w:after="0" w:line="150" w:lineRule="exact"/>
        <w:rPr>
          <w:sz w:val="20"/>
          <w:szCs w:val="20"/>
          <w:color w:val="auto"/>
        </w:rPr>
      </w:pPr>
    </w:p>
    <w:p>
      <w:pPr>
        <w:ind w:right="140"/>
        <w:spacing w:after="0" w:line="263" w:lineRule="auto"/>
        <w:rPr>
          <w:sz w:val="20"/>
          <w:szCs w:val="20"/>
          <w:color w:val="auto"/>
        </w:rPr>
      </w:pPr>
      <w:r>
        <w:rPr>
          <w:rFonts w:ascii="Arial" w:cs="Arial" w:eastAsia="Arial" w:hAnsi="Arial"/>
          <w:sz w:val="14"/>
          <w:szCs w:val="14"/>
          <w:color w:val="auto"/>
        </w:rPr>
        <w:t>Travers Smith LLP is a limited liability partnership registered in England and Wales under number OC 336962 and is authorised and regulated by the Solicitors Regulation Authority (SRA number 489478). A list of the members of Travers Smith LLP is open to inspection at our registered office and principal place of business: 10 Snow Hill London EC1A 2AL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 w:name="page10"/>
    <w:bookmarkEnd w:id="9"/>
    <w:p>
      <w:pPr>
        <w:ind w:left="772"/>
        <w:spacing w:after="0"/>
        <w:rPr>
          <w:sz w:val="20"/>
          <w:szCs w:val="20"/>
          <w:color w:val="auto"/>
        </w:rPr>
      </w:pPr>
      <w:r>
        <w:rPr>
          <w:rFonts w:ascii="Arial" w:cs="Arial" w:eastAsia="Arial" w:hAnsi="Arial"/>
          <w:sz w:val="18"/>
          <w:szCs w:val="18"/>
          <w:b w:val="1"/>
          <w:bCs w:val="1"/>
          <w:color w:val="auto"/>
        </w:rPr>
        <w:t>Nature of opinion and observations</w:t>
      </w:r>
    </w:p>
    <w:p>
      <w:pPr>
        <w:spacing w:after="0" w:line="198" w:lineRule="exact"/>
        <w:rPr>
          <w:sz w:val="20"/>
          <w:szCs w:val="20"/>
          <w:color w:val="auto"/>
        </w:rPr>
      </w:pPr>
    </w:p>
    <w:p>
      <w:pPr>
        <w:ind w:left="752" w:right="60" w:hanging="752"/>
        <w:spacing w:after="0" w:line="271" w:lineRule="auto"/>
        <w:tabs>
          <w:tab w:leader="none" w:pos="752"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This opinion is confined to matters of English law (including case law) in force as at the date of this opinion. We express no opinion with regard to any system of law other than the laws of England as currently applied by the English courts. In particular:</w:t>
      </w:r>
    </w:p>
    <w:p>
      <w:pPr>
        <w:spacing w:after="0" w:line="127" w:lineRule="exact"/>
        <w:rPr>
          <w:sz w:val="20"/>
          <w:szCs w:val="20"/>
          <w:color w:val="auto"/>
        </w:rPr>
      </w:pPr>
    </w:p>
    <w:p>
      <w:pPr>
        <w:ind w:left="752" w:right="680" w:hanging="755"/>
        <w:spacing w:after="0" w:line="271" w:lineRule="auto"/>
        <w:tabs>
          <w:tab w:leader="none" w:pos="732"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8"/>
          <w:szCs w:val="18"/>
          <w:color w:val="auto"/>
        </w:rPr>
        <w:t>by giving this opinion, we do not assume any obligation to notify you of future changes in law which may affect the opinions expressed in this opinion, or otherwise to update this opinion in any respect;</w:t>
      </w:r>
    </w:p>
    <w:p>
      <w:pPr>
        <w:spacing w:after="0" w:line="140" w:lineRule="exact"/>
        <w:rPr>
          <w:sz w:val="20"/>
          <w:szCs w:val="20"/>
          <w:color w:val="auto"/>
        </w:rPr>
      </w:pPr>
    </w:p>
    <w:p>
      <w:pPr>
        <w:ind w:left="752" w:right="60" w:hanging="755"/>
        <w:spacing w:after="0" w:line="271" w:lineRule="auto"/>
        <w:tabs>
          <w:tab w:leader="none" w:pos="732"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8"/>
          <w:szCs w:val="18"/>
          <w:color w:val="auto"/>
        </w:rPr>
        <w:t>to the extent that the laws of any other jurisdiction may be relevant, our opinion is subject to the effect of such laws. We express no views in this opinion on the validity of the matters set out in any opinion given in relation to such laws;</w:t>
      </w:r>
    </w:p>
    <w:p>
      <w:pPr>
        <w:spacing w:after="0" w:line="140" w:lineRule="exact"/>
        <w:rPr>
          <w:sz w:val="20"/>
          <w:szCs w:val="20"/>
          <w:color w:val="auto"/>
        </w:rPr>
      </w:pPr>
    </w:p>
    <w:p>
      <w:pPr>
        <w:ind w:left="752" w:right="40" w:hanging="755"/>
        <w:spacing w:after="0" w:line="271" w:lineRule="auto"/>
        <w:tabs>
          <w:tab w:leader="none" w:pos="732"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8"/>
          <w:szCs w:val="18"/>
          <w:color w:val="auto"/>
        </w:rPr>
        <w:t>we have not been responsible for verifying whether statements of fact (including foreign law), opinion or intention in any documents referred to in this opinion or in any related documents are accurate, complete or reasonable; and</w:t>
      </w:r>
    </w:p>
    <w:p>
      <w:pPr>
        <w:spacing w:after="0" w:line="127" w:lineRule="exact"/>
        <w:rPr>
          <w:sz w:val="20"/>
          <w:szCs w:val="20"/>
          <w:color w:val="auto"/>
        </w:rPr>
      </w:pPr>
    </w:p>
    <w:p>
      <w:pPr>
        <w:ind w:left="752" w:right="300" w:hanging="755"/>
        <w:spacing w:after="0" w:line="244" w:lineRule="auto"/>
        <w:tabs>
          <w:tab w:leader="none" w:pos="732"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8"/>
          <w:szCs w:val="18"/>
          <w:color w:val="auto"/>
        </w:rPr>
        <w:t>the term 'non-assessable' has no recognised meaning in English law but for the purposes herein the term means that, under the Companies Act 2006 (as amended), the articles of association of the Company (the "</w:t>
      </w:r>
      <w:r>
        <w:rPr>
          <w:rFonts w:ascii="Arial" w:cs="Arial" w:eastAsia="Arial" w:hAnsi="Arial"/>
          <w:sz w:val="18"/>
          <w:szCs w:val="18"/>
          <w:b w:val="1"/>
          <w:bCs w:val="1"/>
          <w:color w:val="auto"/>
        </w:rPr>
        <w:t>Articles</w:t>
      </w:r>
      <w:r>
        <w:rPr>
          <w:rFonts w:ascii="Arial" w:cs="Arial" w:eastAsia="Arial" w:hAnsi="Arial"/>
          <w:sz w:val="18"/>
          <w:szCs w:val="18"/>
          <w:color w:val="auto"/>
        </w:rPr>
        <w:t>") and any resolution passed in accordance with the Articles approving the issuance of the Shares (as defined below), no holder of such Shares is liable, solely because of such holder’s status as a holder of such Shares, for additional payments or calls on the relevant Shares to or by the Company or its creditors.</w:t>
      </w:r>
    </w:p>
    <w:p>
      <w:pPr>
        <w:spacing w:after="0" w:line="163" w:lineRule="exact"/>
        <w:rPr>
          <w:sz w:val="20"/>
          <w:szCs w:val="20"/>
          <w:color w:val="auto"/>
        </w:rPr>
      </w:pPr>
    </w:p>
    <w:p>
      <w:pPr>
        <w:ind w:left="772"/>
        <w:spacing w:after="0"/>
        <w:rPr>
          <w:sz w:val="20"/>
          <w:szCs w:val="20"/>
          <w:color w:val="auto"/>
        </w:rPr>
      </w:pPr>
      <w:r>
        <w:rPr>
          <w:rFonts w:ascii="Arial" w:cs="Arial" w:eastAsia="Arial" w:hAnsi="Arial"/>
          <w:sz w:val="18"/>
          <w:szCs w:val="18"/>
          <w:b w:val="1"/>
          <w:bCs w:val="1"/>
          <w:color w:val="auto"/>
        </w:rPr>
        <w:t>Opinion</w:t>
      </w:r>
    </w:p>
    <w:p>
      <w:pPr>
        <w:spacing w:after="0" w:line="198" w:lineRule="exact"/>
        <w:rPr>
          <w:sz w:val="20"/>
          <w:szCs w:val="20"/>
          <w:color w:val="auto"/>
        </w:rPr>
      </w:pPr>
    </w:p>
    <w:p>
      <w:pPr>
        <w:ind w:left="752" w:hanging="752"/>
        <w:spacing w:after="0" w:line="242" w:lineRule="auto"/>
        <w:tabs>
          <w:tab w:leader="none" w:pos="752"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On the basis stated in paragraph 4, and subject to the assumptions in Schedule 1 and the qualifications in Schedule 2, we are of the opinion that the securities being registered, being 1,921,321 A ordinary shares in the capital of the Company with a nominal value of US$0.00001 each to be issued pursuant to the Plan (the "</w:t>
      </w:r>
      <w:r>
        <w:rPr>
          <w:rFonts w:ascii="Arial" w:cs="Arial" w:eastAsia="Arial" w:hAnsi="Arial"/>
          <w:sz w:val="18"/>
          <w:szCs w:val="18"/>
          <w:b w:val="1"/>
          <w:bCs w:val="1"/>
          <w:color w:val="auto"/>
        </w:rPr>
        <w:t>Shares</w:t>
      </w:r>
      <w:r>
        <w:rPr>
          <w:rFonts w:ascii="Arial" w:cs="Arial" w:eastAsia="Arial" w:hAnsi="Arial"/>
          <w:sz w:val="18"/>
          <w:szCs w:val="18"/>
          <w:color w:val="auto"/>
        </w:rPr>
        <w:t>"), will (when allotted) be validly issued, fully paid and non-assessable once all of: (i) the Registration Statement, as finally amended, shall have become effective under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and (ii) valid entries in the books and registers of the Company have been made in respect of such issue.</w:t>
      </w:r>
    </w:p>
    <w:p>
      <w:pPr>
        <w:spacing w:after="0" w:line="151" w:lineRule="exact"/>
        <w:rPr>
          <w:rFonts w:ascii="Arial" w:cs="Arial" w:eastAsia="Arial" w:hAnsi="Arial"/>
          <w:sz w:val="18"/>
          <w:szCs w:val="18"/>
          <w:b w:val="1"/>
          <w:bCs w:val="1"/>
          <w:color w:val="auto"/>
        </w:rPr>
      </w:pPr>
    </w:p>
    <w:p>
      <w:pPr>
        <w:ind w:left="772"/>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Benefit of Opinion</w:t>
      </w:r>
    </w:p>
    <w:p>
      <w:pPr>
        <w:spacing w:after="0" w:line="198" w:lineRule="exact"/>
        <w:rPr>
          <w:rFonts w:ascii="Arial" w:cs="Arial" w:eastAsia="Arial" w:hAnsi="Arial"/>
          <w:sz w:val="18"/>
          <w:szCs w:val="18"/>
          <w:b w:val="1"/>
          <w:bCs w:val="1"/>
          <w:color w:val="auto"/>
        </w:rPr>
      </w:pPr>
    </w:p>
    <w:p>
      <w:pPr>
        <w:ind w:left="752" w:right="300" w:hanging="752"/>
        <w:spacing w:after="0" w:line="271" w:lineRule="auto"/>
        <w:tabs>
          <w:tab w:leader="none" w:pos="752"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This opinion is addressed to the Company solely for its own benefit. This opinion letter may not be delivered to or relied upon by any person other than the Company without our express written consent.</w:t>
      </w:r>
    </w:p>
    <w:p>
      <w:pPr>
        <w:spacing w:after="0" w:line="140" w:lineRule="exact"/>
        <w:rPr>
          <w:rFonts w:ascii="Arial" w:cs="Arial" w:eastAsia="Arial" w:hAnsi="Arial"/>
          <w:sz w:val="18"/>
          <w:szCs w:val="18"/>
          <w:b w:val="1"/>
          <w:bCs w:val="1"/>
          <w:color w:val="auto"/>
        </w:rPr>
      </w:pPr>
    </w:p>
    <w:p>
      <w:pPr>
        <w:ind w:left="772"/>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Consent to filing</w:t>
      </w:r>
    </w:p>
    <w:p>
      <w:pPr>
        <w:spacing w:after="0" w:line="184" w:lineRule="exact"/>
        <w:rPr>
          <w:rFonts w:ascii="Arial" w:cs="Arial" w:eastAsia="Arial" w:hAnsi="Arial"/>
          <w:sz w:val="18"/>
          <w:szCs w:val="18"/>
          <w:b w:val="1"/>
          <w:bCs w:val="1"/>
          <w:color w:val="auto"/>
        </w:rPr>
      </w:pPr>
    </w:p>
    <w:p>
      <w:pPr>
        <w:ind w:left="752" w:right="120" w:hanging="752"/>
        <w:spacing w:after="0" w:line="271" w:lineRule="auto"/>
        <w:tabs>
          <w:tab w:leader="none" w:pos="752"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We hereby consent to the filing of this letter as an exhibit to the Registration Statement and to all references to our firm included in or made a part of the Registration Statement. In giving such consent, we do not thereby admit that we are in the category</w:t>
      </w:r>
    </w:p>
    <w:p>
      <w:pPr>
        <w:spacing w:after="0" w:line="141"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580" w:right="359" w:bottom="1440" w:gutter="0" w:footer="0" w:header="0"/>
        </w:sectPr>
      </w:pPr>
    </w:p>
    <w:bookmarkStart w:id="10" w:name="page11"/>
    <w:bookmarkEnd w:id="10"/>
    <w:p>
      <w:pPr>
        <w:ind w:left="780" w:right="360"/>
        <w:spacing w:after="0" w:line="461" w:lineRule="auto"/>
        <w:rPr>
          <w:sz w:val="20"/>
          <w:szCs w:val="20"/>
          <w:color w:val="auto"/>
        </w:rPr>
      </w:pPr>
      <w:r>
        <w:rPr>
          <w:rFonts w:ascii="Arial" w:cs="Arial" w:eastAsia="Arial" w:hAnsi="Arial"/>
          <w:sz w:val="18"/>
          <w:szCs w:val="18"/>
          <w:color w:val="auto"/>
        </w:rPr>
        <w:t xml:space="preserve">of persons whose consent is required under Section 7 of the Securities Act, or the rules or regulations promulgated thereunder. </w:t>
      </w:r>
      <w:r>
        <w:rPr>
          <w:rFonts w:ascii="Arial" w:cs="Arial" w:eastAsia="Arial" w:hAnsi="Arial"/>
          <w:sz w:val="18"/>
          <w:szCs w:val="18"/>
          <w:b w:val="1"/>
          <w:bCs w:val="1"/>
          <w:color w:val="auto"/>
        </w:rPr>
        <w:t>Governing Law</w:t>
      </w:r>
    </w:p>
    <w:p>
      <w:pPr>
        <w:spacing w:after="0" w:line="1" w:lineRule="exact"/>
        <w:rPr>
          <w:sz w:val="20"/>
          <w:szCs w:val="20"/>
          <w:color w:val="auto"/>
        </w:rPr>
      </w:pPr>
    </w:p>
    <w:p>
      <w:pPr>
        <w:ind w:left="760" w:hanging="752"/>
        <w:spacing w:after="0" w:line="253" w:lineRule="auto"/>
        <w:tabs>
          <w:tab w:leader="none" w:pos="7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This opinion letter and any non-contractual obligations arising out of or in relation to it are governed by English law. The courts of England and Wales shall have exclusive jurisdiction to settle any dispute or claim that arises out of or in connection with this opinion letter (including non-contractual disputes or claims).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/s/ Travers Smith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Travers Smith LLP</w:t>
      </w: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SCHEDULE 1</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ASSUMPTIONS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In considering the documents listed in Schedule 3 and in rendering this opinion, we have (with your consent and without any further enquiry)</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assumed:</w:t>
      </w:r>
    </w:p>
    <w:p>
      <w:pPr>
        <w:spacing w:after="0" w:line="180" w:lineRule="exact"/>
        <w:rPr>
          <w:sz w:val="20"/>
          <w:szCs w:val="20"/>
          <w:color w:val="auto"/>
        </w:rPr>
      </w:pPr>
    </w:p>
    <w:p>
      <w:pPr>
        <w:ind w:left="760" w:right="500" w:hanging="752"/>
        <w:spacing w:after="0" w:line="271" w:lineRule="auto"/>
        <w:tabs>
          <w:tab w:leader="none" w:pos="7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Authenticity</w:t>
      </w:r>
      <w:r>
        <w:rPr>
          <w:rFonts w:ascii="Arial" w:cs="Arial" w:eastAsia="Arial" w:hAnsi="Arial"/>
          <w:sz w:val="18"/>
          <w:szCs w:val="18"/>
          <w:color w:val="auto"/>
        </w:rPr>
        <w:t>: the genuineness of all signatures, stamps and seals on, and the authenticity, accuracy and completeness of, all</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 submitted to us whether as originals or copies;</w:t>
      </w:r>
    </w:p>
    <w:p>
      <w:pPr>
        <w:spacing w:after="0" w:line="140" w:lineRule="exact"/>
        <w:rPr>
          <w:rFonts w:ascii="Arial" w:cs="Arial" w:eastAsia="Arial" w:hAnsi="Arial"/>
          <w:sz w:val="18"/>
          <w:szCs w:val="18"/>
          <w:b w:val="1"/>
          <w:bCs w:val="1"/>
          <w:color w:val="auto"/>
        </w:rPr>
      </w:pPr>
    </w:p>
    <w:p>
      <w:pPr>
        <w:ind w:left="760" w:right="580" w:hanging="752"/>
        <w:spacing w:after="0" w:line="271" w:lineRule="auto"/>
        <w:tabs>
          <w:tab w:leader="none" w:pos="7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Powers and Duties</w:t>
      </w:r>
      <w:r>
        <w:rPr>
          <w:rFonts w:ascii="Arial" w:cs="Arial" w:eastAsia="Arial" w:hAnsi="Arial"/>
          <w:sz w:val="18"/>
          <w:szCs w:val="18"/>
          <w:color w:val="auto"/>
        </w:rPr>
        <w:t>: the Directors of the Company when authorising the allotment of the Shares will exercise their powers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their duties under English law and the articles of association of the Company at the relevant time;</w:t>
      </w:r>
    </w:p>
    <w:p>
      <w:pPr>
        <w:spacing w:after="0" w:line="126" w:lineRule="exact"/>
        <w:rPr>
          <w:rFonts w:ascii="Arial" w:cs="Arial" w:eastAsia="Arial" w:hAnsi="Arial"/>
          <w:sz w:val="18"/>
          <w:szCs w:val="18"/>
          <w:b w:val="1"/>
          <w:bCs w:val="1"/>
          <w:color w:val="auto"/>
        </w:rPr>
      </w:pPr>
    </w:p>
    <w:p>
      <w:pPr>
        <w:jc w:val="both"/>
        <w:ind w:left="760" w:right="120" w:hanging="752"/>
        <w:spacing w:after="0" w:line="247" w:lineRule="auto"/>
        <w:tabs>
          <w:tab w:leader="none" w:pos="7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Compliance with FSMA: </w:t>
      </w:r>
      <w:r>
        <w:rPr>
          <w:rFonts w:ascii="Arial" w:cs="Arial" w:eastAsia="Arial" w:hAnsi="Arial"/>
          <w:sz w:val="18"/>
          <w:szCs w:val="18"/>
          <w:color w:val="auto"/>
        </w:rPr>
        <w:t>(i) no Shares, or rights to subscribe for Shares, have been or shall be offered to the public in the United</w:t>
      </w:r>
      <w:r>
        <w:rPr>
          <w:rFonts w:ascii="Arial" w:cs="Arial" w:eastAsia="Arial" w:hAnsi="Arial"/>
          <w:sz w:val="18"/>
          <w:szCs w:val="18"/>
          <w:b w:val="1"/>
          <w:bCs w:val="1"/>
          <w:color w:val="auto"/>
        </w:rPr>
        <w:t xml:space="preserve"> </w:t>
      </w:r>
      <w:r>
        <w:rPr>
          <w:rFonts w:ascii="Arial" w:cs="Arial" w:eastAsia="Arial" w:hAnsi="Arial"/>
          <w:sz w:val="18"/>
          <w:szCs w:val="18"/>
          <w:color w:val="auto"/>
        </w:rPr>
        <w:t>Kingdom in breach of the Financial Services and Markets Act 2000 ("</w:t>
      </w:r>
      <w:r>
        <w:rPr>
          <w:rFonts w:ascii="Arial" w:cs="Arial" w:eastAsia="Arial" w:hAnsi="Arial"/>
          <w:sz w:val="18"/>
          <w:szCs w:val="18"/>
          <w:b w:val="1"/>
          <w:bCs w:val="1"/>
          <w:color w:val="auto"/>
        </w:rPr>
        <w:t>FSMA</w:t>
      </w:r>
      <w:r>
        <w:rPr>
          <w:rFonts w:ascii="Arial" w:cs="Arial" w:eastAsia="Arial" w:hAnsi="Arial"/>
          <w:sz w:val="18"/>
          <w:szCs w:val="18"/>
          <w:color w:val="auto"/>
        </w:rPr>
        <w:t>") or of any other law or regulation concerning offers to the public, invitations to subscribe for, or to acquire rights to, or otherwise acquire, shares in the United Kingdom; and (ii) in issuing and allotting the Shares, the Company is not carrying on a regulated activity for the purposes of section 19 of FSMA;</w:t>
      </w:r>
    </w:p>
    <w:p>
      <w:pPr>
        <w:spacing w:after="0" w:line="160" w:lineRule="exact"/>
        <w:rPr>
          <w:rFonts w:ascii="Arial" w:cs="Arial" w:eastAsia="Arial" w:hAnsi="Arial"/>
          <w:sz w:val="18"/>
          <w:szCs w:val="18"/>
          <w:b w:val="1"/>
          <w:bCs w:val="1"/>
          <w:color w:val="auto"/>
        </w:rPr>
      </w:pPr>
    </w:p>
    <w:p>
      <w:pPr>
        <w:ind w:left="760" w:right="640" w:hanging="752"/>
        <w:spacing w:after="0" w:line="271" w:lineRule="auto"/>
        <w:tabs>
          <w:tab w:leader="none" w:pos="7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Copies</w:t>
      </w:r>
      <w:r>
        <w:rPr>
          <w:rFonts w:ascii="Arial" w:cs="Arial" w:eastAsia="Arial" w:hAnsi="Arial"/>
          <w:sz w:val="18"/>
          <w:szCs w:val="18"/>
          <w:color w:val="auto"/>
        </w:rPr>
        <w:t>: the conformity to originals of all documents supplied to us as photocopies, portable document format (PDF) copies,</w:t>
      </w:r>
      <w:r>
        <w:rPr>
          <w:rFonts w:ascii="Arial" w:cs="Arial" w:eastAsia="Arial" w:hAnsi="Arial"/>
          <w:sz w:val="18"/>
          <w:szCs w:val="18"/>
          <w:b w:val="1"/>
          <w:bCs w:val="1"/>
          <w:color w:val="auto"/>
        </w:rPr>
        <w:t xml:space="preserve"> </w:t>
      </w:r>
      <w:r>
        <w:rPr>
          <w:rFonts w:ascii="Arial" w:cs="Arial" w:eastAsia="Arial" w:hAnsi="Arial"/>
          <w:sz w:val="18"/>
          <w:szCs w:val="18"/>
          <w:color w:val="auto"/>
        </w:rPr>
        <w:t>facsimile copies or e-mail versions;</w:t>
      </w:r>
    </w:p>
    <w:p>
      <w:pPr>
        <w:spacing w:after="0" w:line="140" w:lineRule="exact"/>
        <w:rPr>
          <w:rFonts w:ascii="Arial" w:cs="Arial" w:eastAsia="Arial" w:hAnsi="Arial"/>
          <w:sz w:val="18"/>
          <w:szCs w:val="18"/>
          <w:b w:val="1"/>
          <w:bCs w:val="1"/>
          <w:color w:val="auto"/>
        </w:rPr>
      </w:pPr>
    </w:p>
    <w:p>
      <w:pPr>
        <w:ind w:left="760" w:right="180" w:hanging="752"/>
        <w:spacing w:after="0" w:line="281" w:lineRule="auto"/>
        <w:tabs>
          <w:tab w:leader="none" w:pos="7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Officer's Certificate</w:t>
      </w:r>
      <w:r>
        <w:rPr>
          <w:rFonts w:ascii="Arial" w:cs="Arial" w:eastAsia="Arial" w:hAnsi="Arial"/>
          <w:sz w:val="18"/>
          <w:szCs w:val="18"/>
          <w:color w:val="auto"/>
        </w:rPr>
        <w:t>: that each of the statements contained in a certificate of an Officer of the Company dated 3 September 2024</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b w:val="1"/>
          <w:bCs w:val="1"/>
          <w:color w:val="auto"/>
        </w:rPr>
        <w:t>Certificate</w:t>
      </w:r>
      <w:r>
        <w:rPr>
          <w:rFonts w:ascii="Arial" w:cs="Arial" w:eastAsia="Arial" w:hAnsi="Arial"/>
          <w:sz w:val="18"/>
          <w:szCs w:val="18"/>
          <w:color w:val="auto"/>
        </w:rPr>
        <w:t>") is true and correct as at the date of this opinion;</w:t>
      </w:r>
    </w:p>
    <w:p>
      <w:pPr>
        <w:spacing w:after="0" w:line="109" w:lineRule="exact"/>
        <w:rPr>
          <w:rFonts w:ascii="Arial" w:cs="Arial" w:eastAsia="Arial" w:hAnsi="Arial"/>
          <w:sz w:val="18"/>
          <w:szCs w:val="18"/>
          <w:b w:val="1"/>
          <w:bCs w:val="1"/>
          <w:color w:val="auto"/>
        </w:rPr>
      </w:pPr>
    </w:p>
    <w:p>
      <w:pPr>
        <w:ind w:left="760" w:right="240" w:hanging="752"/>
        <w:spacing w:after="0" w:line="244" w:lineRule="auto"/>
        <w:tabs>
          <w:tab w:leader="none" w:pos="7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Company Search</w:t>
      </w:r>
      <w:r>
        <w:rPr>
          <w:rFonts w:ascii="Arial" w:cs="Arial" w:eastAsia="Arial" w:hAnsi="Arial"/>
          <w:sz w:val="18"/>
          <w:szCs w:val="18"/>
          <w:color w:val="auto"/>
        </w:rPr>
        <w:t>: that the information revealed by our search against the Company's records available for public viewing at</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House through its website (https://find-and-update.company-information.service.gov.uk/) made at approximately 10 a.m. on 4 September 2024 (the "</w:t>
      </w:r>
      <w:r>
        <w:rPr>
          <w:rFonts w:ascii="Arial" w:cs="Arial" w:eastAsia="Arial" w:hAnsi="Arial"/>
          <w:sz w:val="18"/>
          <w:szCs w:val="18"/>
          <w:b w:val="1"/>
          <w:bCs w:val="1"/>
          <w:color w:val="auto"/>
        </w:rPr>
        <w:t>Company Search</w:t>
      </w:r>
      <w:r>
        <w:rPr>
          <w:rFonts w:ascii="Arial" w:cs="Arial" w:eastAsia="Arial" w:hAnsi="Arial"/>
          <w:sz w:val="18"/>
          <w:szCs w:val="18"/>
          <w:color w:val="auto"/>
        </w:rPr>
        <w:t>") (i) was accurate in all respects and has not since the time of such searches been altered, and (ii) was complete and included all relevant information which had been properly submitted to the Registrar of Companies;</w:t>
      </w:r>
    </w:p>
    <w:p>
      <w:pPr>
        <w:spacing w:after="0" w:line="162" w:lineRule="exact"/>
        <w:rPr>
          <w:rFonts w:ascii="Arial" w:cs="Arial" w:eastAsia="Arial" w:hAnsi="Arial"/>
          <w:sz w:val="18"/>
          <w:szCs w:val="18"/>
          <w:b w:val="1"/>
          <w:bCs w:val="1"/>
          <w:color w:val="auto"/>
        </w:rPr>
      </w:pPr>
    </w:p>
    <w:p>
      <w:pPr>
        <w:ind w:left="760" w:hanging="752"/>
        <w:spacing w:after="0" w:line="253" w:lineRule="auto"/>
        <w:tabs>
          <w:tab w:leader="none" w:pos="7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Winding-up Enquiry</w:t>
      </w:r>
      <w:r>
        <w:rPr>
          <w:rFonts w:ascii="Arial" w:cs="Arial" w:eastAsia="Arial" w:hAnsi="Arial"/>
          <w:sz w:val="18"/>
          <w:szCs w:val="18"/>
          <w:color w:val="auto"/>
        </w:rPr>
        <w:t>: that the information revealed by our enquiry of the Central Registry of Winding up Petitions made at</w:t>
      </w:r>
      <w:r>
        <w:rPr>
          <w:rFonts w:ascii="Arial" w:cs="Arial" w:eastAsia="Arial" w:hAnsi="Arial"/>
          <w:sz w:val="18"/>
          <w:szCs w:val="18"/>
          <w:b w:val="1"/>
          <w:bCs w:val="1"/>
          <w:color w:val="auto"/>
        </w:rPr>
        <w:t xml:space="preserve"> </w:t>
      </w:r>
      <w:r>
        <w:rPr>
          <w:rFonts w:ascii="Arial" w:cs="Arial" w:eastAsia="Arial" w:hAnsi="Arial"/>
          <w:sz w:val="18"/>
          <w:szCs w:val="18"/>
          <w:color w:val="auto"/>
        </w:rPr>
        <w:t>approximately 10 a.m. on 4 September 2024 (the "</w:t>
      </w:r>
      <w:r>
        <w:rPr>
          <w:rFonts w:ascii="Arial" w:cs="Arial" w:eastAsia="Arial" w:hAnsi="Arial"/>
          <w:sz w:val="18"/>
          <w:szCs w:val="18"/>
          <w:b w:val="1"/>
          <w:bCs w:val="1"/>
          <w:color w:val="auto"/>
        </w:rPr>
        <w:t>Winding-up Enquiry</w:t>
      </w:r>
      <w:r>
        <w:rPr>
          <w:rFonts w:ascii="Arial" w:cs="Arial" w:eastAsia="Arial" w:hAnsi="Arial"/>
          <w:sz w:val="18"/>
          <w:szCs w:val="18"/>
          <w:color w:val="auto"/>
        </w:rPr>
        <w:t>") was accurate in all respects and has not since the time of such enquiry been altered;</w:t>
      </w:r>
    </w:p>
    <w:p>
      <w:pPr>
        <w:spacing w:after="0" w:line="155" w:lineRule="exact"/>
        <w:rPr>
          <w:rFonts w:ascii="Arial" w:cs="Arial" w:eastAsia="Arial" w:hAnsi="Arial"/>
          <w:sz w:val="18"/>
          <w:szCs w:val="18"/>
          <w:b w:val="1"/>
          <w:bCs w:val="1"/>
          <w:color w:val="auto"/>
        </w:rPr>
      </w:pPr>
    </w:p>
    <w:p>
      <w:pPr>
        <w:ind w:left="760" w:right="20" w:hanging="752"/>
        <w:spacing w:after="0" w:line="247" w:lineRule="auto"/>
        <w:tabs>
          <w:tab w:leader="none" w:pos="7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Filings under Other Laws</w:t>
      </w:r>
      <w:r>
        <w:rPr>
          <w:rFonts w:ascii="Arial" w:cs="Arial" w:eastAsia="Arial" w:hAnsi="Arial"/>
          <w:sz w:val="18"/>
          <w:szCs w:val="18"/>
          <w:color w:val="auto"/>
        </w:rPr>
        <w:t>: that all consents, licences, approvals, notices, filings, recordations, publications and registrations which</w:t>
      </w:r>
      <w:r>
        <w:rPr>
          <w:rFonts w:ascii="Arial" w:cs="Arial" w:eastAsia="Arial" w:hAnsi="Arial"/>
          <w:sz w:val="18"/>
          <w:szCs w:val="18"/>
          <w:b w:val="1"/>
          <w:bCs w:val="1"/>
          <w:color w:val="auto"/>
        </w:rPr>
        <w:t xml:space="preserve"> </w:t>
      </w:r>
      <w:r>
        <w:rPr>
          <w:rFonts w:ascii="Arial" w:cs="Arial" w:eastAsia="Arial" w:hAnsi="Arial"/>
          <w:sz w:val="18"/>
          <w:szCs w:val="18"/>
          <w:color w:val="auto"/>
        </w:rPr>
        <w:t>are necessary under any applicable laws (other than, in the case of the Company, English Law) in order to permit the performance of the Plan, have been made or obtained, or will be made or obtained within the period permitted or required by such laws or regulations;</w:t>
      </w:r>
    </w:p>
    <w:p>
      <w:pPr>
        <w:spacing w:after="0" w:line="1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 w:name="page13"/>
    <w:bookmarkEnd w:id="12"/>
    <w:p>
      <w:pPr>
        <w:ind w:left="752" w:hanging="752"/>
        <w:spacing w:after="0" w:line="253" w:lineRule="auto"/>
        <w:tabs>
          <w:tab w:leader="none" w:pos="752"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Compliance with Merger Agreement: </w:t>
      </w:r>
      <w:r>
        <w:rPr>
          <w:rFonts w:ascii="Arial" w:cs="Arial" w:eastAsia="Arial" w:hAnsi="Arial"/>
          <w:sz w:val="18"/>
          <w:szCs w:val="18"/>
          <w:color w:val="auto"/>
        </w:rPr>
        <w:t>that the conditions to the Merger (as defined in the Merger Agreement) set out in Section 7</w:t>
      </w:r>
      <w:r>
        <w:rPr>
          <w:rFonts w:ascii="Arial" w:cs="Arial" w:eastAsia="Arial" w:hAnsi="Arial"/>
          <w:sz w:val="18"/>
          <w:szCs w:val="18"/>
          <w:b w:val="1"/>
          <w:bCs w:val="1"/>
          <w:color w:val="auto"/>
        </w:rPr>
        <w:t xml:space="preserve"> </w:t>
      </w:r>
      <w:r>
        <w:rPr>
          <w:rFonts w:ascii="Arial" w:cs="Arial" w:eastAsia="Arial" w:hAnsi="Arial"/>
          <w:sz w:val="18"/>
          <w:szCs w:val="18"/>
          <w:color w:val="auto"/>
        </w:rPr>
        <w:t>of the Merger Agreement have been satisfied (and not waived by the Company) and the Merger has completed, such that the amendments to the Plan pursuant to the Merger Agreement have taken effect;</w:t>
      </w:r>
    </w:p>
    <w:p>
      <w:pPr>
        <w:spacing w:after="0" w:line="155" w:lineRule="exact"/>
        <w:rPr>
          <w:rFonts w:ascii="Arial" w:cs="Arial" w:eastAsia="Arial" w:hAnsi="Arial"/>
          <w:sz w:val="18"/>
          <w:szCs w:val="18"/>
          <w:b w:val="1"/>
          <w:bCs w:val="1"/>
          <w:color w:val="auto"/>
        </w:rPr>
      </w:pPr>
    </w:p>
    <w:p>
      <w:pPr>
        <w:ind w:left="752" w:hanging="752"/>
        <w:spacing w:after="0" w:line="242" w:lineRule="auto"/>
        <w:tabs>
          <w:tab w:leader="none" w:pos="752"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Compliance with Plan Documentation</w:t>
      </w:r>
      <w:r>
        <w:rPr>
          <w:rFonts w:ascii="Arial" w:cs="Arial" w:eastAsia="Arial" w:hAnsi="Arial"/>
          <w:sz w:val="18"/>
          <w:szCs w:val="18"/>
          <w:color w:val="auto"/>
        </w:rPr>
        <w:t>: that the holders of awards granted under the terms of the Plan shall comply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procedures set out in the Plan Documentation (as defined in Schedule 3), as amended by the Merger Agreement, in order to acquire the Shares, in particular the due execution of any notices or consents; that the Shares are duly allotted in accordance with the Allotment Resolutions; and the Company complies with the Plan Documentation at all times in effecting the issue of the Shares and has adopted the prescribed procedures therein to ensure that the Shares are paid up at least as to nominal value and (in the case of stock options) as to the amount of any additional exercise price;</w:t>
      </w:r>
    </w:p>
    <w:p>
      <w:pPr>
        <w:spacing w:after="0" w:line="151" w:lineRule="exact"/>
        <w:rPr>
          <w:rFonts w:ascii="Arial" w:cs="Arial" w:eastAsia="Arial" w:hAnsi="Arial"/>
          <w:sz w:val="18"/>
          <w:szCs w:val="18"/>
          <w:b w:val="1"/>
          <w:bCs w:val="1"/>
          <w:color w:val="auto"/>
        </w:rPr>
      </w:pPr>
    </w:p>
    <w:p>
      <w:pPr>
        <w:ind w:left="752" w:right="300" w:hanging="752"/>
        <w:spacing w:after="0" w:line="253" w:lineRule="auto"/>
        <w:tabs>
          <w:tab w:leader="none" w:pos="752"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Superseding Agreement</w:t>
      </w:r>
      <w:r>
        <w:rPr>
          <w:rFonts w:ascii="Arial" w:cs="Arial" w:eastAsia="Arial" w:hAnsi="Arial"/>
          <w:sz w:val="18"/>
          <w:szCs w:val="18"/>
          <w:color w:val="auto"/>
        </w:rPr>
        <w:t>: that there is no other agreement, instrument or other arrangement, relationship or course of dealing</w:t>
      </w:r>
      <w:r>
        <w:rPr>
          <w:rFonts w:ascii="Arial" w:cs="Arial" w:eastAsia="Arial" w:hAnsi="Arial"/>
          <w:sz w:val="18"/>
          <w:szCs w:val="18"/>
          <w:b w:val="1"/>
          <w:bCs w:val="1"/>
          <w:color w:val="auto"/>
        </w:rPr>
        <w:t xml:space="preserve"> </w:t>
      </w:r>
      <w:r>
        <w:rPr>
          <w:rFonts w:ascii="Arial" w:cs="Arial" w:eastAsia="Arial" w:hAnsi="Arial"/>
          <w:sz w:val="18"/>
          <w:szCs w:val="18"/>
          <w:color w:val="auto"/>
        </w:rPr>
        <w:t>between any of the parties which modifies or supersedes the Plan and that the Plan Documentation has not been amended, terminated or replaced prior to the issue of the Shares; and</w:t>
      </w:r>
    </w:p>
    <w:p>
      <w:pPr>
        <w:spacing w:after="0" w:line="155" w:lineRule="exact"/>
        <w:rPr>
          <w:rFonts w:ascii="Arial" w:cs="Arial" w:eastAsia="Arial" w:hAnsi="Arial"/>
          <w:sz w:val="18"/>
          <w:szCs w:val="18"/>
          <w:b w:val="1"/>
          <w:bCs w:val="1"/>
          <w:color w:val="auto"/>
        </w:rPr>
      </w:pPr>
    </w:p>
    <w:p>
      <w:pPr>
        <w:ind w:left="752" w:right="120" w:hanging="752"/>
        <w:spacing w:after="0"/>
        <w:tabs>
          <w:tab w:leader="none" w:pos="752"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Validity under Other Laws</w:t>
      </w:r>
      <w:r>
        <w:rPr>
          <w:rFonts w:ascii="Arial" w:cs="Arial" w:eastAsia="Arial" w:hAnsi="Arial"/>
          <w:sz w:val="18"/>
          <w:szCs w:val="18"/>
          <w:color w:val="auto"/>
        </w:rPr>
        <w:t>: that the Plan Documentation and Merger Agreement constitute legal, valid, binding and enforceable</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of each of the parties thereto under all applicable laws (other than, in the case of the Company, English Law) and that they were approved, to the extent required, by the relevant board of directors and stockholders, and that insofar as the laws or regulations of any jurisdiction other than England and Wales may be relevant to (i) the obligations or rights of any of the parties in relation to the Plan Documentation (as amended by the Merger Agreement) or (ii) any of the transactions contemplated in connection with the Plan Documentation (as amended by the Merger Agreement), such laws and regulations do not prohibit, and are not inconsistent with, the entering into and performance of any of such obligations, rights or transactions.</w:t>
      </w:r>
    </w:p>
    <w:p>
      <w:pPr>
        <w:spacing w:after="0" w:line="200" w:lineRule="exact"/>
        <w:rPr>
          <w:sz w:val="20"/>
          <w:szCs w:val="20"/>
          <w:color w:val="auto"/>
        </w:rPr>
      </w:pPr>
    </w:p>
    <w:p>
      <w:pPr>
        <w:spacing w:after="0" w:line="363" w:lineRule="exact"/>
        <w:rPr>
          <w:sz w:val="20"/>
          <w:szCs w:val="20"/>
          <w:color w:val="auto"/>
        </w:rPr>
      </w:pPr>
    </w:p>
    <w:p>
      <w:pPr>
        <w:jc w:val="center"/>
        <w:ind w:right="-111"/>
        <w:spacing w:after="0"/>
        <w:rPr>
          <w:sz w:val="20"/>
          <w:szCs w:val="20"/>
          <w:color w:val="auto"/>
        </w:rPr>
      </w:pPr>
      <w:r>
        <w:rPr>
          <w:rFonts w:ascii="Times New Roman" w:cs="Times New Roman" w:eastAsia="Times New Roman" w:hAnsi="Times New Roman"/>
          <w:sz w:val="18"/>
          <w:szCs w:val="18"/>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32"/>
          </w:cols>
          <w:pgMar w:left="328" w:top="580" w:right="439" w:bottom="1440" w:gutter="0" w:footer="0" w:header="0"/>
        </w:sectPr>
      </w:pPr>
    </w:p>
    <w:bookmarkStart w:id="13" w:name="page14"/>
    <w:bookmarkEnd w:id="13"/>
    <w:p>
      <w:pPr>
        <w:jc w:val="center"/>
        <w:ind w:right="-39"/>
        <w:spacing w:after="0"/>
        <w:rPr>
          <w:sz w:val="20"/>
          <w:szCs w:val="20"/>
          <w:color w:val="auto"/>
        </w:rPr>
      </w:pPr>
      <w:r>
        <w:rPr>
          <w:rFonts w:ascii="Arial" w:cs="Arial" w:eastAsia="Arial" w:hAnsi="Arial"/>
          <w:sz w:val="18"/>
          <w:szCs w:val="18"/>
          <w:b w:val="1"/>
          <w:bCs w:val="1"/>
          <w:color w:val="auto"/>
        </w:rPr>
        <w:t>SCHEDULE 2</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QUALIFICATIONS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Our opinion is subject to the following qualifications:</w:t>
      </w:r>
    </w:p>
    <w:p>
      <w:pPr>
        <w:spacing w:after="0" w:line="198" w:lineRule="exact"/>
        <w:rPr>
          <w:sz w:val="20"/>
          <w:szCs w:val="20"/>
          <w:color w:val="auto"/>
        </w:rPr>
      </w:pPr>
    </w:p>
    <w:p>
      <w:pPr>
        <w:ind w:left="760" w:hanging="752"/>
        <w:spacing w:after="0"/>
        <w:tabs>
          <w:tab w:leader="none" w:pos="7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Company Search</w:t>
      </w:r>
      <w:r>
        <w:rPr>
          <w:rFonts w:ascii="Arial" w:cs="Arial" w:eastAsia="Arial" w:hAnsi="Arial"/>
          <w:sz w:val="18"/>
          <w:szCs w:val="18"/>
          <w:color w:val="auto"/>
        </w:rPr>
        <w:t>: the Company Search is not capable of revealing conclusively whether or not:</w:t>
      </w:r>
    </w:p>
    <w:p>
      <w:pPr>
        <w:spacing w:after="0" w:line="19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7"/>
          <w:szCs w:val="17"/>
          <w:color w:val="auto"/>
        </w:rPr>
        <w:t>a winding-up order has been made or a resolution passed for the winding up of a company; or</w:t>
      </w:r>
    </w:p>
    <w:p>
      <w:pPr>
        <w:spacing w:after="0" w:line="18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8"/>
          <w:szCs w:val="18"/>
          <w:color w:val="auto"/>
        </w:rPr>
        <w:t>an administration order has been made; or</w:t>
      </w:r>
    </w:p>
    <w:p>
      <w:pPr>
        <w:spacing w:after="0" w:line="19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7"/>
          <w:szCs w:val="17"/>
          <w:color w:val="auto"/>
        </w:rPr>
        <w:t>a receiver, administrative receiver, administrator or liquidator has been appointed; or</w:t>
      </w:r>
    </w:p>
    <w:p>
      <w:pPr>
        <w:spacing w:after="0" w:line="19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8"/>
          <w:szCs w:val="18"/>
          <w:color w:val="auto"/>
        </w:rPr>
        <w:t>a court order has been made under the Cross Border Insolvency Regulations 2006,</w:t>
      </w:r>
    </w:p>
    <w:p>
      <w:pPr>
        <w:spacing w:after="0" w:line="185" w:lineRule="exact"/>
        <w:rPr>
          <w:sz w:val="20"/>
          <w:szCs w:val="20"/>
          <w:color w:val="auto"/>
        </w:rPr>
      </w:pPr>
    </w:p>
    <w:p>
      <w:pPr>
        <w:ind w:left="780" w:right="60"/>
        <w:spacing w:after="0" w:line="271" w:lineRule="auto"/>
        <w:rPr>
          <w:sz w:val="20"/>
          <w:szCs w:val="20"/>
          <w:color w:val="auto"/>
        </w:rPr>
      </w:pPr>
      <w:r>
        <w:rPr>
          <w:rFonts w:ascii="Arial" w:cs="Arial" w:eastAsia="Arial" w:hAnsi="Arial"/>
          <w:sz w:val="18"/>
          <w:szCs w:val="18"/>
          <w:color w:val="auto"/>
        </w:rPr>
        <w:t>since notice of these matters may not be filed with the Registrar of Companies immediately and, when filed, may not be entered on the public microfiche of the relevant company immediately.</w:t>
      </w:r>
    </w:p>
    <w:p>
      <w:pPr>
        <w:spacing w:after="0" w:line="140" w:lineRule="exact"/>
        <w:rPr>
          <w:sz w:val="20"/>
          <w:szCs w:val="20"/>
          <w:color w:val="auto"/>
        </w:rPr>
      </w:pPr>
    </w:p>
    <w:p>
      <w:pPr>
        <w:ind w:left="780" w:right="180"/>
        <w:spacing w:after="0" w:line="247" w:lineRule="auto"/>
        <w:rPr>
          <w:sz w:val="20"/>
          <w:szCs w:val="20"/>
          <w:color w:val="auto"/>
        </w:rPr>
      </w:pPr>
      <w:r>
        <w:rPr>
          <w:rFonts w:ascii="Arial" w:cs="Arial" w:eastAsia="Arial" w:hAnsi="Arial"/>
          <w:sz w:val="18"/>
          <w:szCs w:val="18"/>
          <w:color w:val="auto"/>
        </w:rPr>
        <w:t>In addition, the Company Search is not capable of revealing, prior to the making of the relevant order or the appointment of an administrator otherwise taking effect, whether or not a winding-up petition or an application for an administration order has been presented or notice of intention to appoint an administrator under paragraphs 14 or 22 of Schedule B1 to the Insolvency Act 1986 has been filed with the Court;</w:t>
      </w:r>
    </w:p>
    <w:p>
      <w:pPr>
        <w:spacing w:after="0" w:line="160" w:lineRule="exact"/>
        <w:rPr>
          <w:sz w:val="20"/>
          <w:szCs w:val="20"/>
          <w:color w:val="auto"/>
        </w:rPr>
      </w:pPr>
    </w:p>
    <w:p>
      <w:pPr>
        <w:ind w:left="760" w:right="20" w:hanging="752"/>
        <w:spacing w:after="0" w:line="242" w:lineRule="auto"/>
        <w:tabs>
          <w:tab w:leader="none" w:pos="7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Winding-up Enquiry</w:t>
      </w:r>
      <w:r>
        <w:rPr>
          <w:rFonts w:ascii="Arial" w:cs="Arial" w:eastAsia="Arial" w:hAnsi="Arial"/>
          <w:sz w:val="18"/>
          <w:szCs w:val="18"/>
          <w:color w:val="auto"/>
        </w:rPr>
        <w:t>: the Winding-up Enquiry relates only to the presentation of (i) a petition for the making of a winding-up order</w:t>
      </w:r>
      <w:r>
        <w:rPr>
          <w:rFonts w:ascii="Arial" w:cs="Arial" w:eastAsia="Arial" w:hAnsi="Arial"/>
          <w:sz w:val="18"/>
          <w:szCs w:val="18"/>
          <w:b w:val="1"/>
          <w:bCs w:val="1"/>
          <w:color w:val="auto"/>
        </w:rPr>
        <w:t xml:space="preserve"> </w:t>
      </w:r>
      <w:r>
        <w:rPr>
          <w:rFonts w:ascii="Arial" w:cs="Arial" w:eastAsia="Arial" w:hAnsi="Arial"/>
          <w:sz w:val="18"/>
          <w:szCs w:val="18"/>
          <w:color w:val="auto"/>
        </w:rPr>
        <w:t>or the making of a winding-up order by the Court, (ii) an application to the High Court of Justice in London for the making of an administration order and the making by such court of an administration order, and (iii) a notice of intention to appoint an administrator or a notice of appointment of an administrator filed at the High Court of Justice in London. It is not capable of revealing conclusively whether or not such a winding-up petition, application for an administration order, notice of intention or notice of appointment has been presented or winding-up or administration order granted, because:</w:t>
      </w:r>
    </w:p>
    <w:p>
      <w:pPr>
        <w:spacing w:after="0" w:line="152" w:lineRule="exact"/>
        <w:rPr>
          <w:sz w:val="20"/>
          <w:szCs w:val="20"/>
          <w:color w:val="auto"/>
        </w:rPr>
      </w:pPr>
    </w:p>
    <w:p>
      <w:pPr>
        <w:ind w:left="760" w:right="200" w:hanging="755"/>
        <w:spacing w:after="0" w:line="271" w:lineRule="auto"/>
        <w:tabs>
          <w:tab w:leader="none" w:pos="74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8"/>
          <w:szCs w:val="18"/>
          <w:color w:val="auto"/>
        </w:rPr>
        <w:t>details of a winding-up petition or application for an administration order may not have been entered on the records of the Central Registry of Winding-up Petitions immediately;</w:t>
      </w:r>
    </w:p>
    <w:p>
      <w:pPr>
        <w:spacing w:after="0" w:line="140" w:lineRule="exact"/>
        <w:rPr>
          <w:sz w:val="20"/>
          <w:szCs w:val="20"/>
          <w:color w:val="auto"/>
        </w:rPr>
      </w:pPr>
    </w:p>
    <w:p>
      <w:pPr>
        <w:ind w:left="760" w:hanging="755"/>
        <w:spacing w:after="0" w:line="253" w:lineRule="auto"/>
        <w:tabs>
          <w:tab w:leader="none" w:pos="74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8"/>
          <w:szCs w:val="18"/>
          <w:color w:val="auto"/>
        </w:rPr>
        <w:t>in the case of an application for the making of an administration order and the presentation of a notice of intention to appoint or notice of appointment, if such application is made to, order made by or notice filed with, a Court other than the High Court of Justice in London, no record of such application, order or notice will be kept by the Central Registry of Winding-up Petitions;</w:t>
      </w:r>
    </w:p>
    <w:p>
      <w:pPr>
        <w:spacing w:after="0" w:line="1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4" w:name="page15"/>
    <w:bookmarkEnd w:id="14"/>
    <w:p>
      <w:pPr>
        <w:ind w:left="700" w:hanging="755"/>
        <w:spacing w:after="0" w:line="271" w:lineRule="auto"/>
        <w:tabs>
          <w:tab w:leader="none" w:pos="68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8"/>
          <w:szCs w:val="18"/>
          <w:color w:val="auto"/>
        </w:rPr>
        <w:t>a winding-up order or administration order may be made before the relevant petition or application has been entered on the records of the Central Registry immediately;</w:t>
      </w:r>
    </w:p>
    <w:p>
      <w:pPr>
        <w:spacing w:after="0" w:line="140" w:lineRule="exact"/>
        <w:rPr>
          <w:sz w:val="20"/>
          <w:szCs w:val="20"/>
          <w:color w:val="auto"/>
        </w:rPr>
      </w:pPr>
    </w:p>
    <w:p>
      <w:pPr>
        <w:ind w:left="700" w:right="180" w:hanging="755"/>
        <w:spacing w:after="0" w:line="253" w:lineRule="auto"/>
        <w:tabs>
          <w:tab w:leader="none" w:pos="68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8"/>
          <w:szCs w:val="18"/>
          <w:color w:val="auto"/>
        </w:rPr>
        <w:t>details of a notice of intention to appoint an administrator or a notice of appointment of an administrator under paragraphs 14 and 22 of Schedule B1 of the Insolvency Act 1986 may not be entered on the records immediately (or, in the case of a notice of intention to appoint, at all); and</w:t>
      </w:r>
    </w:p>
    <w:p>
      <w:pPr>
        <w:spacing w:after="0" w:line="142" w:lineRule="exact"/>
        <w:rPr>
          <w:sz w:val="20"/>
          <w:szCs w:val="20"/>
          <w:color w:val="auto"/>
        </w:rPr>
      </w:pPr>
    </w:p>
    <w:p>
      <w:pPr>
        <w:ind w:left="700" w:right="500" w:hanging="755"/>
        <w:spacing w:after="0" w:line="271" w:lineRule="auto"/>
        <w:tabs>
          <w:tab w:leader="none" w:pos="68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8"/>
          <w:szCs w:val="18"/>
          <w:color w:val="auto"/>
        </w:rPr>
        <w:t>with regard to winding-up petitions, the Central Registry of Winding-up Petitions may not have records of winding-up petitions issued prior to 1994.</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80" w:top="580" w:right="37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SCHEDULE 3</w:t>
      </w:r>
    </w:p>
    <w:p>
      <w:pPr>
        <w:spacing w:after="0" w:line="198" w:lineRule="exact"/>
        <w:rPr>
          <w:sz w:val="20"/>
          <w:szCs w:val="20"/>
          <w:color w:val="auto"/>
        </w:rPr>
      </w:pPr>
    </w:p>
    <w:p>
      <w:pPr>
        <w:ind w:left="760" w:hanging="752"/>
        <w:spacing w:after="0"/>
        <w:tabs>
          <w:tab w:leader="none" w:pos="7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a copy of the draft Registration Statement;</w:t>
      </w:r>
    </w:p>
    <w:p>
      <w:pPr>
        <w:spacing w:after="0" w:line="184" w:lineRule="exact"/>
        <w:rPr>
          <w:rFonts w:ascii="Arial" w:cs="Arial" w:eastAsia="Arial" w:hAnsi="Arial"/>
          <w:sz w:val="18"/>
          <w:szCs w:val="18"/>
          <w:b w:val="1"/>
          <w:bCs w:val="1"/>
          <w:color w:val="auto"/>
        </w:rPr>
      </w:pPr>
    </w:p>
    <w:p>
      <w:pPr>
        <w:ind w:left="760" w:hanging="752"/>
        <w:spacing w:after="0"/>
        <w:tabs>
          <w:tab w:leader="none" w:pos="7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the Certificate;</w:t>
      </w:r>
    </w:p>
    <w:p>
      <w:pPr>
        <w:spacing w:after="0" w:line="198" w:lineRule="exact"/>
        <w:rPr>
          <w:rFonts w:ascii="Arial" w:cs="Arial" w:eastAsia="Arial" w:hAnsi="Arial"/>
          <w:sz w:val="18"/>
          <w:szCs w:val="18"/>
          <w:b w:val="1"/>
          <w:bCs w:val="1"/>
          <w:color w:val="auto"/>
        </w:rPr>
      </w:pPr>
    </w:p>
    <w:p>
      <w:pPr>
        <w:ind w:left="760" w:hanging="752"/>
        <w:spacing w:after="0"/>
        <w:tabs>
          <w:tab w:leader="none" w:pos="7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a copy of the Merger Agreement;</w:t>
      </w:r>
    </w:p>
    <w:p>
      <w:pPr>
        <w:spacing w:after="0" w:line="198" w:lineRule="exact"/>
        <w:rPr>
          <w:rFonts w:ascii="Arial" w:cs="Arial" w:eastAsia="Arial" w:hAnsi="Arial"/>
          <w:sz w:val="18"/>
          <w:szCs w:val="18"/>
          <w:b w:val="1"/>
          <w:bCs w:val="1"/>
          <w:color w:val="auto"/>
        </w:rPr>
      </w:pPr>
    </w:p>
    <w:p>
      <w:pPr>
        <w:ind w:left="760" w:hanging="752"/>
        <w:spacing w:after="0"/>
        <w:tabs>
          <w:tab w:leader="none" w:pos="7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the rules of the Diamond Offshore Drilling, Inc 2021 Long-Term Incentive Plan (the "</w:t>
      </w:r>
      <w:r>
        <w:rPr>
          <w:rFonts w:ascii="Arial" w:cs="Arial" w:eastAsia="Arial" w:hAnsi="Arial"/>
          <w:sz w:val="18"/>
          <w:szCs w:val="18"/>
          <w:b w:val="1"/>
          <w:bCs w:val="1"/>
          <w:color w:val="auto"/>
        </w:rPr>
        <w:t>Plan Documentation</w:t>
      </w:r>
      <w:r>
        <w:rPr>
          <w:rFonts w:ascii="Arial" w:cs="Arial" w:eastAsia="Arial" w:hAnsi="Arial"/>
          <w:sz w:val="18"/>
          <w:szCs w:val="18"/>
          <w:color w:val="auto"/>
        </w:rPr>
        <w:t>");</w:t>
      </w:r>
    </w:p>
    <w:p>
      <w:pPr>
        <w:spacing w:after="0" w:line="184" w:lineRule="exact"/>
        <w:rPr>
          <w:rFonts w:ascii="Arial" w:cs="Arial" w:eastAsia="Arial" w:hAnsi="Arial"/>
          <w:sz w:val="18"/>
          <w:szCs w:val="18"/>
          <w:b w:val="1"/>
          <w:bCs w:val="1"/>
          <w:color w:val="auto"/>
        </w:rPr>
      </w:pPr>
    </w:p>
    <w:p>
      <w:pPr>
        <w:ind w:left="760" w:hanging="752"/>
        <w:spacing w:after="0" w:line="244" w:lineRule="auto"/>
        <w:tabs>
          <w:tab w:leader="none" w:pos="7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a PDF copy of the ordinary resolution of the Company's sole shareholder, Noble Corporation 2022 Limited, passed on 5 May 2022 granting general and unconditional authority to the Company's directors for the purposes of section 551 of the Companies Act 2006 to exercise all powers of the Company to allot shares and to grant any such subscription rights, as are contemplated in sub-sections 551(1)(a) and 551(1)(b) respectively of the Companies Act 2006 up to a maximum nominal amount of US$271.00 to such persons and at such times and on such terms as they think proper during the period expiring at the end of five years from the date of the passing of the resolution (the "</w:t>
      </w:r>
      <w:r>
        <w:rPr>
          <w:rFonts w:ascii="Arial" w:cs="Arial" w:eastAsia="Arial" w:hAnsi="Arial"/>
          <w:sz w:val="18"/>
          <w:szCs w:val="18"/>
          <w:b w:val="1"/>
          <w:bCs w:val="1"/>
          <w:color w:val="auto"/>
        </w:rPr>
        <w:t>Allotment Resolutions</w:t>
      </w:r>
      <w:r>
        <w:rPr>
          <w:rFonts w:ascii="Arial" w:cs="Arial" w:eastAsia="Arial" w:hAnsi="Arial"/>
          <w:sz w:val="18"/>
          <w:szCs w:val="18"/>
          <w:color w:val="auto"/>
        </w:rPr>
        <w:t>"); and</w:t>
      </w:r>
    </w:p>
    <w:p>
      <w:pPr>
        <w:spacing w:after="0" w:line="154" w:lineRule="exact"/>
        <w:rPr>
          <w:rFonts w:ascii="Arial" w:cs="Arial" w:eastAsia="Arial" w:hAnsi="Arial"/>
          <w:sz w:val="18"/>
          <w:szCs w:val="18"/>
          <w:b w:val="1"/>
          <w:bCs w:val="1"/>
          <w:color w:val="auto"/>
        </w:rPr>
      </w:pPr>
    </w:p>
    <w:p>
      <w:pPr>
        <w:ind w:left="760" w:hanging="752"/>
        <w:spacing w:after="0"/>
        <w:tabs>
          <w:tab w:leader="none" w:pos="7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a PDF copy of the articles of association of the Company adopted by way of special resolution on 5 May 2022.</w:t>
      </w:r>
    </w:p>
    <w:p>
      <w:pPr>
        <w:spacing w:after="0" w:line="200" w:lineRule="exact"/>
        <w:rPr>
          <w:sz w:val="20"/>
          <w:szCs w:val="20"/>
          <w:color w:val="auto"/>
        </w:rPr>
      </w:pPr>
    </w:p>
    <w:p>
      <w:pPr>
        <w:spacing w:after="0" w:line="39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16" w:name="page17"/>
    <w:bookmarkEnd w:id="1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ind w:right="180"/>
        <w:spacing w:after="0" w:line="289" w:lineRule="auto"/>
        <w:rPr>
          <w:sz w:val="20"/>
          <w:szCs w:val="20"/>
          <w:color w:val="auto"/>
        </w:rPr>
      </w:pPr>
      <w:r>
        <w:rPr>
          <w:rFonts w:ascii="Times New Roman" w:cs="Times New Roman" w:eastAsia="Times New Roman" w:hAnsi="Times New Roman"/>
          <w:sz w:val="17"/>
          <w:szCs w:val="17"/>
          <w:color w:val="auto"/>
        </w:rPr>
        <w:t>We hereby consent to the incorporation by reference in this Post-effective Amendment No. 1 on Form S-8 to Form S-4 Registration Statement of Noble Corporation plc of our report dated February 23, 2024 relating to the financial statements and the effectiveness of internal control over financial reporting of Noble Corporation plc (Successor), which appears in Noble Corporation plc's Annual Report on Form 10-K for the year ended December 31, 2023.</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760095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Post-effective Amendment No. 1 on Form S-8 to Form S-4 Registration Statement of Noble Corporation plc of our report dated February 17, 2022 relating to the financial statements of Noble Corporation plc (Predecessor), which appears in Noble Corporation plc's Annual Report on Form 10-K for the year ended December 31, 2023.</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777240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decimal"/>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lowerLetter"/>
      <w:start w:val="1"/>
    </w:lvl>
  </w:abstractNum>
  <w:abstractNum w:abstractNumId="3">
    <w:nsid w:val="1F16E9E8"/>
    <w:multiLevelType w:val="hybridMultilevel"/>
    <w:lvl w:ilvl="0">
      <w:lvlJc w:val="left"/>
      <w:lvlText w:val="(%1)"/>
      <w:numFmt w:val="lowerRoman"/>
      <w:start w:val="5"/>
    </w:lvl>
  </w:abstractNum>
  <w:abstractNum w:abstractNumId="4">
    <w:nsid w:val="1190CDE7"/>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5">
    <w:nsid w:val="66EF438D"/>
    <w:multiLevelType w:val="hybridMultilevel"/>
    <w:lvl w:ilvl="0">
      <w:lvlJc w:val="left"/>
      <w:lvlText w:val="(%1)"/>
      <w:numFmt w:val="decimal"/>
      <w:start w:val="2"/>
    </w:lvl>
  </w:abstractNum>
  <w:abstractNum w:abstractNumId="6">
    <w:nsid w:val="140E0F76"/>
    <w:multiLevelType w:val="hybridMultilevel"/>
    <w:lvl w:ilvl="0">
      <w:lvlJc w:val="left"/>
      <w:lvlText w:val="%1"/>
      <w:numFmt w:val="lowerLetter"/>
      <w:start w:val="1"/>
    </w:lvl>
    <w:lvl w:ilvl="1">
      <w:lvlJc w:val="left"/>
      <w:lvlText w:val="(%2)"/>
      <w:numFmt w:val="decimal"/>
      <w:start w:val="3"/>
    </w:lvl>
  </w:abstractNum>
  <w:abstractNum w:abstractNumId="7">
    <w:nsid w:val="3352255A"/>
    <w:multiLevelType w:val="hybridMultilevel"/>
    <w:lvl w:ilvl="0">
      <w:lvlJc w:val="left"/>
      <w:lvlText w:val="(%1)"/>
      <w:numFmt w:val="lowerLetter"/>
      <w:start w:val="2"/>
    </w:lvl>
    <w:lvl w:ilvl="1">
      <w:lvlJc w:val="left"/>
      <w:lvlText w:val="%2"/>
      <w:numFmt w:val="decimal"/>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decimal"/>
      <w:start w:val="4"/>
    </w:lvl>
  </w:abstractNum>
  <w:abstractNum w:abstractNumId="11">
    <w:nsid w:val="1BEFD79F"/>
    <w:multiLevelType w:val="hybridMultilevel"/>
    <w:lvl w:ilvl="0">
      <w:lvlJc w:val="left"/>
      <w:lvlText w:val="%1."/>
      <w:numFmt w:val="decimal"/>
      <w:start w:val="5"/>
    </w:lvl>
  </w:abstractNum>
  <w:abstractNum w:abstractNumId="12">
    <w:nsid w:val="41A7C4C9"/>
    <w:multiLevelType w:val="hybridMultilevel"/>
    <w:lvl w:ilvl="0">
      <w:lvlJc w:val="left"/>
      <w:lvlText w:val="%1."/>
      <w:numFmt w:val="decimal"/>
      <w:start w:val="8"/>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1."/>
      <w:numFmt w:val="decimal"/>
      <w:start w:val="9"/>
    </w:lvl>
  </w:abstractNum>
  <w:abstractNum w:abstractNumId="15">
    <w:nsid w:val="25E45D32"/>
    <w:multiLevelType w:val="hybridMultilevel"/>
    <w:lvl w:ilvl="0">
      <w:lvlJc w:val="left"/>
      <w:lvlText w:val="%1."/>
      <w:numFmt w:val="decimal"/>
      <w:start w:val="1"/>
    </w:lvl>
  </w:abstractNum>
  <w:abstractNum w:abstractNumId="16">
    <w:nsid w:val="519B500D"/>
    <w:multiLevelType w:val="hybridMultilevel"/>
    <w:lvl w:ilvl="0">
      <w:lvlJc w:val="left"/>
      <w:lvlText w:val="%1."/>
      <w:numFmt w:val="decimal"/>
      <w:start w:val="2"/>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26" Type="http://schemas.openxmlformats.org/officeDocument/2006/relationships/image" Target="media/image7.png"/><Relationship Id="rId27" Type="http://schemas.openxmlformats.org/officeDocument/2006/relationships/image" Target="media/image8.png"/><Relationship Id="rId31" Type="http://schemas.openxmlformats.org/officeDocument/2006/relationships/image" Target="media/image9.png"/><Relationship Id="rId32" Type="http://schemas.openxmlformats.org/officeDocument/2006/relationships/image" Target="media/image10.png"/><Relationship Id="rId33" Type="http://schemas.openxmlformats.org/officeDocument/2006/relationships/image" Target="media/image11.png"/><Relationship Id="rId34" Type="http://schemas.openxmlformats.org/officeDocument/2006/relationships/image" Target="media/image12.png"/><Relationship Id="rId35" Type="http://schemas.openxmlformats.org/officeDocument/2006/relationships/image" Target="media/image13.png"/><Relationship Id="rId36" Type="http://schemas.openxmlformats.org/officeDocument/2006/relationships/image" Target="media/image14.png"/><Relationship Id="rId37" Type="http://schemas.openxmlformats.org/officeDocument/2006/relationships/image" Target="media/image15.png"/><Relationship Id="rId38" Type="http://schemas.openxmlformats.org/officeDocument/2006/relationships/image" Target="media/image16.jpeg"/><Relationship Id="rId39" Type="http://schemas.openxmlformats.org/officeDocument/2006/relationships/image" Target="media/image17.png"/><Relationship Id="rId40" Type="http://schemas.openxmlformats.org/officeDocument/2006/relationships/image" Target="media/image18.png"/><Relationship Id="rId41" Type="http://schemas.openxmlformats.org/officeDocument/2006/relationships/image" Target="media/image19.png"/><Relationship Id="rId42" Type="http://schemas.openxmlformats.org/officeDocument/2006/relationships/image" Target="media/image20.png"/><Relationship Id="rId43" Type="http://schemas.openxmlformats.org/officeDocument/2006/relationships/image" Target="media/image21.png"/><Relationship Id="rId44" Type="http://schemas.openxmlformats.org/officeDocument/2006/relationships/image" Target="media/image22.png"/><Relationship Id="rId45" Type="http://schemas.openxmlformats.org/officeDocument/2006/relationships/image" Target="media/image23.png"/><Relationship Id="rId46" Type="http://schemas.openxmlformats.org/officeDocument/2006/relationships/image" Target="media/image24.png"/><Relationship Id="rId47" Type="http://schemas.openxmlformats.org/officeDocument/2006/relationships/image" Target="media/image25.png"/><Relationship Id="rId48" Type="http://schemas.openxmlformats.org/officeDocument/2006/relationships/image" Target="media/image26.png"/><Relationship Id="rId14" Type="http://schemas.openxmlformats.org/officeDocument/2006/relationships/hyperlink" Target="https://www.sec.gov/Archives/edgar/data/1895262/000162828024006622/ne-20231231.htm" TargetMode="External"/><Relationship Id="rId15" Type="http://schemas.openxmlformats.org/officeDocument/2006/relationships/hyperlink" Target="https://www.sec.gov/Archives/edgar/data/1895262/000119312524091850/d807356ddef14a.htm" TargetMode="External"/><Relationship Id="rId16" Type="http://schemas.openxmlformats.org/officeDocument/2006/relationships/hyperlink" Target="https://www.sec.gov/Archives/edgar/data/1895262/000162828024020917/ne-20240331.htm" TargetMode="External"/><Relationship Id="rId17" Type="http://schemas.openxmlformats.org/officeDocument/2006/relationships/hyperlink" Target="https://www.sec.gov/Archives/edgar/data/1895262/000162828024033932/ne-20240630.htm" TargetMode="External"/><Relationship Id="rId18" Type="http://schemas.openxmlformats.org/officeDocument/2006/relationships/hyperlink" Target="https://www.sec.gov/Archives/edgar/data/1895262/000162828024024526/ne-20240521.htm" TargetMode="External"/><Relationship Id="rId19" Type="http://schemas.openxmlformats.org/officeDocument/2006/relationships/hyperlink" Target="https://www.sec.gov/Archives/edgar/data/1895262/000095014224001594/eh240493720_8k.htm" TargetMode="External"/><Relationship Id="rId20" Type="http://schemas.openxmlformats.org/officeDocument/2006/relationships/hyperlink" Target="https://www.sec.gov/Archives/edgar/data/1895262/000162828024030321/ne-20240624.htm" TargetMode="External"/><Relationship Id="rId21" Type="http://schemas.openxmlformats.org/officeDocument/2006/relationships/hyperlink" Target="https://www.sec.gov/Archives/edgar/data/1895262/000095014224002009/eh240512717_8k.htm" TargetMode="External"/><Relationship Id="rId22" Type="http://schemas.openxmlformats.org/officeDocument/2006/relationships/hyperlink" Target="https://www.sec.gov/Archives/edgar/data/1895262/000119312524196575/d833269d8k.htm" TargetMode="External"/><Relationship Id="rId23" Type="http://schemas.openxmlformats.org/officeDocument/2006/relationships/hyperlink" Target="https://www.sec.gov/Archives/edgar/data/1895262/000119312524197492/d702305d8k.htm" TargetMode="External"/><Relationship Id="rId24" Type="http://schemas.openxmlformats.org/officeDocument/2006/relationships/hyperlink" Target="https://www.sec.gov/Archives/edgar/data/1895262/000119312524205351/d835937d8k.htm" TargetMode="External"/><Relationship Id="rId25" Type="http://schemas.openxmlformats.org/officeDocument/2006/relationships/hyperlink" Target="https://www.sec.gov/Archives/edgar/data/1895262/000162828024006622/exhibit42-descriptionofsec.htm" TargetMode="External"/><Relationship Id="rId28" Type="http://schemas.openxmlformats.org/officeDocument/2006/relationships/hyperlink" Target="https://www.sec.gov/ix?doc=/Archives/edgar/data/1895262/000119312522254859/d377058d8k12b.htm" TargetMode="External"/><Relationship Id="rId29" Type="http://schemas.openxmlformats.org/officeDocument/2006/relationships/hyperlink" Target="https://www.sec.gov/Archives/edgar/data/1895262/000119312524176470/d698384dex241.htm" TargetMode="External"/><Relationship Id="rId30" Type="http://schemas.openxmlformats.org/officeDocument/2006/relationships/hyperlink" Target="https://www.sec.gov/Archives/edgar/data/949039/000119312521140719/d176125dex10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2024-09-04T08:37:51Z</dcterms:created>
  <dcterms:modified xsi:type="dcterms:W3CDTF">2024-09-04T08:37:51Z</dcterms:modified>
</cp:coreProperties>
</file>