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6"/>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466090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21" w:lineRule="exact"/>
        <w:rPr>
          <w:sz w:val="24"/>
          <w:szCs w:val="24"/>
          <w:color w:val="auto"/>
        </w:rPr>
      </w:pPr>
    </w:p>
    <w:p>
      <w:pPr>
        <w:jc w:val="center"/>
        <w:ind w:right="-1116"/>
        <w:spacing w:after="0"/>
        <w:rPr>
          <w:sz w:val="20"/>
          <w:szCs w:val="20"/>
          <w:color w:val="auto"/>
        </w:rPr>
      </w:pPr>
      <w:r>
        <w:rPr>
          <w:rFonts w:ascii="Arial" w:cs="Arial" w:eastAsia="Arial" w:hAnsi="Arial"/>
          <w:sz w:val="22"/>
          <w:szCs w:val="22"/>
          <w:b w:val="1"/>
          <w:bCs w:val="1"/>
          <w:color w:val="auto"/>
        </w:rPr>
        <w:t>SECURITIES AND EXCHANGE COMMISSION</w:t>
      </w:r>
    </w:p>
    <w:p>
      <w:pPr>
        <w:spacing w:after="0" w:line="10" w:lineRule="exact"/>
        <w:rPr>
          <w:sz w:val="24"/>
          <w:szCs w:val="24"/>
          <w:color w:val="auto"/>
        </w:rPr>
      </w:pPr>
    </w:p>
    <w:p>
      <w:pPr>
        <w:ind w:left="4816"/>
        <w:spacing w:after="0"/>
        <w:rPr>
          <w:sz w:val="20"/>
          <w:szCs w:val="20"/>
          <w:color w:val="auto"/>
        </w:rPr>
      </w:pPr>
      <w:r>
        <w:rPr>
          <w:rFonts w:ascii="Arial" w:cs="Arial" w:eastAsia="Arial" w:hAnsi="Arial"/>
          <w:sz w:val="14"/>
          <w:szCs w:val="14"/>
          <w:b w:val="1"/>
          <w:bCs w:val="1"/>
          <w:color w:val="auto"/>
        </w:rPr>
        <w:t>Washington, D.C. 20549</w:t>
      </w:r>
    </w:p>
    <w:p>
      <w:pPr>
        <w:spacing w:after="0" w:line="3"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64" w:lineRule="exact"/>
        <w:rPr>
          <w:sz w:val="24"/>
          <w:szCs w:val="24"/>
          <w:color w:val="auto"/>
        </w:rPr>
      </w:pPr>
    </w:p>
    <w:p>
      <w:pPr>
        <w:jc w:val="center"/>
        <w:ind w:right="-1096"/>
        <w:spacing w:after="0"/>
        <w:rPr>
          <w:sz w:val="20"/>
          <w:szCs w:val="20"/>
          <w:color w:val="auto"/>
        </w:rPr>
      </w:pPr>
      <w:r>
        <w:rPr>
          <w:rFonts w:ascii="Arial" w:cs="Arial" w:eastAsia="Arial" w:hAnsi="Arial"/>
          <w:sz w:val="22"/>
          <w:szCs w:val="22"/>
          <w:b w:val="1"/>
          <w:bCs w:val="1"/>
          <w:color w:val="auto"/>
        </w:rPr>
        <w:t>FORM 8-K</w:t>
      </w:r>
    </w:p>
    <w:p>
      <w:pPr>
        <w:spacing w:after="0" w:line="25"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164"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CURRENT REPORT</w:t>
      </w:r>
    </w:p>
    <w:p>
      <w:pPr>
        <w:spacing w:after="0" w:line="24"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49"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Date of report (date of earliest event reported): September 2, 2025</w:t>
      </w:r>
    </w:p>
    <w:p>
      <w:pPr>
        <w:spacing w:after="0" w:line="17"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54" w:lineRule="exact"/>
        <w:rPr>
          <w:sz w:val="24"/>
          <w:szCs w:val="24"/>
          <w:color w:val="auto"/>
        </w:rPr>
      </w:pPr>
    </w:p>
    <w:p>
      <w:pPr>
        <w:jc w:val="center"/>
        <w:ind w:right="-1116"/>
        <w:spacing w:after="0"/>
        <w:rPr>
          <w:sz w:val="20"/>
          <w:szCs w:val="20"/>
          <w:color w:val="auto"/>
        </w:rPr>
      </w:pPr>
      <w:r>
        <w:rPr>
          <w:rFonts w:ascii="Arial" w:cs="Arial" w:eastAsia="Arial" w:hAnsi="Arial"/>
          <w:sz w:val="29"/>
          <w:szCs w:val="29"/>
          <w:b w:val="1"/>
          <w:bCs w:val="1"/>
          <w:color w:val="auto"/>
        </w:rPr>
        <w:t>NOBLE CORPORATION plc</w:t>
      </w:r>
    </w:p>
    <w:p>
      <w:pPr>
        <w:spacing w:after="0" w:line="38" w:lineRule="exact"/>
        <w:rPr>
          <w:sz w:val="24"/>
          <w:szCs w:val="24"/>
          <w:color w:val="auto"/>
        </w:rPr>
      </w:pPr>
    </w:p>
    <w:p>
      <w:pPr>
        <w:ind w:left="415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75" w:lineRule="exact"/>
        <w:rPr>
          <w:sz w:val="24"/>
          <w:szCs w:val="24"/>
          <w:color w:val="auto"/>
        </w:rPr>
      </w:pPr>
    </w:p>
    <w:tbl>
      <w:tblPr>
        <w:tblLayout w:type="fixed"/>
        <w:tblInd w:w="2776" w:type="dxa"/>
        <w:tblCellMar>
          <w:top w:w="0" w:type="dxa"/>
          <w:left w:w="0" w:type="dxa"/>
          <w:bottom w:w="0" w:type="dxa"/>
          <w:right w:w="0" w:type="dxa"/>
        </w:tblCellMar>
      </w:tblPr>
      <w:tr>
        <w:trPr>
          <w:trHeight w:val="165"/>
        </w:trPr>
        <w:tc>
          <w:tcPr>
            <w:tcW w:w="2300" w:type="dxa"/>
            <w:vAlign w:val="bottom"/>
          </w:tcPr>
          <w:p>
            <w:pPr>
              <w:jc w:val="center"/>
              <w:ind w:right="246"/>
              <w:spacing w:after="0"/>
              <w:rPr>
                <w:sz w:val="20"/>
                <w:szCs w:val="20"/>
                <w:color w:val="auto"/>
              </w:rPr>
            </w:pPr>
            <w:r>
              <w:rPr>
                <w:rFonts w:ascii="Arial" w:cs="Arial" w:eastAsia="Arial" w:hAnsi="Arial"/>
                <w:sz w:val="12"/>
                <w:szCs w:val="12"/>
                <w:b w:val="1"/>
                <w:bCs w:val="1"/>
                <w:color w:val="auto"/>
                <w:w w:val="98"/>
              </w:rPr>
              <w:t>England and Wales</w:t>
            </w:r>
          </w:p>
        </w:tc>
        <w:tc>
          <w:tcPr>
            <w:tcW w:w="600" w:type="dxa"/>
            <w:vAlign w:val="bottom"/>
          </w:tcPr>
          <w:p>
            <w:pPr>
              <w:spacing w:after="0"/>
              <w:rPr>
                <w:sz w:val="14"/>
                <w:szCs w:val="14"/>
                <w:color w:val="auto"/>
              </w:rPr>
            </w:pPr>
          </w:p>
        </w:tc>
        <w:tc>
          <w:tcPr>
            <w:tcW w:w="1020" w:type="dxa"/>
            <w:vAlign w:val="bottom"/>
          </w:tcPr>
          <w:p>
            <w:pPr>
              <w:jc w:val="right"/>
              <w:ind w:right="380"/>
              <w:spacing w:after="0"/>
              <w:rPr>
                <w:sz w:val="20"/>
                <w:szCs w:val="20"/>
                <w:color w:val="auto"/>
              </w:rPr>
            </w:pPr>
            <w:r>
              <w:rPr>
                <w:rFonts w:ascii="Arial" w:cs="Arial" w:eastAsia="Arial" w:hAnsi="Arial"/>
                <w:sz w:val="12"/>
                <w:szCs w:val="12"/>
                <w:b w:val="1"/>
                <w:bCs w:val="1"/>
                <w:color w:val="auto"/>
                <w:w w:val="97"/>
              </w:rPr>
              <w:t>001-41520</w:t>
            </w:r>
          </w:p>
        </w:tc>
        <w:tc>
          <w:tcPr>
            <w:tcW w:w="580" w:type="dxa"/>
            <w:vAlign w:val="bottom"/>
          </w:tcPr>
          <w:p>
            <w:pPr>
              <w:spacing w:after="0"/>
              <w:rPr>
                <w:sz w:val="14"/>
                <w:szCs w:val="14"/>
                <w:color w:val="auto"/>
              </w:rPr>
            </w:pPr>
          </w:p>
        </w:tc>
        <w:tc>
          <w:tcPr>
            <w:tcW w:w="1340" w:type="dxa"/>
            <w:vAlign w:val="bottom"/>
          </w:tcPr>
          <w:p>
            <w:pPr>
              <w:jc w:val="right"/>
              <w:ind w:right="404"/>
              <w:spacing w:after="0"/>
              <w:rPr>
                <w:sz w:val="20"/>
                <w:szCs w:val="20"/>
                <w:color w:val="auto"/>
              </w:rPr>
            </w:pPr>
            <w:r>
              <w:rPr>
                <w:rFonts w:ascii="Arial" w:cs="Arial" w:eastAsia="Arial" w:hAnsi="Arial"/>
                <w:sz w:val="12"/>
                <w:szCs w:val="12"/>
                <w:b w:val="1"/>
                <w:bCs w:val="1"/>
                <w:color w:val="auto"/>
              </w:rPr>
              <w:t>98-1644664</w:t>
            </w:r>
          </w:p>
        </w:tc>
      </w:tr>
      <w:tr>
        <w:trPr>
          <w:trHeight w:val="161"/>
        </w:trPr>
        <w:tc>
          <w:tcPr>
            <w:tcW w:w="2300" w:type="dxa"/>
            <w:vAlign w:val="bottom"/>
          </w:tcPr>
          <w:p>
            <w:pPr>
              <w:jc w:val="center"/>
              <w:ind w:right="246"/>
              <w:spacing w:after="0"/>
              <w:rPr>
                <w:sz w:val="20"/>
                <w:szCs w:val="20"/>
                <w:color w:val="auto"/>
              </w:rPr>
            </w:pPr>
            <w:r>
              <w:rPr>
                <w:rFonts w:ascii="Arial" w:cs="Arial" w:eastAsia="Arial" w:hAnsi="Arial"/>
                <w:sz w:val="10"/>
                <w:szCs w:val="10"/>
                <w:b w:val="1"/>
                <w:bCs w:val="1"/>
                <w:color w:val="auto"/>
                <w:w w:val="96"/>
              </w:rPr>
              <w:t>(State or other jurisdiction of incorporation)</w:t>
            </w:r>
          </w:p>
        </w:tc>
        <w:tc>
          <w:tcPr>
            <w:tcW w:w="1620" w:type="dxa"/>
            <w:vAlign w:val="bottom"/>
            <w:gridSpan w:val="2"/>
          </w:tcPr>
          <w:p>
            <w:pPr>
              <w:jc w:val="center"/>
              <w:ind w:left="112"/>
              <w:spacing w:after="0"/>
              <w:rPr>
                <w:sz w:val="20"/>
                <w:szCs w:val="20"/>
                <w:color w:val="auto"/>
              </w:rPr>
            </w:pPr>
            <w:r>
              <w:rPr>
                <w:rFonts w:ascii="Arial" w:cs="Arial" w:eastAsia="Arial" w:hAnsi="Arial"/>
                <w:sz w:val="10"/>
                <w:szCs w:val="10"/>
                <w:b w:val="1"/>
                <w:bCs w:val="1"/>
                <w:color w:val="auto"/>
                <w:w w:val="95"/>
              </w:rPr>
              <w:t>(Commission file number)</w:t>
            </w:r>
          </w:p>
        </w:tc>
        <w:tc>
          <w:tcPr>
            <w:tcW w:w="1920" w:type="dxa"/>
            <w:vAlign w:val="bottom"/>
            <w:gridSpan w:val="2"/>
          </w:tcPr>
          <w:p>
            <w:pPr>
              <w:jc w:val="center"/>
              <w:ind w:left="306"/>
              <w:spacing w:after="0"/>
              <w:rPr>
                <w:sz w:val="20"/>
                <w:szCs w:val="20"/>
                <w:color w:val="auto"/>
              </w:rPr>
            </w:pPr>
            <w:r>
              <w:rPr>
                <w:rFonts w:ascii="Arial" w:cs="Arial" w:eastAsia="Arial" w:hAnsi="Arial"/>
                <w:sz w:val="10"/>
                <w:szCs w:val="10"/>
                <w:b w:val="1"/>
                <w:bCs w:val="1"/>
                <w:color w:val="auto"/>
                <w:w w:val="96"/>
              </w:rPr>
              <w:t>(I.R.S. employer identification no.)</w:t>
            </w:r>
          </w:p>
        </w:tc>
      </w:tr>
      <w:tr>
        <w:trPr>
          <w:trHeight w:val="265"/>
        </w:trPr>
        <w:tc>
          <w:tcPr>
            <w:tcW w:w="2900" w:type="dxa"/>
            <w:vAlign w:val="bottom"/>
            <w:gridSpan w:val="2"/>
          </w:tcPr>
          <w:p>
            <w:pPr>
              <w:ind w:left="800"/>
              <w:spacing w:after="0"/>
              <w:rPr>
                <w:sz w:val="20"/>
                <w:szCs w:val="20"/>
                <w:color w:val="auto"/>
              </w:rPr>
            </w:pPr>
            <w:r>
              <w:rPr>
                <w:rFonts w:ascii="Arial" w:cs="Arial" w:eastAsia="Arial" w:hAnsi="Arial"/>
                <w:sz w:val="12"/>
                <w:szCs w:val="12"/>
                <w:b w:val="1"/>
                <w:bCs w:val="1"/>
                <w:color w:val="auto"/>
                <w:w w:val="99"/>
              </w:rPr>
              <w:t>2101 City West Boulevard, Suite 600,</w:t>
            </w:r>
          </w:p>
        </w:tc>
        <w:tc>
          <w:tcPr>
            <w:tcW w:w="1020" w:type="dxa"/>
            <w:vAlign w:val="bottom"/>
          </w:tcPr>
          <w:p>
            <w:pPr>
              <w:ind w:left="220"/>
              <w:spacing w:after="0"/>
              <w:rPr>
                <w:sz w:val="20"/>
                <w:szCs w:val="20"/>
                <w:color w:val="auto"/>
              </w:rPr>
            </w:pPr>
            <w:r>
              <w:rPr>
                <w:rFonts w:ascii="Arial" w:cs="Arial" w:eastAsia="Arial" w:hAnsi="Arial"/>
                <w:sz w:val="12"/>
                <w:szCs w:val="12"/>
                <w:b w:val="1"/>
                <w:bCs w:val="1"/>
                <w:color w:val="auto"/>
              </w:rPr>
              <w:t>Houston,</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Texas</w:t>
            </w:r>
          </w:p>
        </w:tc>
        <w:tc>
          <w:tcPr>
            <w:tcW w:w="1340" w:type="dxa"/>
            <w:vAlign w:val="bottom"/>
          </w:tcPr>
          <w:p>
            <w:pPr>
              <w:jc w:val="right"/>
              <w:ind w:right="764"/>
              <w:spacing w:after="0"/>
              <w:rPr>
                <w:sz w:val="20"/>
                <w:szCs w:val="20"/>
                <w:color w:val="auto"/>
              </w:rPr>
            </w:pPr>
            <w:r>
              <w:rPr>
                <w:rFonts w:ascii="Arial" w:cs="Arial" w:eastAsia="Arial" w:hAnsi="Arial"/>
                <w:sz w:val="12"/>
                <w:szCs w:val="12"/>
                <w:b w:val="1"/>
                <w:bCs w:val="1"/>
                <w:color w:val="auto"/>
              </w:rPr>
              <w:t>77042</w:t>
            </w:r>
          </w:p>
        </w:tc>
      </w:tr>
      <w:tr>
        <w:trPr>
          <w:trHeight w:val="131"/>
        </w:trPr>
        <w:tc>
          <w:tcPr>
            <w:tcW w:w="3920" w:type="dxa"/>
            <w:vAlign w:val="bottom"/>
            <w:gridSpan w:val="3"/>
          </w:tcPr>
          <w:p>
            <w:pPr>
              <w:ind w:left="1660"/>
              <w:spacing w:after="0"/>
              <w:rPr>
                <w:sz w:val="20"/>
                <w:szCs w:val="20"/>
                <w:color w:val="auto"/>
              </w:rPr>
            </w:pPr>
            <w:r>
              <w:rPr>
                <w:rFonts w:ascii="Arial" w:cs="Arial" w:eastAsia="Arial" w:hAnsi="Arial"/>
                <w:sz w:val="10"/>
                <w:szCs w:val="10"/>
                <w:b w:val="1"/>
                <w:bCs w:val="1"/>
                <w:color w:val="auto"/>
              </w:rPr>
              <w:t>(Address of principal executive offices)</w:t>
            </w:r>
          </w:p>
        </w:tc>
        <w:tc>
          <w:tcPr>
            <w:tcW w:w="580" w:type="dxa"/>
            <w:vAlign w:val="bottom"/>
          </w:tcPr>
          <w:p>
            <w:pPr>
              <w:spacing w:after="0"/>
              <w:rPr>
                <w:sz w:val="11"/>
                <w:szCs w:val="11"/>
                <w:color w:val="auto"/>
              </w:rPr>
            </w:pPr>
          </w:p>
        </w:tc>
        <w:tc>
          <w:tcPr>
            <w:tcW w:w="1340" w:type="dxa"/>
            <w:vAlign w:val="bottom"/>
          </w:tcPr>
          <w:p>
            <w:pPr>
              <w:jc w:val="center"/>
              <w:ind w:right="584"/>
              <w:spacing w:after="0"/>
              <w:rPr>
                <w:sz w:val="20"/>
                <w:szCs w:val="20"/>
                <w:color w:val="auto"/>
              </w:rPr>
            </w:pPr>
            <w:r>
              <w:rPr>
                <w:rFonts w:ascii="Arial" w:cs="Arial" w:eastAsia="Arial" w:hAnsi="Arial"/>
                <w:sz w:val="10"/>
                <w:szCs w:val="10"/>
                <w:b w:val="1"/>
                <w:bCs w:val="1"/>
                <w:color w:val="auto"/>
                <w:w w:val="96"/>
              </w:rPr>
              <w:t>(Zip code)</w:t>
            </w:r>
          </w:p>
        </w:tc>
      </w:tr>
    </w:tbl>
    <w:p>
      <w:pPr>
        <w:spacing w:after="0" w:line="97" w:lineRule="exact"/>
        <w:rPr>
          <w:sz w:val="24"/>
          <w:szCs w:val="24"/>
          <w:color w:val="auto"/>
        </w:rPr>
      </w:pPr>
    </w:p>
    <w:p>
      <w:pPr>
        <w:jc w:val="center"/>
        <w:ind w:right="-1116"/>
        <w:spacing w:after="0"/>
        <w:rPr>
          <w:sz w:val="20"/>
          <w:szCs w:val="20"/>
          <w:color w:val="auto"/>
        </w:rPr>
      </w:pPr>
      <w:r>
        <w:rPr>
          <w:rFonts w:ascii="Arial" w:cs="Arial" w:eastAsia="Arial" w:hAnsi="Arial"/>
          <w:sz w:val="12"/>
          <w:szCs w:val="12"/>
          <w:b w:val="1"/>
          <w:bCs w:val="1"/>
          <w:color w:val="auto"/>
        </w:rPr>
        <w:t>Registrant’s telephone number, including area code: (281) 276-6100</w:t>
      </w:r>
    </w:p>
    <w:p>
      <w:pPr>
        <w:spacing w:after="0" w:line="46"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243" w:lineRule="exact"/>
        <w:rPr>
          <w:sz w:val="24"/>
          <w:szCs w:val="24"/>
          <w:color w:val="auto"/>
        </w:rPr>
      </w:pPr>
    </w:p>
    <w:p>
      <w:pPr>
        <w:ind w:left="2576" w:right="1459"/>
        <w:spacing w:after="0" w:line="236" w:lineRule="auto"/>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56" w:lineRule="exact"/>
        <w:rPr>
          <w:sz w:val="24"/>
          <w:szCs w:val="24"/>
          <w:color w:val="auto"/>
        </w:rPr>
      </w:pPr>
    </w:p>
    <w:p>
      <w:pPr>
        <w:ind w:left="2976" w:hanging="398"/>
        <w:spacing w:after="0"/>
        <w:tabs>
          <w:tab w:leader="none" w:pos="2976" w:val="left"/>
        </w:tabs>
        <w:numPr>
          <w:ilvl w:val="1"/>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170" w:lineRule="exact"/>
        <w:rPr>
          <w:rFonts w:ascii="MS PGothic" w:cs="MS PGothic" w:eastAsia="MS PGothic" w:hAnsi="MS PGothic"/>
          <w:sz w:val="12"/>
          <w:szCs w:val="12"/>
          <w:color w:val="auto"/>
        </w:rPr>
      </w:pPr>
    </w:p>
    <w:p>
      <w:pPr>
        <w:ind w:left="2976" w:hanging="398"/>
        <w:spacing w:after="0"/>
        <w:tabs>
          <w:tab w:leader="none" w:pos="2976" w:val="left"/>
        </w:tabs>
        <w:numPr>
          <w:ilvl w:val="1"/>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125" w:lineRule="exact"/>
        <w:rPr>
          <w:rFonts w:ascii="MS PGothic" w:cs="MS PGothic" w:eastAsia="MS PGothic" w:hAnsi="MS PGothic"/>
          <w:sz w:val="12"/>
          <w:szCs w:val="12"/>
          <w:color w:val="auto"/>
        </w:rPr>
      </w:pPr>
    </w:p>
    <w:p>
      <w:pPr>
        <w:ind w:left="396" w:hanging="396"/>
        <w:spacing w:after="0"/>
        <w:tabs>
          <w:tab w:leader="none" w:pos="396"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2"/>
          <w:szCs w:val="12"/>
          <w:color w:val="auto"/>
        </w:rPr>
      </w:pPr>
    </w:p>
    <w:p>
      <w:pPr>
        <w:ind w:left="396" w:hanging="396"/>
        <w:spacing w:after="0" w:line="205" w:lineRule="auto"/>
        <w:tabs>
          <w:tab w:leader="none" w:pos="396" w:val="left"/>
        </w:tabs>
        <w:numPr>
          <w:ilvl w:val="0"/>
          <w:numId w:val="1"/>
        </w:numPr>
        <w:rPr>
          <w:rFonts w:ascii="MS PGothic" w:cs="MS PGothic" w:eastAsia="MS PGothic" w:hAnsi="MS PGothic"/>
          <w:sz w:val="24"/>
          <w:szCs w:val="24"/>
          <w:color w:val="auto"/>
          <w:vertAlign w:val="subscript"/>
        </w:rPr>
      </w:pPr>
      <w:r>
        <w:rPr>
          <w:rFonts w:ascii="Arial" w:cs="Arial" w:eastAsia="Arial" w:hAnsi="Arial"/>
          <w:sz w:val="11"/>
          <w:szCs w:val="11"/>
          <w:color w:val="auto"/>
        </w:rPr>
        <w:t>Pre-commencement communications pursuant to Rule 13e-4(c) under the Exchange Act (17 CFR 240.13e-4(c))</w:t>
      </w:r>
    </w:p>
    <w:p>
      <w:pPr>
        <w:spacing w:after="0" w:line="254" w:lineRule="exact"/>
        <w:rPr>
          <w:sz w:val="24"/>
          <w:szCs w:val="24"/>
          <w:color w:val="auto"/>
        </w:rPr>
      </w:pPr>
    </w:p>
    <w:p>
      <w:pPr>
        <w:ind w:left="4276"/>
        <w:spacing w:after="0"/>
        <w:rPr>
          <w:sz w:val="20"/>
          <w:szCs w:val="20"/>
          <w:color w:val="auto"/>
        </w:rPr>
      </w:pPr>
      <w:r>
        <w:rPr>
          <w:rFonts w:ascii="Arial" w:cs="Arial" w:eastAsia="Arial" w:hAnsi="Arial"/>
          <w:sz w:val="11"/>
          <w:szCs w:val="11"/>
          <w:color w:val="auto"/>
        </w:rPr>
        <w:t>Securities registered pursuant to Section 12(b) of the Act:</w:t>
      </w:r>
    </w:p>
    <w:p>
      <w:pPr>
        <w:spacing w:after="0" w:line="27" w:lineRule="exact"/>
        <w:rPr>
          <w:sz w:val="24"/>
          <w:szCs w:val="24"/>
          <w:color w:val="auto"/>
        </w:rPr>
      </w:pPr>
    </w:p>
    <w:tbl>
      <w:tblPr>
        <w:tblLayout w:type="fixed"/>
        <w:tblInd w:w="2676" w:type="dxa"/>
        <w:tblCellMar>
          <w:top w:w="0" w:type="dxa"/>
          <w:left w:w="0" w:type="dxa"/>
          <w:bottom w:w="0" w:type="dxa"/>
          <w:right w:w="0" w:type="dxa"/>
        </w:tblCellMar>
      </w:tblPr>
      <w:tr>
        <w:trPr>
          <w:trHeight w:val="142"/>
        </w:trPr>
        <w:tc>
          <w:tcPr>
            <w:tcW w:w="2420" w:type="dxa"/>
            <w:vAlign w:val="bottom"/>
            <w:vMerge w:val="restart"/>
          </w:tcPr>
          <w:p>
            <w:pPr>
              <w:jc w:val="center"/>
              <w:ind w:right="151"/>
              <w:spacing w:after="0"/>
              <w:rPr>
                <w:sz w:val="20"/>
                <w:szCs w:val="20"/>
                <w:color w:val="auto"/>
              </w:rPr>
            </w:pPr>
            <w:r>
              <w:rPr>
                <w:rFonts w:ascii="Arial" w:cs="Arial" w:eastAsia="Arial" w:hAnsi="Arial"/>
                <w:sz w:val="11"/>
                <w:szCs w:val="11"/>
                <w:color w:val="auto"/>
                <w:w w:val="97"/>
              </w:rPr>
              <w:t>Title of each class</w:t>
            </w:r>
          </w:p>
        </w:tc>
        <w:tc>
          <w:tcPr>
            <w:tcW w:w="1280" w:type="dxa"/>
            <w:vAlign w:val="bottom"/>
            <w:vMerge w:val="restart"/>
          </w:tcPr>
          <w:p>
            <w:pPr>
              <w:jc w:val="center"/>
              <w:ind w:left="11"/>
              <w:spacing w:after="0"/>
              <w:rPr>
                <w:sz w:val="20"/>
                <w:szCs w:val="20"/>
                <w:color w:val="auto"/>
              </w:rPr>
            </w:pPr>
            <w:r>
              <w:rPr>
                <w:rFonts w:ascii="Arial" w:cs="Arial" w:eastAsia="Arial" w:hAnsi="Arial"/>
                <w:sz w:val="11"/>
                <w:szCs w:val="11"/>
                <w:color w:val="auto"/>
                <w:w w:val="95"/>
              </w:rPr>
              <w:t>Trading Symbol(s)</w:t>
            </w:r>
          </w:p>
        </w:tc>
        <w:tc>
          <w:tcPr>
            <w:tcW w:w="2320" w:type="dxa"/>
            <w:vAlign w:val="bottom"/>
          </w:tcPr>
          <w:p>
            <w:pPr>
              <w:jc w:val="center"/>
              <w:ind w:left="131"/>
              <w:spacing w:after="0"/>
              <w:rPr>
                <w:sz w:val="20"/>
                <w:szCs w:val="20"/>
                <w:color w:val="auto"/>
              </w:rPr>
            </w:pPr>
            <w:r>
              <w:rPr>
                <w:rFonts w:ascii="Arial" w:cs="Arial" w:eastAsia="Arial" w:hAnsi="Arial"/>
                <w:sz w:val="11"/>
                <w:szCs w:val="11"/>
                <w:color w:val="auto"/>
                <w:w w:val="98"/>
              </w:rPr>
              <w:t>Name of each exchange on which registered</w:t>
            </w: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20" w:type="dxa"/>
            <w:vAlign w:val="bottom"/>
          </w:tcPr>
          <w:p>
            <w:pPr>
              <w:jc w:val="center"/>
              <w:ind w:right="171"/>
              <w:spacing w:after="0"/>
              <w:rPr>
                <w:sz w:val="20"/>
                <w:szCs w:val="20"/>
                <w:color w:val="auto"/>
              </w:rPr>
            </w:pPr>
            <w:r>
              <w:rPr>
                <w:rFonts w:ascii="Arial" w:cs="Arial" w:eastAsia="Arial" w:hAnsi="Arial"/>
                <w:sz w:val="10"/>
                <w:szCs w:val="10"/>
                <w:b w:val="1"/>
                <w:bCs w:val="1"/>
                <w:color w:val="auto"/>
                <w:w w:val="95"/>
              </w:rPr>
              <w:t>A Ordinary Shares, par value $0.00001 per share</w:t>
            </w:r>
          </w:p>
        </w:tc>
        <w:tc>
          <w:tcPr>
            <w:tcW w:w="1280" w:type="dxa"/>
            <w:vAlign w:val="bottom"/>
          </w:tcPr>
          <w:p>
            <w:pPr>
              <w:jc w:val="center"/>
              <w:ind w:left="11"/>
              <w:spacing w:after="0"/>
              <w:rPr>
                <w:sz w:val="20"/>
                <w:szCs w:val="20"/>
                <w:color w:val="auto"/>
              </w:rPr>
            </w:pPr>
            <w:r>
              <w:rPr>
                <w:rFonts w:ascii="Arial" w:cs="Arial" w:eastAsia="Arial" w:hAnsi="Arial"/>
                <w:sz w:val="10"/>
                <w:szCs w:val="10"/>
                <w:b w:val="1"/>
                <w:bCs w:val="1"/>
                <w:color w:val="auto"/>
              </w:rPr>
              <w:t>NE</w:t>
            </w:r>
          </w:p>
        </w:tc>
        <w:tc>
          <w:tcPr>
            <w:tcW w:w="2320" w:type="dxa"/>
            <w:vAlign w:val="bottom"/>
          </w:tcPr>
          <w:p>
            <w:pPr>
              <w:jc w:val="center"/>
              <w:ind w:left="151"/>
              <w:spacing w:after="0"/>
              <w:rPr>
                <w:sz w:val="20"/>
                <w:szCs w:val="20"/>
                <w:color w:val="auto"/>
              </w:rPr>
            </w:pPr>
            <w:r>
              <w:rPr>
                <w:rFonts w:ascii="Arial" w:cs="Arial" w:eastAsia="Arial" w:hAnsi="Arial"/>
                <w:sz w:val="10"/>
                <w:szCs w:val="10"/>
                <w:b w:val="1"/>
                <w:bCs w:val="1"/>
                <w:color w:val="auto"/>
                <w:w w:val="95"/>
              </w:rPr>
              <w:t>New York Stock Exchange</w:t>
            </w:r>
          </w:p>
        </w:tc>
        <w:tc>
          <w:tcPr>
            <w:tcW w:w="0" w:type="dxa"/>
            <w:vAlign w:val="bottom"/>
          </w:tcPr>
          <w:p>
            <w:pPr>
              <w:spacing w:after="0"/>
              <w:rPr>
                <w:sz w:val="1"/>
                <w:szCs w:val="1"/>
                <w:color w:val="auto"/>
              </w:rPr>
            </w:pPr>
          </w:p>
        </w:tc>
      </w:tr>
      <w:tr>
        <w:trPr>
          <w:trHeight w:val="144"/>
        </w:trPr>
        <w:tc>
          <w:tcPr>
            <w:tcW w:w="2420" w:type="dxa"/>
            <w:vAlign w:val="bottom"/>
          </w:tcPr>
          <w:p>
            <w:pPr>
              <w:jc w:val="center"/>
              <w:ind w:right="171"/>
              <w:spacing w:after="0"/>
              <w:rPr>
                <w:sz w:val="20"/>
                <w:szCs w:val="20"/>
                <w:color w:val="auto"/>
              </w:rPr>
            </w:pPr>
            <w:r>
              <w:rPr>
                <w:rFonts w:ascii="Arial" w:cs="Arial" w:eastAsia="Arial" w:hAnsi="Arial"/>
                <w:sz w:val="10"/>
                <w:szCs w:val="10"/>
                <w:b w:val="1"/>
                <w:bCs w:val="1"/>
                <w:color w:val="auto"/>
                <w:w w:val="95"/>
              </w:rPr>
              <w:t>Tranche 1 Warrants of Noble Corporation plc</w:t>
            </w:r>
          </w:p>
        </w:tc>
        <w:tc>
          <w:tcPr>
            <w:tcW w:w="1280" w:type="dxa"/>
            <w:vAlign w:val="bottom"/>
          </w:tcPr>
          <w:p>
            <w:pPr>
              <w:jc w:val="center"/>
              <w:ind w:left="11"/>
              <w:spacing w:after="0"/>
              <w:rPr>
                <w:sz w:val="20"/>
                <w:szCs w:val="20"/>
                <w:color w:val="auto"/>
              </w:rPr>
            </w:pPr>
            <w:r>
              <w:rPr>
                <w:rFonts w:ascii="Arial" w:cs="Arial" w:eastAsia="Arial" w:hAnsi="Arial"/>
                <w:sz w:val="10"/>
                <w:szCs w:val="10"/>
                <w:b w:val="1"/>
                <w:bCs w:val="1"/>
                <w:color w:val="auto"/>
                <w:w w:val="91"/>
              </w:rPr>
              <w:t>NE WS</w:t>
            </w:r>
          </w:p>
        </w:tc>
        <w:tc>
          <w:tcPr>
            <w:tcW w:w="2320" w:type="dxa"/>
            <w:vAlign w:val="bottom"/>
          </w:tcPr>
          <w:p>
            <w:pPr>
              <w:jc w:val="center"/>
              <w:ind w:left="151"/>
              <w:spacing w:after="0"/>
              <w:rPr>
                <w:sz w:val="20"/>
                <w:szCs w:val="20"/>
                <w:color w:val="auto"/>
              </w:rPr>
            </w:pPr>
            <w:r>
              <w:rPr>
                <w:rFonts w:ascii="Arial" w:cs="Arial" w:eastAsia="Arial" w:hAnsi="Arial"/>
                <w:sz w:val="10"/>
                <w:szCs w:val="10"/>
                <w:b w:val="1"/>
                <w:bCs w:val="1"/>
                <w:color w:val="auto"/>
                <w:w w:val="95"/>
              </w:rPr>
              <w:t>New York Stock Exchange</w:t>
            </w:r>
          </w:p>
        </w:tc>
        <w:tc>
          <w:tcPr>
            <w:tcW w:w="0" w:type="dxa"/>
            <w:vAlign w:val="bottom"/>
          </w:tcPr>
          <w:p>
            <w:pPr>
              <w:spacing w:after="0"/>
              <w:rPr>
                <w:sz w:val="1"/>
                <w:szCs w:val="1"/>
                <w:color w:val="auto"/>
              </w:rPr>
            </w:pPr>
          </w:p>
        </w:tc>
      </w:tr>
      <w:tr>
        <w:trPr>
          <w:trHeight w:val="144"/>
        </w:trPr>
        <w:tc>
          <w:tcPr>
            <w:tcW w:w="2420" w:type="dxa"/>
            <w:vAlign w:val="bottom"/>
          </w:tcPr>
          <w:p>
            <w:pPr>
              <w:jc w:val="center"/>
              <w:ind w:right="171"/>
              <w:spacing w:after="0"/>
              <w:rPr>
                <w:sz w:val="20"/>
                <w:szCs w:val="20"/>
                <w:color w:val="auto"/>
              </w:rPr>
            </w:pPr>
            <w:r>
              <w:rPr>
                <w:rFonts w:ascii="Arial" w:cs="Arial" w:eastAsia="Arial" w:hAnsi="Arial"/>
                <w:sz w:val="10"/>
                <w:szCs w:val="10"/>
                <w:b w:val="1"/>
                <w:bCs w:val="1"/>
                <w:color w:val="auto"/>
                <w:w w:val="95"/>
              </w:rPr>
              <w:t>Tranche 2 Warrants of Noble Corporation plc</w:t>
            </w:r>
          </w:p>
        </w:tc>
        <w:tc>
          <w:tcPr>
            <w:tcW w:w="1280" w:type="dxa"/>
            <w:vAlign w:val="bottom"/>
          </w:tcPr>
          <w:p>
            <w:pPr>
              <w:jc w:val="center"/>
              <w:ind w:left="11"/>
              <w:spacing w:after="0"/>
              <w:rPr>
                <w:sz w:val="20"/>
                <w:szCs w:val="20"/>
                <w:color w:val="auto"/>
              </w:rPr>
            </w:pPr>
            <w:r>
              <w:rPr>
                <w:rFonts w:ascii="Arial" w:cs="Arial" w:eastAsia="Arial" w:hAnsi="Arial"/>
                <w:sz w:val="10"/>
                <w:szCs w:val="10"/>
                <w:b w:val="1"/>
                <w:bCs w:val="1"/>
                <w:color w:val="auto"/>
                <w:w w:val="94"/>
              </w:rPr>
              <w:t>NE WSA</w:t>
            </w:r>
          </w:p>
        </w:tc>
        <w:tc>
          <w:tcPr>
            <w:tcW w:w="2320" w:type="dxa"/>
            <w:vAlign w:val="bottom"/>
          </w:tcPr>
          <w:p>
            <w:pPr>
              <w:jc w:val="center"/>
              <w:ind w:left="151"/>
              <w:spacing w:after="0"/>
              <w:rPr>
                <w:sz w:val="20"/>
                <w:szCs w:val="20"/>
                <w:color w:val="auto"/>
              </w:rPr>
            </w:pPr>
            <w:r>
              <w:rPr>
                <w:rFonts w:ascii="Arial" w:cs="Arial" w:eastAsia="Arial" w:hAnsi="Arial"/>
                <w:sz w:val="10"/>
                <w:szCs w:val="10"/>
                <w:b w:val="1"/>
                <w:bCs w:val="1"/>
                <w:color w:val="auto"/>
                <w:w w:val="95"/>
              </w:rPr>
              <w:t>New York Stock Exchange</w:t>
            </w: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2576" w:right="1619"/>
        <w:spacing w:after="0" w:line="236"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9" w:lineRule="exact"/>
        <w:rPr>
          <w:sz w:val="24"/>
          <w:szCs w:val="24"/>
          <w:color w:val="auto"/>
        </w:rPr>
      </w:pPr>
    </w:p>
    <w:p>
      <w:pPr>
        <w:ind w:left="4936"/>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31" w:lineRule="exact"/>
        <w:rPr>
          <w:sz w:val="24"/>
          <w:szCs w:val="24"/>
          <w:color w:val="auto"/>
        </w:rPr>
      </w:pPr>
    </w:p>
    <w:p>
      <w:pPr>
        <w:ind w:left="2576" w:right="1459"/>
        <w:spacing w:after="0" w:line="132"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436880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5"/>
          </w:cols>
          <w:pgMar w:left="304" w:top="867" w:right="1440" w:bottom="1440" w:gutter="0" w:footer="0" w:header="0"/>
        </w:sectPr>
      </w:pPr>
    </w:p>
    <w:bookmarkStart w:id="1" w:name="page2"/>
    <w:bookmarkEnd w:id="1"/>
    <w:p>
      <w:pPr>
        <w:ind w:left="14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t>Item 7.01. Regulation FD Disclosure</w:t>
      </w:r>
    </w:p>
    <w:p>
      <w:pPr>
        <w:spacing w:after="0" w:line="27" w:lineRule="exact"/>
        <w:rPr>
          <w:sz w:val="20"/>
          <w:szCs w:val="20"/>
          <w:color w:val="auto"/>
        </w:rPr>
      </w:pPr>
    </w:p>
    <w:p>
      <w:pPr>
        <w:jc w:val="both"/>
        <w:ind w:left="1440" w:right="1459" w:firstLine="297"/>
        <w:spacing w:after="0" w:line="211" w:lineRule="auto"/>
        <w:rPr>
          <w:sz w:val="20"/>
          <w:szCs w:val="20"/>
          <w:color w:val="auto"/>
        </w:rPr>
      </w:pPr>
      <w:r>
        <w:rPr>
          <w:rFonts w:ascii="Arial" w:cs="Arial" w:eastAsia="Arial" w:hAnsi="Arial"/>
          <w:sz w:val="12"/>
          <w:szCs w:val="12"/>
          <w:color w:val="auto"/>
        </w:rPr>
        <w:t>On September 2, 2025, the President and Chief Executive Officer of Noble Corporation plc (NYSE: NE), Robert W. Eifler made a presentation at the Barclays CEO Energy-Power Conference. A copy of the slide</w:t>
      </w:r>
    </w:p>
    <w:p>
      <w:pPr>
        <w:spacing w:after="0" w:line="1" w:lineRule="exact"/>
        <w:rPr>
          <w:sz w:val="20"/>
          <w:szCs w:val="20"/>
          <w:color w:val="auto"/>
        </w:rPr>
      </w:pPr>
    </w:p>
    <w:p>
      <w:pPr>
        <w:jc w:val="both"/>
        <w:ind w:left="1440" w:right="1459"/>
        <w:spacing w:after="0" w:line="229" w:lineRule="auto"/>
        <w:rPr>
          <w:sz w:val="20"/>
          <w:szCs w:val="20"/>
          <w:color w:val="auto"/>
        </w:rPr>
      </w:pPr>
      <w:r>
        <w:rPr>
          <w:rFonts w:ascii="Arial" w:cs="Arial" w:eastAsia="Arial" w:hAnsi="Arial"/>
          <w:sz w:val="12"/>
          <w:szCs w:val="12"/>
          <w:color w:val="auto"/>
        </w:rPr>
        <w:t>presentation used in connection with the presentation is furnished as Exhibit 99.1 to this Current Report on Form 8-K and is incorporated herein by reference into this item.</w:t>
      </w:r>
    </w:p>
    <w:p>
      <w:pPr>
        <w:spacing w:after="0" w:line="31"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The information contained in this Item 7.01 and Exhibit 99.1 shall not be deemed to be “filed” for purposes of</w:t>
      </w:r>
    </w:p>
    <w:p>
      <w:pPr>
        <w:jc w:val="both"/>
        <w:ind w:left="1440" w:right="1459"/>
        <w:spacing w:after="0" w:line="220" w:lineRule="auto"/>
        <w:rPr>
          <w:sz w:val="20"/>
          <w:szCs w:val="20"/>
          <w:color w:val="auto"/>
        </w:rPr>
      </w:pPr>
      <w:r>
        <w:rPr>
          <w:rFonts w:ascii="Arial" w:cs="Arial" w:eastAsia="Arial" w:hAnsi="Arial"/>
          <w:sz w:val="12"/>
          <w:szCs w:val="12"/>
          <w:color w:val="auto"/>
        </w:rPr>
        <w:t>Section 18 of the Securities Exchange Act of 1934, as amended (the “Exchange Act”), and shall not be incorporated by reference into any filings made by Noble under the Securities Act of 1933, as amended, or the Exchange Act, except as may be expressly set forth by specific reference in such filing.</w:t>
      </w:r>
    </w:p>
    <w:p>
      <w:pPr>
        <w:spacing w:after="0" w:line="383" w:lineRule="exact"/>
        <w:rPr>
          <w:sz w:val="20"/>
          <w:szCs w:val="20"/>
          <w:color w:val="auto"/>
        </w:rPr>
      </w:pPr>
    </w:p>
    <w:p>
      <w:pPr>
        <w:ind w:left="1540"/>
        <w:spacing w:after="0"/>
        <w:tabs>
          <w:tab w:leader="none" w:pos="22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7" w:lineRule="exact"/>
        <w:rPr>
          <w:sz w:val="20"/>
          <w:szCs w:val="20"/>
          <w:color w:val="auto"/>
        </w:rPr>
      </w:pPr>
    </w:p>
    <w:tbl>
      <w:tblPr>
        <w:tblLayout w:type="fixed"/>
        <w:tblInd w:w="1640" w:type="dxa"/>
        <w:tblCellMar>
          <w:top w:w="0" w:type="dxa"/>
          <w:left w:w="0" w:type="dxa"/>
          <w:bottom w:w="0" w:type="dxa"/>
          <w:right w:w="0" w:type="dxa"/>
        </w:tblCellMar>
      </w:tblPr>
      <w:tr>
        <w:trPr>
          <w:trHeight w:val="159"/>
        </w:trPr>
        <w:tc>
          <w:tcPr>
            <w:tcW w:w="540" w:type="dxa"/>
            <w:vAlign w:val="bottom"/>
          </w:tcPr>
          <w:p>
            <w:pPr>
              <w:spacing w:after="0"/>
              <w:rPr>
                <w:sz w:val="13"/>
                <w:szCs w:val="13"/>
                <w:color w:val="auto"/>
              </w:rPr>
            </w:pPr>
          </w:p>
        </w:tc>
        <w:tc>
          <w:tcPr>
            <w:tcW w:w="340" w:type="dxa"/>
            <w:vAlign w:val="bottom"/>
          </w:tcPr>
          <w:p>
            <w:pPr>
              <w:ind w:left="120"/>
              <w:spacing w:after="0"/>
              <w:rPr>
                <w:sz w:val="20"/>
                <w:szCs w:val="20"/>
                <w:color w:val="auto"/>
              </w:rPr>
            </w:pPr>
            <w:r>
              <w:rPr>
                <w:rFonts w:ascii="Arial" w:cs="Arial" w:eastAsia="Arial" w:hAnsi="Arial"/>
                <w:sz w:val="12"/>
                <w:szCs w:val="12"/>
                <w:color w:val="auto"/>
              </w:rPr>
              <w:t>(d)</w:t>
            </w:r>
          </w:p>
        </w:tc>
        <w:tc>
          <w:tcPr>
            <w:tcW w:w="2920" w:type="dxa"/>
            <w:vAlign w:val="bottom"/>
            <w:gridSpan w:val="2"/>
          </w:tcPr>
          <w:p>
            <w:pPr>
              <w:ind w:left="60"/>
              <w:spacing w:after="0"/>
              <w:rPr>
                <w:sz w:val="20"/>
                <w:szCs w:val="20"/>
                <w:color w:val="auto"/>
              </w:rPr>
            </w:pPr>
            <w:r>
              <w:rPr>
                <w:rFonts w:ascii="Arial" w:cs="Arial" w:eastAsia="Arial" w:hAnsi="Arial"/>
                <w:sz w:val="12"/>
                <w:szCs w:val="12"/>
                <w:color w:val="auto"/>
              </w:rPr>
              <w:t>Exhibits</w:t>
            </w:r>
          </w:p>
        </w:tc>
      </w:tr>
      <w:tr>
        <w:trPr>
          <w:trHeight w:val="246"/>
        </w:trPr>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EXHIBIT</w:t>
            </w:r>
          </w:p>
        </w:tc>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30"/>
        </w:trPr>
        <w:tc>
          <w:tcPr>
            <w:tcW w:w="5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2920" w:type="dxa"/>
            <w:vAlign w:val="bottom"/>
            <w:gridSpan w:val="2"/>
          </w:tcPr>
          <w:p>
            <w:pPr>
              <w:ind w:left="2100"/>
              <w:spacing w:after="0" w:line="130" w:lineRule="exact"/>
              <w:rPr>
                <w:sz w:val="20"/>
                <w:szCs w:val="20"/>
                <w:color w:val="auto"/>
              </w:rPr>
            </w:pPr>
            <w:r>
              <w:rPr>
                <w:rFonts w:ascii="Arial" w:cs="Arial" w:eastAsia="Arial" w:hAnsi="Arial"/>
                <w:sz w:val="12"/>
                <w:szCs w:val="12"/>
                <w:b w:val="1"/>
                <w:bCs w:val="1"/>
                <w:color w:val="auto"/>
                <w:w w:val="97"/>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41" w:lineRule="exact"/>
        <w:rPr>
          <w:sz w:val="20"/>
          <w:szCs w:val="20"/>
          <w:color w:val="auto"/>
        </w:rPr>
      </w:pPr>
    </w:p>
    <w:p>
      <w:pPr>
        <w:ind w:left="1800"/>
        <w:spacing w:after="0"/>
        <w:tabs>
          <w:tab w:leader="none" w:pos="2280" w:val="left"/>
        </w:tabs>
        <w:rPr>
          <w:sz w:val="20"/>
          <w:szCs w:val="20"/>
          <w:color w:val="auto"/>
        </w:rPr>
      </w:pPr>
      <w:r>
        <w:rPr>
          <w:rFonts w:ascii="Arial" w:cs="Arial" w:eastAsia="Arial" w:hAnsi="Arial"/>
          <w:sz w:val="12"/>
          <w:szCs w:val="12"/>
          <w:color w:val="auto"/>
        </w:rPr>
        <w:t>99.1</w:t>
      </w:r>
      <w:r>
        <w:rPr>
          <w:sz w:val="20"/>
          <w:szCs w:val="20"/>
          <w:color w:val="auto"/>
        </w:rPr>
        <w:tab/>
      </w:r>
      <w:r>
        <w:rPr>
          <w:rFonts w:ascii="Arial" w:cs="Arial" w:eastAsia="Arial" w:hAnsi="Arial"/>
          <w:sz w:val="11"/>
          <w:szCs w:val="11"/>
          <w:u w:val="single" w:color="auto"/>
          <w:color w:val="0000FF"/>
        </w:rPr>
        <w:t>Noble Corporation plc Investor Presentation September 2, 2025</w:t>
      </w:r>
    </w:p>
    <w:p>
      <w:pPr>
        <w:spacing w:after="0" w:line="33" w:lineRule="exact"/>
        <w:rPr>
          <w:sz w:val="20"/>
          <w:szCs w:val="20"/>
          <w:color w:val="auto"/>
        </w:rPr>
      </w:pPr>
    </w:p>
    <w:p>
      <w:pPr>
        <w:ind w:left="2300" w:right="1439" w:hanging="490"/>
        <w:spacing w:after="0" w:line="239" w:lineRule="auto"/>
        <w:tabs>
          <w:tab w:leader="none" w:pos="230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363855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339" w:lineRule="exact"/>
        <w:rPr>
          <w:sz w:val="20"/>
          <w:szCs w:val="20"/>
          <w:color w:val="auto"/>
        </w:rPr>
      </w:pPr>
    </w:p>
    <w:p>
      <w:pPr>
        <w:ind w:left="1440" w:right="1459" w:firstLine="297"/>
        <w:spacing w:after="0" w:line="239"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9"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NOBLE CORPORATION plc</w:t>
      </w:r>
    </w:p>
    <w:p>
      <w:pPr>
        <w:spacing w:after="0" w:line="200" w:lineRule="exact"/>
        <w:rPr>
          <w:sz w:val="20"/>
          <w:szCs w:val="20"/>
          <w:color w:val="auto"/>
        </w:rPr>
      </w:pPr>
    </w:p>
    <w:p>
      <w:pPr>
        <w:spacing w:after="0" w:line="328" w:lineRule="exact"/>
        <w:rPr>
          <w:sz w:val="20"/>
          <w:szCs w:val="20"/>
          <w:color w:val="auto"/>
        </w:rPr>
      </w:pPr>
    </w:p>
    <w:p>
      <w:pPr>
        <w:ind w:left="1640"/>
        <w:spacing w:after="0"/>
        <w:tabs>
          <w:tab w:leader="none" w:pos="2080" w:val="left"/>
          <w:tab w:leader="none" w:pos="4720" w:val="left"/>
          <w:tab w:leader="none" w:pos="5020" w:val="left"/>
        </w:tabs>
        <w:rPr>
          <w:sz w:val="20"/>
          <w:szCs w:val="20"/>
          <w:color w:val="auto"/>
        </w:rPr>
      </w:pPr>
      <w:r>
        <w:rPr>
          <w:rFonts w:ascii="Arial" w:cs="Arial" w:eastAsia="Arial" w:hAnsi="Arial"/>
          <w:sz w:val="12"/>
          <w:szCs w:val="12"/>
          <w:color w:val="auto"/>
        </w:rPr>
        <w:t>Date:</w:t>
        <w:tab/>
        <w:t>September 2, 2025</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Jennie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29210</wp:posOffset>
            </wp:positionV>
            <wp:extent cx="14859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5900" cy="5715"/>
                    </a:xfrm>
                    <a:prstGeom prst="rect">
                      <a:avLst/>
                    </a:prstGeom>
                    <a:noFill/>
                  </pic:spPr>
                </pic:pic>
              </a:graphicData>
            </a:graphic>
          </wp:anchor>
        </w:drawing>
      </w:r>
    </w:p>
    <w:p>
      <w:pPr>
        <w:spacing w:after="0" w:line="31" w:lineRule="exact"/>
        <w:rPr>
          <w:sz w:val="20"/>
          <w:szCs w:val="20"/>
          <w:color w:val="auto"/>
        </w:rPr>
      </w:pPr>
    </w:p>
    <w:p>
      <w:pPr>
        <w:ind w:left="5040"/>
        <w:spacing w:after="0"/>
        <w:rPr>
          <w:sz w:val="20"/>
          <w:szCs w:val="20"/>
          <w:color w:val="auto"/>
        </w:rPr>
      </w:pPr>
      <w:r>
        <w:rPr>
          <w:rFonts w:ascii="Arial" w:cs="Arial" w:eastAsia="Arial" w:hAnsi="Arial"/>
          <w:sz w:val="12"/>
          <w:szCs w:val="12"/>
          <w:color w:val="auto"/>
        </w:rPr>
        <w:t>Jennie Howard</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2"/>
          <w:szCs w:val="12"/>
          <w:color w:val="auto"/>
        </w:rPr>
        <w:t>Senior Vice President, General Counsel</w:t>
      </w:r>
    </w:p>
    <w:p>
      <w:pPr>
        <w:ind w:left="5040"/>
        <w:spacing w:after="0"/>
        <w:rPr>
          <w:sz w:val="20"/>
          <w:szCs w:val="20"/>
          <w:color w:val="auto"/>
        </w:rPr>
      </w:pPr>
      <w:r>
        <w:rPr>
          <w:rFonts w:ascii="Arial" w:cs="Arial" w:eastAsia="Arial" w:hAnsi="Arial"/>
          <w:sz w:val="12"/>
          <w:szCs w:val="12"/>
          <w:color w:val="auto"/>
        </w:rPr>
        <w:t>and Corporate Secretary</w:t>
      </w:r>
    </w:p>
    <w:p>
      <w:pPr>
        <w:sectPr>
          <w:pgSz w:w="11900" w:h="16838" w:orient="portrait"/>
          <w:cols w:equalWidth="0" w:num="1">
            <w:col w:w="9019"/>
          </w:cols>
          <w:pgMar w:left="1440" w:top="50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2025-09-02T06:23:17Z</dcterms:created>
  <dcterms:modified xsi:type="dcterms:W3CDTF">2025-09-02T06:23:17Z</dcterms:modified>
</cp:coreProperties>
</file>