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993"/>
        <w:spacing w:after="0"/>
        <w:rPr>
          <w:sz w:val="20"/>
          <w:szCs w:val="20"/>
          <w:color w:val="auto"/>
        </w:rPr>
      </w:pPr>
      <w:r>
        <w:rPr>
          <w:rFonts w:ascii="Arial" w:cs="Arial" w:eastAsia="Arial" w:hAnsi="Arial"/>
          <w:sz w:val="32"/>
          <w:szCs w:val="32"/>
          <w:b w:val="1"/>
          <w:bCs w:val="1"/>
          <w:color w:val="auto"/>
        </w:rPr>
        <w:t>SECURITIES AND EXCHANGE COMMISSION</w:t>
      </w:r>
    </w:p>
    <w:p>
      <w:pPr>
        <w:spacing w:after="0" w:line="20" w:lineRule="exact"/>
        <w:rPr>
          <w:sz w:val="24"/>
          <w:szCs w:val="24"/>
          <w:color w:val="auto"/>
        </w:rPr>
      </w:pPr>
    </w:p>
    <w:p>
      <w:pPr>
        <w:ind w:left="4354"/>
        <w:spacing w:after="0"/>
        <w:rPr>
          <w:sz w:val="20"/>
          <w:szCs w:val="20"/>
          <w:color w:val="auto"/>
        </w:rPr>
      </w:pPr>
      <w:r>
        <w:rPr>
          <w:rFonts w:ascii="Arial" w:cs="Arial" w:eastAsia="Arial" w:hAnsi="Arial"/>
          <w:sz w:val="22"/>
          <w:szCs w:val="22"/>
          <w:b w:val="1"/>
          <w:bCs w:val="1"/>
          <w:color w:val="auto"/>
        </w:rPr>
        <w:t>Washington, D.C. 20549</w:t>
      </w:r>
    </w:p>
    <w:p>
      <w:pPr>
        <w:ind w:left="4334"/>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90" w:lineRule="exact"/>
        <w:rPr>
          <w:sz w:val="24"/>
          <w:szCs w:val="24"/>
          <w:color w:val="auto"/>
        </w:rPr>
      </w:pPr>
    </w:p>
    <w:p>
      <w:pPr>
        <w:jc w:val="center"/>
        <w:ind w:right="-953"/>
        <w:spacing w:after="0"/>
        <w:rPr>
          <w:sz w:val="20"/>
          <w:szCs w:val="20"/>
          <w:color w:val="auto"/>
        </w:rPr>
      </w:pPr>
      <w:r>
        <w:rPr>
          <w:rFonts w:ascii="Arial" w:cs="Arial" w:eastAsia="Arial" w:hAnsi="Arial"/>
          <w:sz w:val="32"/>
          <w:szCs w:val="32"/>
          <w:b w:val="1"/>
          <w:bCs w:val="1"/>
          <w:color w:val="auto"/>
        </w:rPr>
        <w:t>FORM 8-K</w:t>
      </w:r>
    </w:p>
    <w:p>
      <w:pPr>
        <w:spacing w:after="0" w:line="51" w:lineRule="exact"/>
        <w:rPr>
          <w:sz w:val="24"/>
          <w:szCs w:val="24"/>
          <w:color w:val="auto"/>
        </w:rPr>
      </w:pPr>
    </w:p>
    <w:p>
      <w:pPr>
        <w:ind w:left="4334"/>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240" w:lineRule="exact"/>
        <w:rPr>
          <w:sz w:val="24"/>
          <w:szCs w:val="24"/>
          <w:color w:val="auto"/>
        </w:rPr>
      </w:pPr>
    </w:p>
    <w:p>
      <w:pPr>
        <w:jc w:val="center"/>
        <w:ind w:right="-993"/>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ind w:right="-993"/>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99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1" w:lineRule="exact"/>
        <w:rPr>
          <w:sz w:val="24"/>
          <w:szCs w:val="24"/>
          <w:color w:val="auto"/>
        </w:rPr>
      </w:pPr>
    </w:p>
    <w:p>
      <w:pPr>
        <w:jc w:val="center"/>
        <w:ind w:right="-993"/>
        <w:spacing w:after="0"/>
        <w:rPr>
          <w:sz w:val="20"/>
          <w:szCs w:val="20"/>
          <w:color w:val="auto"/>
        </w:rPr>
      </w:pPr>
      <w:r>
        <w:rPr>
          <w:rFonts w:ascii="Arial" w:cs="Arial" w:eastAsia="Arial" w:hAnsi="Arial"/>
          <w:sz w:val="22"/>
          <w:szCs w:val="22"/>
          <w:b w:val="1"/>
          <w:bCs w:val="1"/>
          <w:color w:val="auto"/>
        </w:rPr>
        <w:t>Date of report (date of earliest event reported): June 11, 2026</w:t>
      </w:r>
    </w:p>
    <w:p>
      <w:pPr>
        <w:spacing w:after="0" w:line="15" w:lineRule="exact"/>
        <w:rPr>
          <w:sz w:val="24"/>
          <w:szCs w:val="24"/>
          <w:color w:val="auto"/>
        </w:rPr>
      </w:pPr>
    </w:p>
    <w:p>
      <w:pPr>
        <w:ind w:left="4334"/>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76" w:lineRule="exact"/>
        <w:rPr>
          <w:sz w:val="24"/>
          <w:szCs w:val="24"/>
          <w:color w:val="auto"/>
        </w:rPr>
      </w:pPr>
    </w:p>
    <w:p>
      <w:pPr>
        <w:jc w:val="center"/>
        <w:ind w:right="-993"/>
        <w:spacing w:after="0"/>
        <w:rPr>
          <w:sz w:val="20"/>
          <w:szCs w:val="20"/>
          <w:color w:val="auto"/>
        </w:rPr>
      </w:pPr>
      <w:r>
        <w:rPr>
          <w:rFonts w:ascii="Arial" w:cs="Arial" w:eastAsia="Arial" w:hAnsi="Arial"/>
          <w:sz w:val="43"/>
          <w:szCs w:val="43"/>
          <w:b w:val="1"/>
          <w:bCs w:val="1"/>
          <w:color w:val="auto"/>
        </w:rPr>
        <w:t>NOBLE CORPORATION plc</w:t>
      </w:r>
    </w:p>
    <w:p>
      <w:pPr>
        <w:spacing w:after="0" w:line="61" w:lineRule="exact"/>
        <w:rPr>
          <w:sz w:val="24"/>
          <w:szCs w:val="24"/>
          <w:color w:val="auto"/>
        </w:rPr>
      </w:pPr>
    </w:p>
    <w:p>
      <w:pPr>
        <w:ind w:left="3374"/>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194"/>
          </w:cols>
          <w:pgMar w:left="346" w:top="1230" w:right="1359" w:bottom="1440" w:gutter="0" w:footer="0" w:header="0"/>
        </w:sectPr>
      </w:pPr>
    </w:p>
    <w:p>
      <w:pPr>
        <w:spacing w:after="0" w:line="113" w:lineRule="exact"/>
        <w:rPr>
          <w:sz w:val="24"/>
          <w:szCs w:val="24"/>
          <w:color w:val="auto"/>
        </w:rPr>
      </w:pPr>
    </w:p>
    <w:p>
      <w:pPr>
        <w:jc w:val="center"/>
        <w:ind w:left="674"/>
        <w:spacing w:after="0"/>
        <w:rPr>
          <w:sz w:val="20"/>
          <w:szCs w:val="20"/>
          <w:color w:val="auto"/>
        </w:rPr>
      </w:pPr>
      <w:r>
        <w:rPr>
          <w:rFonts w:ascii="Arial" w:cs="Arial" w:eastAsia="Arial" w:hAnsi="Arial"/>
          <w:sz w:val="18"/>
          <w:szCs w:val="18"/>
          <w:b w:val="1"/>
          <w:bCs w:val="1"/>
          <w:color w:val="auto"/>
        </w:rPr>
        <w:t>England and Wales</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180"/>
        <w:spacing w:after="0"/>
        <w:rPr>
          <w:sz w:val="20"/>
          <w:szCs w:val="20"/>
          <w:color w:val="auto"/>
        </w:rPr>
      </w:pPr>
      <w:r>
        <w:rPr>
          <w:rFonts w:ascii="Arial" w:cs="Arial" w:eastAsia="Arial" w:hAnsi="Arial"/>
          <w:sz w:val="17"/>
          <w:szCs w:val="17"/>
          <w:b w:val="1"/>
          <w:bCs w:val="1"/>
          <w:color w:val="auto"/>
        </w:rPr>
        <w:t>001-41520</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98-1644664</w:t>
      </w:r>
    </w:p>
    <w:p>
      <w:pPr>
        <w:spacing w:after="0" w:line="97" w:lineRule="exact"/>
        <w:rPr>
          <w:sz w:val="24"/>
          <w:szCs w:val="24"/>
          <w:color w:val="auto"/>
        </w:rPr>
      </w:pPr>
    </w:p>
    <w:p>
      <w:pPr>
        <w:sectPr>
          <w:pgSz w:w="11900" w:h="16838" w:orient="portrait"/>
          <w:cols w:equalWidth="0" w:num="3">
            <w:col w:w="4934" w:space="720"/>
            <w:col w:w="2040" w:space="720"/>
            <w:col w:w="1780"/>
          </w:cols>
          <w:pgMar w:left="346" w:top="1230" w:right="1359" w:bottom="1440" w:gutter="0" w:footer="0" w:header="0"/>
          <w:type w:val="continuous"/>
        </w:sectPr>
      </w:pPr>
    </w:p>
    <w:p>
      <w:pPr>
        <w:ind w:left="1314"/>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53" w:lineRule="exact"/>
        <w:rPr>
          <w:sz w:val="24"/>
          <w:szCs w:val="24"/>
          <w:color w:val="auto"/>
        </w:rPr>
      </w:pPr>
    </w:p>
    <w:p>
      <w:pPr>
        <w:sectPr>
          <w:pgSz w:w="11900" w:h="16838" w:orient="portrait"/>
          <w:cols w:equalWidth="0" w:num="3">
            <w:col w:w="4474" w:space="720"/>
            <w:col w:w="1800" w:space="720"/>
            <w:col w:w="2480"/>
          </w:cols>
          <w:pgMar w:left="346" w:top="1230" w:right="1359" w:bottom="1440" w:gutter="0" w:footer="0" w:header="0"/>
          <w:type w:val="continuous"/>
        </w:sectPr>
      </w:pPr>
    </w:p>
    <w:p>
      <w:pPr>
        <w:spacing w:after="0" w:line="41" w:lineRule="exact"/>
        <w:rPr>
          <w:sz w:val="24"/>
          <w:szCs w:val="24"/>
          <w:color w:val="auto"/>
        </w:rPr>
      </w:pPr>
    </w:p>
    <w:p>
      <w:pPr>
        <w:ind w:left="2554"/>
        <w:spacing w:after="0"/>
        <w:tabs>
          <w:tab w:leader="none" w:pos="5954" w:val="left"/>
        </w:tabs>
        <w:rPr>
          <w:sz w:val="20"/>
          <w:szCs w:val="20"/>
          <w:color w:val="auto"/>
        </w:rPr>
      </w:pPr>
      <w:r>
        <w:rPr>
          <w:rFonts w:ascii="Arial" w:cs="Arial" w:eastAsia="Arial" w:hAnsi="Arial"/>
          <w:sz w:val="18"/>
          <w:szCs w:val="18"/>
          <w:b w:val="1"/>
          <w:bCs w:val="1"/>
          <w:color w:val="auto"/>
        </w:rPr>
        <w:t>2101 CityWest Boulevard, Suite 600,</w:t>
      </w:r>
      <w:r>
        <w:rPr>
          <w:sz w:val="20"/>
          <w:szCs w:val="20"/>
          <w:color w:val="auto"/>
        </w:rPr>
        <w:tab/>
      </w:r>
      <w:r>
        <w:rPr>
          <w:rFonts w:ascii="Arial" w:cs="Arial" w:eastAsia="Arial" w:hAnsi="Arial"/>
          <w:sz w:val="18"/>
          <w:szCs w:val="18"/>
          <w:b w:val="1"/>
          <w:bCs w:val="1"/>
          <w:color w:val="auto"/>
        </w:rPr>
        <w:t>Houston,</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77042</w:t>
      </w:r>
    </w:p>
    <w:p>
      <w:pPr>
        <w:spacing w:after="0" w:line="92" w:lineRule="exact"/>
        <w:rPr>
          <w:sz w:val="24"/>
          <w:szCs w:val="24"/>
          <w:color w:val="auto"/>
        </w:rPr>
      </w:pPr>
    </w:p>
    <w:p>
      <w:pPr>
        <w:sectPr>
          <w:pgSz w:w="11900" w:h="16838" w:orient="portrait"/>
          <w:cols w:equalWidth="0" w:num="3">
            <w:col w:w="6754" w:space="640"/>
            <w:col w:w="480" w:space="460"/>
            <w:col w:w="1860"/>
          </w:cols>
          <w:pgMar w:left="346" w:top="1230" w:right="1359" w:bottom="1440" w:gutter="0" w:footer="0" w:header="0"/>
          <w:type w:val="continuous"/>
        </w:sectPr>
      </w:pPr>
    </w:p>
    <w:p>
      <w:pPr>
        <w:ind w:left="3774"/>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73" w:lineRule="exact"/>
        <w:rPr>
          <w:sz w:val="24"/>
          <w:szCs w:val="24"/>
          <w:color w:val="auto"/>
        </w:rPr>
      </w:pPr>
    </w:p>
    <w:p>
      <w:pPr>
        <w:sectPr>
          <w:pgSz w:w="11900" w:h="16838" w:orient="portrait"/>
          <w:cols w:equalWidth="0" w:num="2">
            <w:col w:w="7514" w:space="720"/>
            <w:col w:w="1960"/>
          </w:cols>
          <w:pgMar w:left="346" w:top="1230" w:right="1359" w:bottom="1440" w:gutter="0" w:footer="0" w:header="0"/>
          <w:type w:val="continuous"/>
        </w:sectPr>
      </w:pPr>
    </w:p>
    <w:p>
      <w:pPr>
        <w:jc w:val="center"/>
        <w:ind w:right="-993"/>
        <w:spacing w:after="0"/>
        <w:rPr>
          <w:sz w:val="20"/>
          <w:szCs w:val="20"/>
          <w:color w:val="auto"/>
        </w:rPr>
      </w:pPr>
      <w:r>
        <w:rPr>
          <w:rFonts w:ascii="Arial" w:cs="Arial" w:eastAsia="Arial" w:hAnsi="Arial"/>
          <w:sz w:val="18"/>
          <w:szCs w:val="18"/>
          <w:b w:val="1"/>
          <w:bCs w:val="1"/>
          <w:color w:val="auto"/>
        </w:rPr>
        <w:t>Registrant’s telephone number, including area code: (281) 276-6100</w:t>
      </w:r>
    </w:p>
    <w:p>
      <w:pPr>
        <w:spacing w:after="0" w:line="69" w:lineRule="exact"/>
        <w:rPr>
          <w:sz w:val="24"/>
          <w:szCs w:val="24"/>
          <w:color w:val="auto"/>
        </w:rPr>
      </w:pPr>
    </w:p>
    <w:p>
      <w:pPr>
        <w:ind w:left="4334"/>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359" w:lineRule="exact"/>
        <w:rPr>
          <w:sz w:val="24"/>
          <w:szCs w:val="24"/>
          <w:color w:val="auto"/>
        </w:rPr>
      </w:pPr>
    </w:p>
    <w:p>
      <w:pPr>
        <w:ind w:left="1014" w:right="20"/>
        <w:spacing w:after="0" w:line="25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23" w:lineRule="exact"/>
        <w:rPr>
          <w:sz w:val="24"/>
          <w:szCs w:val="24"/>
          <w:color w:val="auto"/>
        </w:rPr>
      </w:pPr>
    </w:p>
    <w:p>
      <w:pPr>
        <w:ind w:left="1594" w:hanging="588"/>
        <w:spacing w:after="0"/>
        <w:tabs>
          <w:tab w:leader="none" w:pos="1594" w:val="left"/>
        </w:tabs>
        <w:numPr>
          <w:ilvl w:val="1"/>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256" w:lineRule="exact"/>
        <w:rPr>
          <w:rFonts w:ascii="MS PGothic" w:cs="MS PGothic" w:eastAsia="MS PGothic" w:hAnsi="MS PGothic"/>
          <w:sz w:val="18"/>
          <w:szCs w:val="18"/>
          <w:color w:val="auto"/>
        </w:rPr>
      </w:pPr>
    </w:p>
    <w:p>
      <w:pPr>
        <w:ind w:left="1594" w:hanging="588"/>
        <w:spacing w:after="0"/>
        <w:tabs>
          <w:tab w:leader="none" w:pos="1594" w:val="left"/>
        </w:tabs>
        <w:numPr>
          <w:ilvl w:val="1"/>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189" w:lineRule="exact"/>
        <w:rPr>
          <w:rFonts w:ascii="MS PGothic" w:cs="MS PGothic" w:eastAsia="MS PGothic" w:hAnsi="MS PGothic"/>
          <w:sz w:val="18"/>
          <w:szCs w:val="18"/>
          <w:color w:val="auto"/>
        </w:rPr>
      </w:pPr>
    </w:p>
    <w:p>
      <w:pPr>
        <w:ind w:left="594" w:hanging="594"/>
        <w:spacing w:after="0"/>
        <w:tabs>
          <w:tab w:leader="none" w:pos="594"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56" w:lineRule="exact"/>
        <w:rPr>
          <w:rFonts w:ascii="MS PGothic" w:cs="MS PGothic" w:eastAsia="MS PGothic" w:hAnsi="MS PGothic"/>
          <w:sz w:val="18"/>
          <w:szCs w:val="18"/>
          <w:color w:val="auto"/>
        </w:rPr>
      </w:pPr>
    </w:p>
    <w:p>
      <w:pPr>
        <w:ind w:left="594" w:hanging="594"/>
        <w:spacing w:after="0" w:line="205" w:lineRule="auto"/>
        <w:tabs>
          <w:tab w:leader="none" w:pos="594"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6"/>
          <w:szCs w:val="16"/>
          <w:color w:val="auto"/>
        </w:rPr>
        <w:t>Pre-commencement communications pursuant to Rule 13e-4(c) under the Exchange Act (17 CFR 240.13e-4(c))</w:t>
      </w:r>
    </w:p>
    <w:p>
      <w:pPr>
        <w:spacing w:after="0" w:line="379" w:lineRule="exact"/>
        <w:rPr>
          <w:sz w:val="24"/>
          <w:szCs w:val="24"/>
          <w:color w:val="auto"/>
        </w:rPr>
      </w:pPr>
    </w:p>
    <w:p>
      <w:pPr>
        <w:ind w:left="3534"/>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6" w:lineRule="exact"/>
        <w:rPr>
          <w:sz w:val="24"/>
          <w:szCs w:val="24"/>
          <w:color w:val="auto"/>
        </w:rPr>
      </w:pPr>
    </w:p>
    <w:tbl>
      <w:tblPr>
        <w:tblLayout w:type="fixed"/>
        <w:tblInd w:w="1154" w:type="dxa"/>
        <w:tblCellMar>
          <w:top w:w="0" w:type="dxa"/>
          <w:left w:w="0" w:type="dxa"/>
          <w:bottom w:w="0" w:type="dxa"/>
          <w:right w:w="0" w:type="dxa"/>
        </w:tblCellMar>
      </w:tblPr>
      <w:tr>
        <w:trPr>
          <w:trHeight w:val="215"/>
        </w:trPr>
        <w:tc>
          <w:tcPr>
            <w:tcW w:w="3640" w:type="dxa"/>
            <w:vAlign w:val="bottom"/>
            <w:vMerge w:val="restart"/>
          </w:tcPr>
          <w:p>
            <w:pPr>
              <w:jc w:val="center"/>
              <w:ind w:right="266"/>
              <w:spacing w:after="0"/>
              <w:rPr>
                <w:sz w:val="20"/>
                <w:szCs w:val="20"/>
                <w:color w:val="auto"/>
              </w:rPr>
            </w:pPr>
            <w:r>
              <w:rPr>
                <w:rFonts w:ascii="Arial" w:cs="Arial" w:eastAsia="Arial" w:hAnsi="Arial"/>
                <w:sz w:val="16"/>
                <w:szCs w:val="16"/>
                <w:color w:val="auto"/>
              </w:rPr>
              <w:t>Title of each class</w:t>
            </w:r>
          </w:p>
        </w:tc>
        <w:tc>
          <w:tcPr>
            <w:tcW w:w="1920" w:type="dxa"/>
            <w:vAlign w:val="bottom"/>
            <w:vMerge w:val="restart"/>
          </w:tcPr>
          <w:p>
            <w:pPr>
              <w:jc w:val="center"/>
              <w:ind w:left="6"/>
              <w:spacing w:after="0"/>
              <w:rPr>
                <w:sz w:val="20"/>
                <w:szCs w:val="20"/>
                <w:color w:val="auto"/>
              </w:rPr>
            </w:pPr>
            <w:r>
              <w:rPr>
                <w:rFonts w:ascii="Arial" w:cs="Arial" w:eastAsia="Arial" w:hAnsi="Arial"/>
                <w:sz w:val="16"/>
                <w:szCs w:val="16"/>
                <w:color w:val="auto"/>
              </w:rPr>
              <w:t>Trading Symbol(s)</w:t>
            </w:r>
          </w:p>
        </w:tc>
        <w:tc>
          <w:tcPr>
            <w:tcW w:w="3480" w:type="dxa"/>
            <w:vAlign w:val="bottom"/>
          </w:tcPr>
          <w:p>
            <w:pPr>
              <w:jc w:val="center"/>
              <w:ind w:left="186"/>
              <w:spacing w:after="0"/>
              <w:rPr>
                <w:sz w:val="20"/>
                <w:szCs w:val="20"/>
                <w:color w:val="auto"/>
              </w:rPr>
            </w:pPr>
            <w:r>
              <w:rPr>
                <w:rFonts w:ascii="Arial" w:cs="Arial" w:eastAsia="Arial" w:hAnsi="Arial"/>
                <w:sz w:val="16"/>
                <w:szCs w:val="16"/>
                <w:color w:val="auto"/>
              </w:rPr>
              <w:t>Name of each exchange on which registered</w:t>
            </w:r>
          </w:p>
        </w:tc>
        <w:tc>
          <w:tcPr>
            <w:tcW w:w="0" w:type="dxa"/>
            <w:vAlign w:val="bottom"/>
          </w:tcPr>
          <w:p>
            <w:pPr>
              <w:spacing w:after="0"/>
              <w:rPr>
                <w:sz w:val="1"/>
                <w:szCs w:val="1"/>
                <w:color w:val="auto"/>
              </w:rPr>
            </w:pPr>
          </w:p>
        </w:tc>
      </w:tr>
      <w:tr>
        <w:trPr>
          <w:trHeight w:val="162"/>
        </w:trPr>
        <w:tc>
          <w:tcPr>
            <w:tcW w:w="364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40" w:type="dxa"/>
            <w:vAlign w:val="bottom"/>
          </w:tcPr>
          <w:p>
            <w:pPr>
              <w:jc w:val="center"/>
              <w:ind w:right="266"/>
              <w:spacing w:after="0"/>
              <w:rPr>
                <w:sz w:val="20"/>
                <w:szCs w:val="20"/>
                <w:color w:val="auto"/>
              </w:rPr>
            </w:pPr>
            <w:r>
              <w:rPr>
                <w:rFonts w:ascii="Arial" w:cs="Arial" w:eastAsia="Arial" w:hAnsi="Arial"/>
                <w:sz w:val="14"/>
                <w:szCs w:val="14"/>
                <w:b w:val="1"/>
                <w:bCs w:val="1"/>
                <w:color w:val="auto"/>
              </w:rPr>
              <w:t>A Ordinary Shares, par value $0.00001 per share</w:t>
            </w:r>
          </w:p>
        </w:tc>
        <w:tc>
          <w:tcPr>
            <w:tcW w:w="1920" w:type="dxa"/>
            <w:vAlign w:val="bottom"/>
          </w:tcPr>
          <w:p>
            <w:pPr>
              <w:jc w:val="center"/>
              <w:ind w:left="6"/>
              <w:spacing w:after="0"/>
              <w:rPr>
                <w:sz w:val="20"/>
                <w:szCs w:val="20"/>
                <w:color w:val="auto"/>
              </w:rPr>
            </w:pPr>
            <w:r>
              <w:rPr>
                <w:rFonts w:ascii="Arial" w:cs="Arial" w:eastAsia="Arial" w:hAnsi="Arial"/>
                <w:sz w:val="14"/>
                <w:szCs w:val="14"/>
                <w:b w:val="1"/>
                <w:bCs w:val="1"/>
                <w:color w:val="auto"/>
              </w:rPr>
              <w:t>NE</w:t>
            </w:r>
          </w:p>
        </w:tc>
        <w:tc>
          <w:tcPr>
            <w:tcW w:w="3480" w:type="dxa"/>
            <w:vAlign w:val="bottom"/>
          </w:tcPr>
          <w:p>
            <w:pPr>
              <w:jc w:val="center"/>
              <w:ind w:left="166"/>
              <w:spacing w:after="0"/>
              <w:rPr>
                <w:sz w:val="20"/>
                <w:szCs w:val="20"/>
                <w:color w:val="auto"/>
              </w:rPr>
            </w:pPr>
            <w:r>
              <w:rPr>
                <w:rFonts w:ascii="Arial" w:cs="Arial" w:eastAsia="Arial" w:hAnsi="Arial"/>
                <w:sz w:val="14"/>
                <w:szCs w:val="14"/>
                <w:b w:val="1"/>
                <w:bCs w:val="1"/>
                <w:color w:val="auto"/>
              </w:rPr>
              <w:t>New York Stock Exchange</w:t>
            </w:r>
          </w:p>
        </w:tc>
        <w:tc>
          <w:tcPr>
            <w:tcW w:w="0" w:type="dxa"/>
            <w:vAlign w:val="bottom"/>
          </w:tcPr>
          <w:p>
            <w:pPr>
              <w:spacing w:after="0"/>
              <w:rPr>
                <w:sz w:val="1"/>
                <w:szCs w:val="1"/>
                <w:color w:val="auto"/>
              </w:rPr>
            </w:pPr>
          </w:p>
        </w:tc>
      </w:tr>
      <w:tr>
        <w:trPr>
          <w:trHeight w:val="216"/>
        </w:trPr>
        <w:tc>
          <w:tcPr>
            <w:tcW w:w="3640" w:type="dxa"/>
            <w:vAlign w:val="bottom"/>
          </w:tcPr>
          <w:p>
            <w:pPr>
              <w:jc w:val="center"/>
              <w:ind w:right="266"/>
              <w:spacing w:after="0"/>
              <w:rPr>
                <w:sz w:val="20"/>
                <w:szCs w:val="20"/>
                <w:color w:val="auto"/>
              </w:rPr>
            </w:pPr>
            <w:r>
              <w:rPr>
                <w:rFonts w:ascii="Arial" w:cs="Arial" w:eastAsia="Arial" w:hAnsi="Arial"/>
                <w:sz w:val="14"/>
                <w:szCs w:val="14"/>
                <w:b w:val="1"/>
                <w:bCs w:val="1"/>
                <w:color w:val="auto"/>
              </w:rPr>
              <w:t>Tranche 1 Warrants of Noble Corporation plc</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NE WS</w:t>
            </w:r>
          </w:p>
        </w:tc>
        <w:tc>
          <w:tcPr>
            <w:tcW w:w="3480" w:type="dxa"/>
            <w:vAlign w:val="bottom"/>
          </w:tcPr>
          <w:p>
            <w:pPr>
              <w:jc w:val="center"/>
              <w:ind w:left="166"/>
              <w:spacing w:after="0"/>
              <w:rPr>
                <w:sz w:val="20"/>
                <w:szCs w:val="20"/>
                <w:color w:val="auto"/>
              </w:rPr>
            </w:pPr>
            <w:r>
              <w:rPr>
                <w:rFonts w:ascii="Arial" w:cs="Arial" w:eastAsia="Arial" w:hAnsi="Arial"/>
                <w:sz w:val="14"/>
                <w:szCs w:val="14"/>
                <w:b w:val="1"/>
                <w:bCs w:val="1"/>
                <w:color w:val="auto"/>
              </w:rPr>
              <w:t>New York Stock Exchange</w:t>
            </w:r>
          </w:p>
        </w:tc>
        <w:tc>
          <w:tcPr>
            <w:tcW w:w="0" w:type="dxa"/>
            <w:vAlign w:val="bottom"/>
          </w:tcPr>
          <w:p>
            <w:pPr>
              <w:spacing w:after="0"/>
              <w:rPr>
                <w:sz w:val="1"/>
                <w:szCs w:val="1"/>
                <w:color w:val="auto"/>
              </w:rPr>
            </w:pPr>
          </w:p>
        </w:tc>
      </w:tr>
      <w:tr>
        <w:trPr>
          <w:trHeight w:val="216"/>
        </w:trPr>
        <w:tc>
          <w:tcPr>
            <w:tcW w:w="3640" w:type="dxa"/>
            <w:vAlign w:val="bottom"/>
          </w:tcPr>
          <w:p>
            <w:pPr>
              <w:jc w:val="center"/>
              <w:ind w:right="266"/>
              <w:spacing w:after="0"/>
              <w:rPr>
                <w:sz w:val="20"/>
                <w:szCs w:val="20"/>
                <w:color w:val="auto"/>
              </w:rPr>
            </w:pPr>
            <w:r>
              <w:rPr>
                <w:rFonts w:ascii="Arial" w:cs="Arial" w:eastAsia="Arial" w:hAnsi="Arial"/>
                <w:sz w:val="14"/>
                <w:szCs w:val="14"/>
                <w:b w:val="1"/>
                <w:bCs w:val="1"/>
                <w:color w:val="auto"/>
              </w:rPr>
              <w:t>Tranche 2 Warrants of Noble Corporation plc</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NE WSA</w:t>
            </w:r>
          </w:p>
        </w:tc>
        <w:tc>
          <w:tcPr>
            <w:tcW w:w="3480" w:type="dxa"/>
            <w:vAlign w:val="bottom"/>
          </w:tcPr>
          <w:p>
            <w:pPr>
              <w:jc w:val="center"/>
              <w:ind w:left="166"/>
              <w:spacing w:after="0"/>
              <w:rPr>
                <w:sz w:val="20"/>
                <w:szCs w:val="20"/>
                <w:color w:val="auto"/>
              </w:rPr>
            </w:pPr>
            <w:r>
              <w:rPr>
                <w:rFonts w:ascii="Arial" w:cs="Arial" w:eastAsia="Arial" w:hAnsi="Arial"/>
                <w:sz w:val="14"/>
                <w:szCs w:val="14"/>
                <w:b w:val="1"/>
                <w:bCs w:val="1"/>
                <w:color w:val="auto"/>
              </w:rPr>
              <w:t>New York Stock Exchange</w:t>
            </w:r>
          </w:p>
        </w:tc>
        <w:tc>
          <w:tcPr>
            <w:tcW w:w="0" w:type="dxa"/>
            <w:vAlign w:val="bottom"/>
          </w:tcPr>
          <w:p>
            <w:pPr>
              <w:spacing w:after="0"/>
              <w:rPr>
                <w:sz w:val="1"/>
                <w:szCs w:val="1"/>
                <w:color w:val="auto"/>
              </w:rPr>
            </w:pPr>
          </w:p>
        </w:tc>
      </w:tr>
    </w:tbl>
    <w:p>
      <w:pPr>
        <w:spacing w:after="0" w:line="258" w:lineRule="exact"/>
        <w:rPr>
          <w:sz w:val="24"/>
          <w:szCs w:val="24"/>
          <w:color w:val="auto"/>
        </w:rPr>
      </w:pPr>
    </w:p>
    <w:p>
      <w:pPr>
        <w:ind w:left="1014" w:right="260"/>
        <w:spacing w:after="0" w:line="25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53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51" w:lineRule="exact"/>
        <w:rPr>
          <w:sz w:val="24"/>
          <w:szCs w:val="24"/>
          <w:color w:val="auto"/>
        </w:rPr>
      </w:pPr>
    </w:p>
    <w:p>
      <w:pPr>
        <w:ind w:left="1014"/>
        <w:spacing w:after="0" w:line="19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1467485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94"/>
          </w:cols>
          <w:pgMar w:left="346" w:top="1230" w:right="135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and the 2034 Notes</w:t>
      </w:r>
    </w:p>
    <w:p>
      <w:pPr>
        <w:spacing w:after="0" w:line="21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On June 11, 2026, Noble Finance II LLC (the “Issuer”), a Delaware corporation and wholly owned subsidiary of Noble Corporation plc, a public limited company formed under the laws of England and Wales (“Parent”), certain of</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the Issuer’s subsidiaries (the “Guarantors”) and HSBC Bank USA, National Association, as trustee (the “Trustee”), entered into an indenture (the “Indenture”), pursuant to which the Issuer issued $800,000,000 in aggregate principal amount of the Issuer’s 6.250% Senior Notes due 2034 (the “2034 Notes”). The 2034 Notes are</w:t>
      </w:r>
    </w:p>
    <w:p>
      <w:pPr>
        <w:spacing w:after="0" w:line="2"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unconditionally guaranteed on a senior unsecured basis by the Guarantors and will be unconditionally guaranteed on the same basis by certain of the Issuer’s future subsidiaries that guarantee certain indebtedness of the Issuer and the Guarantors.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Maturity</w:t>
      </w:r>
    </w:p>
    <w:p>
      <w:pPr>
        <w:jc w:val="both"/>
        <w:spacing w:after="0" w:line="211" w:lineRule="auto"/>
        <w:rPr>
          <w:sz w:val="20"/>
          <w:szCs w:val="20"/>
          <w:color w:val="auto"/>
        </w:rPr>
      </w:pPr>
      <w:r>
        <w:rPr>
          <w:rFonts w:ascii="Arial" w:cs="Arial" w:eastAsia="Arial" w:hAnsi="Arial"/>
          <w:sz w:val="18"/>
          <w:szCs w:val="18"/>
          <w:color w:val="auto"/>
        </w:rPr>
        <w:t>The 2034 Notes will mature on June 15, 2034, and interest on the 2034 Notes is payable semi-annually in arrears on each June 15 and December 15, commencing December 15, 2026, to holders of record on the June 1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1 immediately preceding the related interest payment date, at a rate of 6.250% per annum.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Redemption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At any time prior to June 15, 2029, the Issuer may, from time to time, redeem up to 40% of the aggregate principal</w:t>
      </w:r>
    </w:p>
    <w:p>
      <w:pPr>
        <w:jc w:val="both"/>
        <w:spacing w:after="0" w:line="208" w:lineRule="auto"/>
        <w:rPr>
          <w:sz w:val="20"/>
          <w:szCs w:val="20"/>
          <w:color w:val="auto"/>
        </w:rPr>
      </w:pPr>
      <w:r>
        <w:rPr>
          <w:rFonts w:ascii="Arial" w:cs="Arial" w:eastAsia="Arial" w:hAnsi="Arial"/>
          <w:sz w:val="18"/>
          <w:szCs w:val="18"/>
          <w:color w:val="auto"/>
        </w:rPr>
        <w:t>amount of 2034 Notes, upon not less than 10 or more than 60 days’ notice, at a redemption price of 106.250% of the principal amount of the 2034 Notes redeemed, plus accrued and unpaid interest, if any, to, but excluding, the redemption date (subject to the right of holders of record on the relevant record date to receive interest due on an</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interest payment date that is on or prior to the redemption date), in an amount not greater than the net cash proceeds of one or more equity offerings by the Issuer, subject to certain requirements, provided that (1) at least 60.0% of the aggregate principal amount of 2034 Notes originally issued under the Indenture (excluding 2034</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Notes held by the Issuer and its subsidiaries) remains outstanding immediately after giving effect to any such redemption (unless all such 2034 Notes are redeemed substantially concurrently) and (2) the redemption occurs within 180 days of the date of the closing of each such equity offering. In addition, prior to June 15, 2029, the Issuer</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may redeem the 2034 Notes, in whole at any time or in part from time to time, upon not less than 10 or more than 60 days’ notice, at a redemption price equal to 100% of the principal amount of the 2034 Notes redeemed, plus an applicable make-whole premium and accrued and unpaid interest, if any, to, but excluding, the redemption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At any time on or after June 15, 2029, the Issuer may redeem the 2034 Notes, in whole at any time or in part from</w:t>
      </w:r>
    </w:p>
    <w:p>
      <w:pPr>
        <w:jc w:val="both"/>
        <w:spacing w:after="0" w:line="208" w:lineRule="auto"/>
        <w:rPr>
          <w:sz w:val="20"/>
          <w:szCs w:val="20"/>
          <w:color w:val="auto"/>
        </w:rPr>
      </w:pPr>
      <w:r>
        <w:rPr>
          <w:rFonts w:ascii="Arial" w:cs="Arial" w:eastAsia="Arial" w:hAnsi="Arial"/>
          <w:sz w:val="18"/>
          <w:szCs w:val="18"/>
          <w:color w:val="auto"/>
        </w:rPr>
        <w:t>time to time, upon not less than 10 or more than 60 days’ notice, at the redemption prices (expressed as percentages of principal amount) set forth below, plus accrued and unpaid interest, if any, on the 2034 Notes redeemed to, but excluding, the applicable redemption date (subject to the right of holders of record on the relevant</w:t>
      </w:r>
    </w:p>
    <w:p>
      <w:pPr>
        <w:spacing w:after="0" w:line="2"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record date to receive interest due on an interest payment date that is on or prior to the redemption date), if redeemed during the twelve-month period beginning on June 15 of the years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58420</wp:posOffset>
            </wp:positionV>
            <wp:extent cx="3917315"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173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10"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If a Change of Control Triggering Event (as defined in the Indenture) occurs, each holder of 2034 Notes may require the Issuer to repurchase all or any part of that holder’s 2034 Notes for cash at a price equal to 101% of the</w:t>
      </w:r>
    </w:p>
    <w:p>
      <w:pPr>
        <w:spacing w:after="0" w:line="1"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aggregate principal amount of the 2034 Notes repurchased, plus any accrued and unpaid interest thereon, if any, to, but excluding, the date on which the notes are repurchased (subject to the right of holders of record on the relevant record date to receive interest due on the relevant interest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696595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80"/>
          </w:cols>
          <w:pgMar w:left="1360" w:top="1440" w:right="135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Certain Covenants</w:t>
      </w:r>
    </w:p>
    <w:p>
      <w:pPr>
        <w:spacing w:after="0" w:line="210" w:lineRule="exact"/>
        <w:rPr>
          <w:sz w:val="20"/>
          <w:szCs w:val="20"/>
          <w:color w:val="auto"/>
        </w:rPr>
      </w:pPr>
    </w:p>
    <w:p>
      <w:pPr>
        <w:jc w:val="both"/>
        <w:ind w:right="280"/>
        <w:spacing w:after="0" w:line="221" w:lineRule="auto"/>
        <w:rPr>
          <w:sz w:val="20"/>
          <w:szCs w:val="20"/>
          <w:color w:val="auto"/>
        </w:rPr>
      </w:pPr>
      <w:r>
        <w:rPr>
          <w:rFonts w:ascii="Arial" w:cs="Arial" w:eastAsia="Arial" w:hAnsi="Arial"/>
          <w:sz w:val="18"/>
          <w:szCs w:val="18"/>
          <w:color w:val="auto"/>
        </w:rPr>
        <w:t>The Indenture contains covenants that, among other things and subject to certain exceptions, limit the Issuer’s ability and the ability of its restricted subsidiaries to: (i) incur, assume or guarantee additional indebtedness or issue</w:t>
      </w:r>
    </w:p>
    <w:p>
      <w:pPr>
        <w:spacing w:after="0" w:line="1" w:lineRule="exact"/>
        <w:rPr>
          <w:sz w:val="20"/>
          <w:szCs w:val="20"/>
          <w:color w:val="auto"/>
        </w:rPr>
      </w:pPr>
    </w:p>
    <w:p>
      <w:pPr>
        <w:jc w:val="both"/>
        <w:ind w:right="280"/>
        <w:spacing w:after="0" w:line="208" w:lineRule="auto"/>
        <w:rPr>
          <w:sz w:val="20"/>
          <w:szCs w:val="20"/>
          <w:color w:val="auto"/>
        </w:rPr>
      </w:pPr>
      <w:r>
        <w:rPr>
          <w:rFonts w:ascii="Arial" w:cs="Arial" w:eastAsia="Arial" w:hAnsi="Arial"/>
          <w:sz w:val="18"/>
          <w:szCs w:val="18"/>
          <w:color w:val="auto"/>
        </w:rPr>
        <w:t>certain preferred stock; (ii) create liens to secure indebtedness; (iii) pay distributions on equity interests, repurchase equity securities or redeem junior lien, unsecured or subordinated indebtedness; (iv) make investments; (v) restrict distributions, loans or other asset transfers from the Issuer’s restricted subsidiaries; (vi) consolidate with or merge</w:t>
      </w:r>
    </w:p>
    <w:p>
      <w:pPr>
        <w:spacing w:after="0" w:line="2" w:lineRule="exact"/>
        <w:rPr>
          <w:sz w:val="20"/>
          <w:szCs w:val="20"/>
          <w:color w:val="auto"/>
        </w:rPr>
      </w:pPr>
    </w:p>
    <w:p>
      <w:pPr>
        <w:jc w:val="both"/>
        <w:ind w:right="280"/>
        <w:spacing w:after="0" w:line="221" w:lineRule="auto"/>
        <w:rPr>
          <w:sz w:val="20"/>
          <w:szCs w:val="20"/>
          <w:color w:val="auto"/>
        </w:rPr>
      </w:pPr>
      <w:r>
        <w:rPr>
          <w:rFonts w:ascii="Arial" w:cs="Arial" w:eastAsia="Arial" w:hAnsi="Arial"/>
          <w:sz w:val="18"/>
          <w:szCs w:val="18"/>
          <w:color w:val="auto"/>
        </w:rPr>
        <w:t>with or into, or sell substantially all of the Issuer’s properties to, another person; (vii) sell or otherwise dispose of assets, including equity interests in subsidiaries; (viii) designate a subsidiary as an Unrestricted Subsidiary (as defined in the Indenture); and (ix) enter into transactions with affiliates.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Events of Default</w:t>
      </w:r>
    </w:p>
    <w:p>
      <w:pPr>
        <w:spacing w:after="0" w:line="212" w:lineRule="exact"/>
        <w:rPr>
          <w:sz w:val="20"/>
          <w:szCs w:val="20"/>
          <w:color w:val="auto"/>
        </w:rPr>
      </w:pPr>
    </w:p>
    <w:p>
      <w:pPr>
        <w:jc w:val="both"/>
        <w:ind w:right="280"/>
        <w:spacing w:after="0" w:line="221" w:lineRule="auto"/>
        <w:rPr>
          <w:sz w:val="20"/>
          <w:szCs w:val="20"/>
          <w:color w:val="auto"/>
        </w:rPr>
      </w:pPr>
      <w:r>
        <w:rPr>
          <w:rFonts w:ascii="Arial" w:cs="Arial" w:eastAsia="Arial" w:hAnsi="Arial"/>
          <w:sz w:val="18"/>
          <w:szCs w:val="18"/>
          <w:color w:val="auto"/>
        </w:rPr>
        <w:t>The Indenture contains customary events of default, including, among other things, failure to make required payments, failure to comply with certain agreements or covenants, failure to pay or acceleration of certain other</w:t>
      </w:r>
    </w:p>
    <w:p>
      <w:pPr>
        <w:spacing w:after="0" w:line="1" w:lineRule="exact"/>
        <w:rPr>
          <w:sz w:val="20"/>
          <w:szCs w:val="20"/>
          <w:color w:val="auto"/>
        </w:rPr>
      </w:pPr>
    </w:p>
    <w:p>
      <w:pPr>
        <w:jc w:val="both"/>
        <w:ind w:right="280"/>
        <w:spacing w:after="0" w:line="221" w:lineRule="auto"/>
        <w:rPr>
          <w:sz w:val="20"/>
          <w:szCs w:val="20"/>
          <w:color w:val="auto"/>
        </w:rPr>
      </w:pPr>
      <w:r>
        <w:rPr>
          <w:rFonts w:ascii="Arial" w:cs="Arial" w:eastAsia="Arial" w:hAnsi="Arial"/>
          <w:sz w:val="18"/>
          <w:szCs w:val="18"/>
          <w:color w:val="auto"/>
        </w:rPr>
        <w:t>indebtedness, certain events of bankruptcy and insolvency, and failure to pay certain judgments. An event of default under the Indenture will allow either the Trustee or the holders of at least 25% in aggregate principal amount of the then-outstanding 2034 Notes to accelerate the amounts due under the 2034 Notes.</w:t>
      </w:r>
    </w:p>
    <w:p>
      <w:pPr>
        <w:spacing w:after="0" w:line="193" w:lineRule="exact"/>
        <w:rPr>
          <w:sz w:val="20"/>
          <w:szCs w:val="20"/>
          <w:color w:val="auto"/>
        </w:rPr>
      </w:pPr>
    </w:p>
    <w:p>
      <w:pPr>
        <w:jc w:val="both"/>
        <w:ind w:right="280"/>
        <w:spacing w:after="0" w:line="227" w:lineRule="auto"/>
        <w:rPr>
          <w:sz w:val="20"/>
          <w:szCs w:val="20"/>
          <w:color w:val="auto"/>
        </w:rPr>
      </w:pPr>
      <w:r>
        <w:rPr>
          <w:rFonts w:ascii="Arial" w:cs="Arial" w:eastAsia="Arial" w:hAnsi="Arial"/>
          <w:sz w:val="18"/>
          <w:szCs w:val="18"/>
          <w:color w:val="auto"/>
        </w:rPr>
        <w:t>The foregoing description of the Indenture does not purport to be complete and is qualified in its entirety by reference to the full text of the Indenture and the form of 6.250% Senior Notes due 2034, which are filed with this Current Report on Form 8-K (this “Current Report”) as Exhibit 4.1 and Exhibit 4.2, respectively.</w:t>
      </w:r>
    </w:p>
    <w:p>
      <w:pPr>
        <w:spacing w:after="0" w:line="250" w:lineRule="exact"/>
        <w:rPr>
          <w:sz w:val="20"/>
          <w:szCs w:val="20"/>
          <w:color w:val="auto"/>
        </w:rPr>
      </w:pPr>
    </w:p>
    <w:p>
      <w:pPr>
        <w:ind w:left="960" w:right="1380" w:hanging="971"/>
        <w:spacing w:after="0" w:line="249" w:lineRule="auto"/>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Current Report is incorporated herein by reference.</w:t>
      </w:r>
    </w:p>
    <w:p>
      <w:pPr>
        <w:spacing w:after="0" w:line="200" w:lineRule="exact"/>
        <w:rPr>
          <w:sz w:val="20"/>
          <w:szCs w:val="20"/>
          <w:color w:val="auto"/>
        </w:rPr>
      </w:pPr>
    </w:p>
    <w:p>
      <w:pPr>
        <w:spacing w:after="0" w:line="363"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31"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0" w:type="dxa"/>
            <w:vAlign w:val="bottom"/>
            <w:gridSpan w:val="6"/>
          </w:tcPr>
          <w:p>
            <w:pPr>
              <w:spacing w:after="0"/>
              <w:rPr>
                <w:sz w:val="20"/>
                <w:szCs w:val="20"/>
                <w:color w:val="auto"/>
              </w:rPr>
            </w:pPr>
            <w:r>
              <w:rPr>
                <w:rFonts w:ascii="Arial" w:cs="Arial" w:eastAsia="Arial" w:hAnsi="Arial"/>
                <w:sz w:val="18"/>
                <w:szCs w:val="18"/>
                <w:color w:val="auto"/>
              </w:rPr>
              <w:t>(d)  Exhibits</w:t>
            </w:r>
          </w:p>
        </w:tc>
      </w:tr>
      <w:tr>
        <w:trPr>
          <w:trHeight w:val="369"/>
        </w:trPr>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EXHIBIT</w:t>
            </w:r>
          </w:p>
        </w:tc>
        <w:tc>
          <w:tcPr>
            <w:tcW w:w="6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980" w:type="dxa"/>
            <w:vAlign w:val="bottom"/>
            <w:gridSpan w:val="2"/>
          </w:tcPr>
          <w:p>
            <w:pPr>
              <w:jc w:val="center"/>
              <w:ind w:right="200"/>
              <w:spacing w:after="0" w:line="195" w:lineRule="exact"/>
              <w:rPr>
                <w:sz w:val="20"/>
                <w:szCs w:val="20"/>
                <w:color w:val="auto"/>
              </w:rPr>
            </w:pPr>
            <w:r>
              <w:rPr>
                <w:rFonts w:ascii="Arial" w:cs="Arial" w:eastAsia="Arial" w:hAnsi="Arial"/>
                <w:sz w:val="18"/>
                <w:szCs w:val="18"/>
                <w:b w:val="1"/>
                <w:bCs w:val="1"/>
                <w:color w:val="auto"/>
                <w:w w:val="98"/>
              </w:rPr>
              <w:t>NUMBER</w:t>
            </w:r>
          </w:p>
        </w:tc>
        <w:tc>
          <w:tcPr>
            <w:tcW w:w="6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720" w:type="dxa"/>
            <w:vAlign w:val="bottom"/>
            <w:gridSpan w:val="4"/>
          </w:tcPr>
          <w:p>
            <w:pPr>
              <w:spacing w:after="0" w:line="195"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 w:type="dxa"/>
            <w:vAlign w:val="bottom"/>
          </w:tcPr>
          <w:p>
            <w:pPr>
              <w:jc w:val="cente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8200" w:type="dxa"/>
            <w:vAlign w:val="bottom"/>
            <w:gridSpan w:val="6"/>
          </w:tcPr>
          <w:p>
            <w:pPr>
              <w:spacing w:after="0"/>
              <w:rPr>
                <w:sz w:val="20"/>
                <w:szCs w:val="20"/>
                <w:color w:val="auto"/>
              </w:rPr>
            </w:pPr>
            <w:r>
              <w:rPr>
                <w:rFonts w:ascii="Arial" w:cs="Arial" w:eastAsia="Arial" w:hAnsi="Arial"/>
                <w:sz w:val="18"/>
                <w:szCs w:val="18"/>
                <w:color w:val="0000FF"/>
              </w:rPr>
              <w:t>Indenture, dated as of June 11, 2026, among the Issuer, the Guarantors named therein and the</w:t>
            </w:r>
          </w:p>
        </w:tc>
      </w:tr>
      <w:tr>
        <w:trPr>
          <w:trHeight w:val="169"/>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6"/>
              </w:rPr>
              <w:t>Trustee.</w:t>
            </w:r>
          </w:p>
        </w:tc>
        <w:tc>
          <w:tcPr>
            <w:tcW w:w="752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780" w:type="dxa"/>
            <w:vAlign w:val="bottom"/>
          </w:tcPr>
          <w:p>
            <w:pPr>
              <w:jc w:val="center"/>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61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Form of 6.250% Senior Notes due 2034 (included as Exhibit A in Exhibit 4.1).</w:t>
            </w:r>
          </w:p>
        </w:tc>
        <w:tc>
          <w:tcPr>
            <w:tcW w:w="2060" w:type="dxa"/>
            <w:vAlign w:val="bottom"/>
            <w:gridSpan w:val="2"/>
          </w:tcPr>
          <w:p>
            <w:pPr>
              <w:spacing w:after="0"/>
              <w:rPr>
                <w:sz w:val="19"/>
                <w:szCs w:val="19"/>
                <w:color w:val="auto"/>
              </w:rPr>
            </w:pPr>
          </w:p>
        </w:tc>
      </w:tr>
    </w:tbl>
    <w:p>
      <w:pPr>
        <w:spacing w:after="0" w:line="224" w:lineRule="exact"/>
        <w:rPr>
          <w:sz w:val="20"/>
          <w:szCs w:val="20"/>
          <w:color w:val="auto"/>
        </w:rPr>
      </w:pPr>
    </w:p>
    <w:p>
      <w:pPr>
        <w:ind w:left="1280" w:right="260" w:hanging="737"/>
        <w:spacing w:after="0" w:line="256" w:lineRule="auto"/>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558800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60"/>
          </w:cols>
          <w:pgMar w:left="1360" w:top="879" w:right="10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09" w:lineRule="exact"/>
        <w:rPr>
          <w:sz w:val="20"/>
          <w:szCs w:val="20"/>
          <w:color w:val="auto"/>
        </w:rPr>
      </w:pPr>
    </w:p>
    <w:p>
      <w:pPr>
        <w:ind w:firstLine="446"/>
        <w:spacing w:after="0"/>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NOBLE CORPORATION plc</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0"/>
        <w:spacing w:after="0"/>
        <w:tabs>
          <w:tab w:leader="none" w:pos="1300" w:val="left"/>
          <w:tab w:leader="none" w:pos="4900" w:val="left"/>
          <w:tab w:leader="none" w:pos="5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12,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Jennie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43180</wp:posOffset>
            </wp:positionV>
            <wp:extent cx="2237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Jennie Howard</w:t>
      </w:r>
    </w:p>
    <w:p>
      <w:pPr>
        <w:spacing w:after="0" w:line="3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Senior Vice President, General Counsel</w:t>
      </w:r>
    </w:p>
    <w:p>
      <w:pPr>
        <w:ind w:left="5380"/>
        <w:spacing w:after="0"/>
        <w:rPr>
          <w:sz w:val="20"/>
          <w:szCs w:val="20"/>
          <w:color w:val="auto"/>
        </w:rPr>
      </w:pPr>
      <w:r>
        <w:rPr>
          <w:rFonts w:ascii="Arial" w:cs="Arial" w:eastAsia="Arial" w:hAnsi="Arial"/>
          <w:sz w:val="18"/>
          <w:szCs w:val="18"/>
          <w:color w:val="auto"/>
        </w:rPr>
        <w:t>and Corporate Secretary</w:t>
      </w:r>
    </w:p>
    <w:p>
      <w:pPr>
        <w:sectPr>
          <w:pgSz w:w="11900" w:h="16838" w:orient="portrait"/>
          <w:cols w:equalWidth="0" w:num="1">
            <w:col w:w="9180"/>
          </w:cols>
          <w:pgMar w:left="1360" w:top="688" w:right="1359" w:bottom="1440" w:gutter="0" w:footer="0" w:header="0"/>
        </w:sectPr>
      </w:pPr>
    </w:p>
    <w:bookmarkStart w:id="4" w:name="page5"/>
    <w:bookmarkEnd w:id="4"/>
    <w:p>
      <w:pPr>
        <w:spacing w:after="0" w:line="3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color w:val="auto"/>
        </w:rPr>
        <w:t>NOBLE FINANCE II LLC</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6.250% SENIOR NOTES DUE 2034</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INDENTURE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JUNE 11, 2026</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HSBC BANK USA, NATIONAL ASSOCIATION,</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321945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2"/>
        </w:trPr>
        <w:tc>
          <w:tcPr>
            <w:tcW w:w="1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0" w:type="dxa"/>
            <w:vAlign w:val="bottom"/>
            <w:gridSpan w:val="2"/>
          </w:tcPr>
          <w:p>
            <w:pPr>
              <w:jc w:val="center"/>
              <w:ind w:right="4141"/>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r>
      <w:tr>
        <w:trPr>
          <w:trHeight w:val="459"/>
        </w:trPr>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7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1.1.</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Definitions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1.2.</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Other Definitions</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33</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1.3.</w:t>
            </w:r>
          </w:p>
        </w:tc>
        <w:tc>
          <w:tcPr>
            <w:tcW w:w="19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Rules of Construction</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34</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1.4.</w:t>
            </w:r>
          </w:p>
        </w:tc>
        <w:tc>
          <w:tcPr>
            <w:tcW w:w="256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8"/>
              </w:rPr>
              <w:t>Limited Condition Transaction.</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35</w:t>
            </w:r>
          </w:p>
        </w:tc>
        <w:tc>
          <w:tcPr>
            <w:tcW w:w="6660" w:type="dxa"/>
            <w:vAlign w:val="bottom"/>
          </w:tcPr>
          <w:p>
            <w:pPr>
              <w:spacing w:after="0"/>
              <w:rPr>
                <w:sz w:val="23"/>
                <w:szCs w:val="23"/>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1.5.</w:t>
            </w:r>
          </w:p>
        </w:tc>
        <w:tc>
          <w:tcPr>
            <w:tcW w:w="292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w w:val="98"/>
              </w:rPr>
              <w:t>Certain Compliance Determinations</w:t>
            </w:r>
          </w:p>
        </w:tc>
        <w:tc>
          <w:tcPr>
            <w:tcW w:w="7000" w:type="dxa"/>
            <w:vAlign w:val="bottom"/>
            <w:gridSpan w:val="2"/>
          </w:tcPr>
          <w:p>
            <w:pPr>
              <w:jc w:val="right"/>
              <w:ind w:right="6501"/>
              <w:spacing w:after="0"/>
              <w:rPr>
                <w:sz w:val="20"/>
                <w:szCs w:val="20"/>
                <w:color w:val="auto"/>
              </w:rPr>
            </w:pPr>
            <w:r>
              <w:rPr>
                <w:rFonts w:ascii="Times New Roman" w:cs="Times New Roman" w:eastAsia="Times New Roman" w:hAnsi="Times New Roman"/>
                <w:sz w:val="20"/>
                <w:szCs w:val="20"/>
                <w:color w:val="auto"/>
              </w:rPr>
              <w:t>36</w:t>
            </w:r>
          </w:p>
        </w:tc>
      </w:tr>
      <w:tr>
        <w:trPr>
          <w:trHeight w:val="295"/>
        </w:trPr>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60" w:type="dxa"/>
            <w:vAlign w:val="bottom"/>
          </w:tcPr>
          <w:p>
            <w:pPr>
              <w:jc w:val="center"/>
              <w:ind w:right="4481"/>
              <w:spacing w:after="0"/>
              <w:rPr>
                <w:sz w:val="20"/>
                <w:szCs w:val="20"/>
                <w:color w:val="auto"/>
              </w:rPr>
            </w:pPr>
            <w:r>
              <w:rPr>
                <w:rFonts w:ascii="Times New Roman" w:cs="Times New Roman" w:eastAsia="Times New Roman" w:hAnsi="Times New Roman"/>
                <w:sz w:val="20"/>
                <w:szCs w:val="20"/>
                <w:color w:val="auto"/>
                <w:w w:val="97"/>
              </w:rPr>
              <w:t>ARTICLE II</w:t>
            </w:r>
          </w:p>
        </w:tc>
      </w:tr>
      <w:tr>
        <w:trPr>
          <w:trHeight w:val="258"/>
        </w:trPr>
        <w:tc>
          <w:tcPr>
            <w:tcW w:w="1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60" w:type="dxa"/>
            <w:vAlign w:val="bottom"/>
          </w:tcPr>
          <w:p>
            <w:pPr>
              <w:jc w:val="center"/>
              <w:ind w:right="4481"/>
              <w:spacing w:after="0"/>
              <w:rPr>
                <w:sz w:val="20"/>
                <w:szCs w:val="20"/>
                <w:color w:val="auto"/>
              </w:rPr>
            </w:pPr>
            <w:r>
              <w:rPr>
                <w:rFonts w:ascii="Times New Roman" w:cs="Times New Roman" w:eastAsia="Times New Roman" w:hAnsi="Times New Roman"/>
                <w:sz w:val="20"/>
                <w:szCs w:val="20"/>
                <w:color w:val="auto"/>
                <w:w w:val="99"/>
              </w:rPr>
              <w:t>THE NOTES</w:t>
            </w:r>
          </w:p>
        </w:tc>
      </w:tr>
      <w:tr>
        <w:trPr>
          <w:trHeight w:val="3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and Dating</w:t>
            </w:r>
          </w:p>
        </w:tc>
        <w:tc>
          <w:tcPr>
            <w:tcW w:w="3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89"/>
              </w:rPr>
              <w:t>36</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2.2.</w:t>
            </w:r>
          </w:p>
        </w:tc>
        <w:tc>
          <w:tcPr>
            <w:tcW w:w="256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Execution and Authentication</w:t>
            </w:r>
          </w:p>
        </w:tc>
        <w:tc>
          <w:tcPr>
            <w:tcW w:w="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37</w:t>
            </w:r>
          </w:p>
        </w:tc>
        <w:tc>
          <w:tcPr>
            <w:tcW w:w="34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2.3.</w:t>
            </w:r>
          </w:p>
        </w:tc>
        <w:tc>
          <w:tcPr>
            <w:tcW w:w="19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w w:val="98"/>
              </w:rPr>
              <w:t>Registrar; Paying Agent</w:t>
            </w: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37</w:t>
            </w: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2.4.</w:t>
            </w:r>
          </w:p>
        </w:tc>
        <w:tc>
          <w:tcPr>
            <w:tcW w:w="326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Paying Agent to Hold Money in Trust</w:t>
            </w:r>
          </w:p>
        </w:tc>
        <w:tc>
          <w:tcPr>
            <w:tcW w:w="6660" w:type="dxa"/>
            <w:vAlign w:val="bottom"/>
          </w:tcPr>
          <w:p>
            <w:pPr>
              <w:jc w:val="right"/>
              <w:ind w:right="6361"/>
              <w:spacing w:after="0"/>
              <w:rPr>
                <w:sz w:val="20"/>
                <w:szCs w:val="20"/>
                <w:color w:val="auto"/>
              </w:rPr>
            </w:pPr>
            <w:r>
              <w:rPr>
                <w:rFonts w:ascii="Times New Roman" w:cs="Times New Roman" w:eastAsia="Times New Roman" w:hAnsi="Times New Roman"/>
                <w:sz w:val="20"/>
                <w:szCs w:val="20"/>
                <w:color w:val="auto"/>
                <w:w w:val="89"/>
              </w:rPr>
              <w:t>38</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2.5.</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Holder Lists</w:t>
            </w:r>
          </w:p>
        </w:tc>
        <w:tc>
          <w:tcPr>
            <w:tcW w:w="52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38</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60" w:type="dxa"/>
            <w:vAlign w:val="bottom"/>
          </w:tcPr>
          <w:p>
            <w:pPr>
              <w:spacing w:after="0"/>
              <w:rPr>
                <w:sz w:val="23"/>
                <w:szCs w:val="23"/>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2.6.</w:t>
            </w:r>
          </w:p>
        </w:tc>
        <w:tc>
          <w:tcPr>
            <w:tcW w:w="326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w w:val="98"/>
              </w:rPr>
              <w:t>Book-Entry Provisions for Global Notes</w:t>
            </w:r>
          </w:p>
        </w:tc>
        <w:tc>
          <w:tcPr>
            <w:tcW w:w="6660" w:type="dxa"/>
            <w:vAlign w:val="bottom"/>
          </w:tcPr>
          <w:p>
            <w:pPr>
              <w:jc w:val="right"/>
              <w:ind w:right="6161"/>
              <w:spacing w:after="0"/>
              <w:rPr>
                <w:sz w:val="20"/>
                <w:szCs w:val="20"/>
                <w:color w:val="auto"/>
              </w:rPr>
            </w:pPr>
            <w:r>
              <w:rPr>
                <w:rFonts w:ascii="Times New Roman" w:cs="Times New Roman" w:eastAsia="Times New Roman" w:hAnsi="Times New Roman"/>
                <w:sz w:val="20"/>
                <w:szCs w:val="20"/>
                <w:color w:val="auto"/>
              </w:rPr>
              <w:t>38</w:t>
            </w: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2.7.</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7"/>
              </w:rPr>
              <w:t>Replacement Notes</w:t>
            </w:r>
          </w:p>
        </w:tc>
        <w:tc>
          <w:tcPr>
            <w:tcW w:w="62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40</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2.8.</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Outstanding Notes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2.9.</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Treasury Notes</w:t>
            </w:r>
          </w:p>
        </w:tc>
        <w:tc>
          <w:tcPr>
            <w:tcW w:w="66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41</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2.10.</w:t>
            </w:r>
          </w:p>
        </w:tc>
        <w:tc>
          <w:tcPr>
            <w:tcW w:w="10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41</w:t>
            </w: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60" w:type="dxa"/>
            <w:vAlign w:val="bottom"/>
          </w:tcPr>
          <w:p>
            <w:pPr>
              <w:spacing w:after="0"/>
              <w:rPr>
                <w:sz w:val="23"/>
                <w:szCs w:val="23"/>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2.11.</w:t>
            </w: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Cancellation</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41</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2.12.</w:t>
            </w:r>
          </w:p>
        </w:tc>
        <w:tc>
          <w:tcPr>
            <w:tcW w:w="16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8"/>
              </w:rPr>
              <w:t>Defaulted Interest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2.13.</w:t>
            </w:r>
          </w:p>
        </w:tc>
        <w:tc>
          <w:tcPr>
            <w:tcW w:w="222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Computation of Interest</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42</w:t>
            </w: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2.14.</w:t>
            </w:r>
          </w:p>
        </w:tc>
        <w:tc>
          <w:tcPr>
            <w:tcW w:w="16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CUSIP Number</w:t>
            </w:r>
          </w:p>
        </w:tc>
        <w:tc>
          <w:tcPr>
            <w:tcW w:w="3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42</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2.15.</w:t>
            </w:r>
          </w:p>
        </w:tc>
        <w:tc>
          <w:tcPr>
            <w:tcW w:w="292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Special Transfer Provisions  42</w:t>
            </w:r>
          </w:p>
        </w:tc>
        <w:tc>
          <w:tcPr>
            <w:tcW w:w="340" w:type="dxa"/>
            <w:vAlign w:val="bottom"/>
          </w:tcPr>
          <w:p>
            <w:pPr>
              <w:spacing w:after="0"/>
              <w:rPr>
                <w:sz w:val="23"/>
                <w:szCs w:val="23"/>
                <w:color w:val="auto"/>
              </w:rPr>
            </w:pPr>
          </w:p>
        </w:tc>
        <w:tc>
          <w:tcPr>
            <w:tcW w:w="6660" w:type="dxa"/>
            <w:vAlign w:val="bottom"/>
          </w:tcPr>
          <w:p>
            <w:pPr>
              <w:spacing w:after="0"/>
              <w:rPr>
                <w:sz w:val="23"/>
                <w:szCs w:val="23"/>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2.16.</w:t>
            </w:r>
          </w:p>
        </w:tc>
        <w:tc>
          <w:tcPr>
            <w:tcW w:w="256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Issuance of Additional Notes</w:t>
            </w:r>
          </w:p>
        </w:tc>
        <w:tc>
          <w:tcPr>
            <w:tcW w:w="3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44</w:t>
            </w:r>
          </w:p>
        </w:tc>
        <w:tc>
          <w:tcPr>
            <w:tcW w:w="340" w:type="dxa"/>
            <w:vAlign w:val="bottom"/>
          </w:tcPr>
          <w:p>
            <w:pPr>
              <w:spacing w:after="0"/>
              <w:rPr>
                <w:sz w:val="23"/>
                <w:szCs w:val="23"/>
                <w:color w:val="auto"/>
              </w:rPr>
            </w:pPr>
          </w:p>
        </w:tc>
        <w:tc>
          <w:tcPr>
            <w:tcW w:w="66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2.17.</w:t>
            </w:r>
          </w:p>
        </w:tc>
        <w:tc>
          <w:tcPr>
            <w:tcW w:w="198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Additional Amounts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44</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309"/>
        </w:trPr>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60" w:type="dxa"/>
            <w:vAlign w:val="bottom"/>
          </w:tcPr>
          <w:p>
            <w:pPr>
              <w:jc w:val="center"/>
              <w:ind w:right="4481"/>
              <w:spacing w:after="0"/>
              <w:rPr>
                <w:sz w:val="20"/>
                <w:szCs w:val="20"/>
                <w:color w:val="auto"/>
              </w:rPr>
            </w:pPr>
            <w:r>
              <w:rPr>
                <w:rFonts w:ascii="Times New Roman" w:cs="Times New Roman" w:eastAsia="Times New Roman" w:hAnsi="Times New Roman"/>
                <w:sz w:val="20"/>
                <w:szCs w:val="20"/>
                <w:color w:val="auto"/>
                <w:w w:val="98"/>
              </w:rPr>
              <w:t>ARTICLE III</w:t>
            </w:r>
          </w:p>
        </w:tc>
      </w:tr>
      <w:tr>
        <w:trPr>
          <w:trHeight w:val="258"/>
        </w:trPr>
        <w:tc>
          <w:tcPr>
            <w:tcW w:w="1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3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REDEMPTION AND PREPAYMENT</w:t>
            </w:r>
          </w:p>
        </w:tc>
      </w:tr>
      <w:tr>
        <w:trPr>
          <w:trHeight w:val="351"/>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3.1.</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Notices to Trustee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3.2.</w:t>
            </w:r>
          </w:p>
        </w:tc>
        <w:tc>
          <w:tcPr>
            <w:tcW w:w="292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w w:val="99"/>
              </w:rPr>
              <w:t>Selection of Notes to Be Redeemed</w:t>
            </w:r>
          </w:p>
        </w:tc>
        <w:tc>
          <w:tcPr>
            <w:tcW w:w="7000" w:type="dxa"/>
            <w:vAlign w:val="bottom"/>
            <w:gridSpan w:val="2"/>
          </w:tcPr>
          <w:p>
            <w:pPr>
              <w:jc w:val="right"/>
              <w:ind w:right="6541"/>
              <w:spacing w:after="0"/>
              <w:rPr>
                <w:sz w:val="20"/>
                <w:szCs w:val="20"/>
                <w:color w:val="auto"/>
              </w:rPr>
            </w:pPr>
            <w:r>
              <w:rPr>
                <w:rFonts w:ascii="Times New Roman" w:cs="Times New Roman" w:eastAsia="Times New Roman" w:hAnsi="Times New Roman"/>
                <w:sz w:val="20"/>
                <w:szCs w:val="20"/>
                <w:color w:val="auto"/>
              </w:rPr>
              <w:t>46</w:t>
            </w: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3.3.</w:t>
            </w:r>
          </w:p>
        </w:tc>
        <w:tc>
          <w:tcPr>
            <w:tcW w:w="256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8"/>
              </w:rPr>
              <w:t>Notice of Optional Redemption</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47</w:t>
            </w:r>
          </w:p>
        </w:tc>
        <w:tc>
          <w:tcPr>
            <w:tcW w:w="666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3.4.</w:t>
            </w:r>
          </w:p>
        </w:tc>
        <w:tc>
          <w:tcPr>
            <w:tcW w:w="256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7"/>
              </w:rPr>
              <w:t>Effect of Notice of Redemption</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48</w:t>
            </w:r>
          </w:p>
        </w:tc>
        <w:tc>
          <w:tcPr>
            <w:tcW w:w="6660" w:type="dxa"/>
            <w:vAlign w:val="bottom"/>
          </w:tcPr>
          <w:p>
            <w:pPr>
              <w:spacing w:after="0"/>
              <w:rPr>
                <w:sz w:val="23"/>
                <w:szCs w:val="23"/>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3.5.</w:t>
            </w:r>
          </w:p>
        </w:tc>
        <w:tc>
          <w:tcPr>
            <w:tcW w:w="256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Deposit of Redemption Price</w:t>
            </w:r>
          </w:p>
        </w:tc>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48</w:t>
            </w:r>
          </w:p>
        </w:tc>
        <w:tc>
          <w:tcPr>
            <w:tcW w:w="340" w:type="dxa"/>
            <w:vAlign w:val="bottom"/>
          </w:tcPr>
          <w:p>
            <w:pPr>
              <w:spacing w:after="0"/>
              <w:rPr>
                <w:sz w:val="23"/>
                <w:szCs w:val="23"/>
                <w:color w:val="auto"/>
              </w:rPr>
            </w:pPr>
          </w:p>
        </w:tc>
        <w:tc>
          <w:tcPr>
            <w:tcW w:w="66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3.6.</w:t>
            </w:r>
          </w:p>
        </w:tc>
        <w:tc>
          <w:tcPr>
            <w:tcW w:w="19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w w:val="97"/>
              </w:rPr>
              <w:t>Notes Redeemed in Part</w:t>
            </w: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48</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3.7.</w:t>
            </w:r>
          </w:p>
        </w:tc>
        <w:tc>
          <w:tcPr>
            <w:tcW w:w="22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Optional Redemption  48</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3.8.</w:t>
            </w:r>
          </w:p>
        </w:tc>
        <w:tc>
          <w:tcPr>
            <w:tcW w:w="22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Optional Tax Redemption</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3.9.</w:t>
            </w:r>
          </w:p>
        </w:tc>
        <w:tc>
          <w:tcPr>
            <w:tcW w:w="19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Certain Tender Offers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50</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60" w:type="dxa"/>
            <w:vAlign w:val="bottom"/>
          </w:tcPr>
          <w:p>
            <w:pPr>
              <w:spacing w:after="0"/>
              <w:rPr>
                <w:sz w:val="23"/>
                <w:szCs w:val="23"/>
                <w:color w:val="auto"/>
              </w:rPr>
            </w:pPr>
          </w:p>
        </w:tc>
      </w:tr>
      <w:tr>
        <w:trPr>
          <w:trHeight w:val="309"/>
        </w:trPr>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60" w:type="dxa"/>
            <w:vAlign w:val="bottom"/>
          </w:tcPr>
          <w:p>
            <w:pPr>
              <w:jc w:val="center"/>
              <w:ind w:right="4481"/>
              <w:spacing w:after="0"/>
              <w:rPr>
                <w:sz w:val="20"/>
                <w:szCs w:val="20"/>
                <w:color w:val="auto"/>
              </w:rPr>
            </w:pPr>
            <w:r>
              <w:rPr>
                <w:rFonts w:ascii="Times New Roman" w:cs="Times New Roman" w:eastAsia="Times New Roman" w:hAnsi="Times New Roman"/>
                <w:sz w:val="20"/>
                <w:szCs w:val="20"/>
                <w:color w:val="auto"/>
                <w:w w:val="97"/>
              </w:rPr>
              <w:t>ARTICLE IV</w:t>
            </w:r>
          </w:p>
        </w:tc>
      </w:tr>
      <w:tr>
        <w:trPr>
          <w:trHeight w:val="258"/>
        </w:trPr>
        <w:tc>
          <w:tcPr>
            <w:tcW w:w="1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60" w:type="dxa"/>
            <w:vAlign w:val="bottom"/>
          </w:tcPr>
          <w:p>
            <w:pPr>
              <w:jc w:val="center"/>
              <w:ind w:right="4481"/>
              <w:spacing w:after="0"/>
              <w:rPr>
                <w:sz w:val="20"/>
                <w:szCs w:val="20"/>
                <w:color w:val="auto"/>
              </w:rPr>
            </w:pPr>
            <w:r>
              <w:rPr>
                <w:rFonts w:ascii="Times New Roman" w:cs="Times New Roman" w:eastAsia="Times New Roman" w:hAnsi="Times New Roman"/>
                <w:sz w:val="20"/>
                <w:szCs w:val="20"/>
                <w:color w:val="auto"/>
                <w:w w:val="99"/>
              </w:rPr>
              <w:t>COVENANTS</w:t>
            </w:r>
          </w:p>
        </w:tc>
      </w:tr>
      <w:tr>
        <w:trPr>
          <w:trHeight w:val="351"/>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4.1.</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Payment of Notes</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4.2.</w:t>
            </w:r>
          </w:p>
        </w:tc>
        <w:tc>
          <w:tcPr>
            <w:tcW w:w="292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Maintenance of Office or Agency</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9"/>
              </w:rPr>
              <w:t>51</w:t>
            </w:r>
          </w:p>
        </w:tc>
        <w:tc>
          <w:tcPr>
            <w:tcW w:w="66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4.3.</w:t>
            </w:r>
          </w:p>
        </w:tc>
        <w:tc>
          <w:tcPr>
            <w:tcW w:w="292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Provision of Financial Information</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666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4.4.</w:t>
            </w:r>
          </w:p>
        </w:tc>
        <w:tc>
          <w:tcPr>
            <w:tcW w:w="19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Compliance Certificate</w:t>
            </w:r>
          </w:p>
        </w:tc>
        <w:tc>
          <w:tcPr>
            <w:tcW w:w="58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53</w:t>
            </w: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4.5.</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Taxes  53</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6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4.6.</w:t>
            </w:r>
          </w:p>
        </w:tc>
        <w:tc>
          <w:tcPr>
            <w:tcW w:w="326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Stay, Extension and Usury Laws  53</w:t>
            </w:r>
          </w:p>
        </w:tc>
        <w:tc>
          <w:tcPr>
            <w:tcW w:w="66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040"/>
          </w:cols>
          <w:pgMar w:left="520" w:top="1409" w:right="339" w:bottom="1158"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4.7.</w:t>
            </w:r>
          </w:p>
        </w:tc>
        <w:tc>
          <w:tcPr>
            <w:tcW w:w="286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w w:val="99"/>
              </w:rPr>
              <w:t>Limitation on Restricted Payments</w:t>
            </w:r>
          </w:p>
        </w:tc>
        <w:tc>
          <w:tcPr>
            <w:tcW w:w="1700" w:type="dxa"/>
            <w:vAlign w:val="bottom"/>
          </w:tcPr>
          <w:p>
            <w:pPr>
              <w:jc w:val="right"/>
              <w:ind w:right="1241"/>
              <w:spacing w:after="0"/>
              <w:rPr>
                <w:sz w:val="20"/>
                <w:szCs w:val="20"/>
                <w:color w:val="auto"/>
              </w:rPr>
            </w:pPr>
            <w:r>
              <w:rPr>
                <w:rFonts w:ascii="Times New Roman" w:cs="Times New Roman" w:eastAsia="Times New Roman" w:hAnsi="Times New Roman"/>
                <w:sz w:val="20"/>
                <w:szCs w:val="20"/>
                <w:color w:val="auto"/>
              </w:rPr>
              <w:t>53</w:t>
            </w:r>
          </w:p>
        </w:tc>
        <w:tc>
          <w:tcPr>
            <w:tcW w:w="4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4.8.</w:t>
            </w:r>
          </w:p>
        </w:tc>
        <w:tc>
          <w:tcPr>
            <w:tcW w:w="682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w w:val="99"/>
              </w:rPr>
              <w:t>Limitation on Dividend and Other Restrictions Affecting Restricted Subsidiaries  56</w:t>
            </w: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4.9.</w:t>
            </w:r>
          </w:p>
        </w:tc>
        <w:tc>
          <w:tcPr>
            <w:tcW w:w="456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Limitation on Additional Indebtedness  58</w:t>
            </w:r>
          </w:p>
        </w:tc>
        <w:tc>
          <w:tcPr>
            <w:tcW w:w="4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4.10.</w:t>
            </w: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Limitation on Asset Sales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4.11.</w:t>
            </w:r>
          </w:p>
        </w:tc>
        <w:tc>
          <w:tcPr>
            <w:tcW w:w="456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rPr>
              <w:t>Limitation on Transactions with Affiliates  65</w:t>
            </w:r>
          </w:p>
        </w:tc>
        <w:tc>
          <w:tcPr>
            <w:tcW w:w="4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4.12.</w:t>
            </w:r>
          </w:p>
        </w:tc>
        <w:tc>
          <w:tcPr>
            <w:tcW w:w="18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Limitation on Liens</w:t>
            </w:r>
          </w:p>
        </w:tc>
        <w:tc>
          <w:tcPr>
            <w:tcW w:w="48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67</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4.13.</w:t>
            </w:r>
          </w:p>
        </w:tc>
        <w:tc>
          <w:tcPr>
            <w:tcW w:w="496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auto"/>
                <w:w w:val="99"/>
              </w:rPr>
              <w:t>Offer to Purchase upon Change of Control Triggering Event</w:t>
            </w:r>
          </w:p>
        </w:tc>
        <w:tc>
          <w:tcPr>
            <w:tcW w:w="1860" w:type="dxa"/>
            <w:vAlign w:val="bottom"/>
          </w:tcPr>
          <w:p>
            <w:pPr>
              <w:jc w:val="right"/>
              <w:ind w:right="1401"/>
              <w:spacing w:after="0"/>
              <w:rPr>
                <w:sz w:val="20"/>
                <w:szCs w:val="20"/>
                <w:color w:val="auto"/>
              </w:rPr>
            </w:pPr>
            <w:r>
              <w:rPr>
                <w:rFonts w:ascii="Times New Roman" w:cs="Times New Roman" w:eastAsia="Times New Roman" w:hAnsi="Times New Roman"/>
                <w:sz w:val="20"/>
                <w:szCs w:val="20"/>
                <w:color w:val="auto"/>
              </w:rPr>
              <w:t>68</w:t>
            </w: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4.14.</w:t>
            </w:r>
          </w:p>
        </w:tc>
        <w:tc>
          <w:tcPr>
            <w:tcW w:w="18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Corporate Existence</w:t>
            </w:r>
          </w:p>
        </w:tc>
        <w:tc>
          <w:tcPr>
            <w:tcW w:w="48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69</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4.15.</w:t>
            </w:r>
          </w:p>
        </w:tc>
        <w:tc>
          <w:tcPr>
            <w:tcW w:w="20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Additional Guarantees</w:t>
            </w:r>
          </w:p>
        </w:tc>
        <w:tc>
          <w:tcPr>
            <w:tcW w:w="58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70</w:t>
            </w: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4.16.</w:t>
            </w:r>
          </w:p>
        </w:tc>
        <w:tc>
          <w:tcPr>
            <w:tcW w:w="456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w w:val="99"/>
              </w:rPr>
              <w:t>Limitation on Designation of Unrestricted Subsidiaries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186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4.17.</w:t>
            </w: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w w:val="98"/>
              </w:rPr>
              <w:t>Effectiveness of Covenants</w:t>
            </w:r>
          </w:p>
        </w:tc>
        <w:tc>
          <w:tcPr>
            <w:tcW w:w="52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71</w:t>
            </w:r>
          </w:p>
        </w:tc>
        <w:tc>
          <w:tcPr>
            <w:tcW w:w="1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4.18.</w:t>
            </w:r>
          </w:p>
        </w:tc>
        <w:tc>
          <w:tcPr>
            <w:tcW w:w="20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w w:val="98"/>
              </w:rPr>
              <w:t>Maintenance of Listing</w:t>
            </w:r>
          </w:p>
        </w:tc>
        <w:tc>
          <w:tcPr>
            <w:tcW w:w="58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72</w:t>
            </w: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95"/>
        </w:trPr>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2"/>
          </w:tcPr>
          <w:p>
            <w:pPr>
              <w:jc w:val="center"/>
              <w:ind w:left="701"/>
              <w:spacing w:after="0"/>
              <w:rPr>
                <w:sz w:val="20"/>
                <w:szCs w:val="20"/>
                <w:color w:val="auto"/>
              </w:rPr>
            </w:pPr>
            <w:r>
              <w:rPr>
                <w:rFonts w:ascii="Times New Roman" w:cs="Times New Roman" w:eastAsia="Times New Roman" w:hAnsi="Times New Roman"/>
                <w:sz w:val="20"/>
                <w:szCs w:val="20"/>
                <w:color w:val="auto"/>
                <w:w w:val="98"/>
              </w:rPr>
              <w:t>ARTICLE V</w:t>
            </w:r>
          </w:p>
        </w:tc>
        <w:tc>
          <w:tcPr>
            <w:tcW w:w="1860" w:type="dxa"/>
            <w:vAlign w:val="bottom"/>
          </w:tcPr>
          <w:p>
            <w:pPr>
              <w:spacing w:after="0"/>
              <w:rPr>
                <w:sz w:val="24"/>
                <w:szCs w:val="24"/>
                <w:color w:val="auto"/>
              </w:rPr>
            </w:pPr>
          </w:p>
        </w:tc>
      </w:tr>
      <w:tr>
        <w:trPr>
          <w:trHeight w:val="258"/>
        </w:trPr>
        <w:tc>
          <w:tcPr>
            <w:tcW w:w="1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gridSpan w:val="2"/>
          </w:tcPr>
          <w:p>
            <w:pPr>
              <w:jc w:val="center"/>
              <w:ind w:left="681"/>
              <w:spacing w:after="0"/>
              <w:rPr>
                <w:sz w:val="20"/>
                <w:szCs w:val="20"/>
                <w:color w:val="auto"/>
              </w:rPr>
            </w:pPr>
            <w:r>
              <w:rPr>
                <w:rFonts w:ascii="Times New Roman" w:cs="Times New Roman" w:eastAsia="Times New Roman" w:hAnsi="Times New Roman"/>
                <w:sz w:val="20"/>
                <w:szCs w:val="20"/>
                <w:color w:val="auto"/>
                <w:w w:val="98"/>
              </w:rPr>
              <w:t>SUCCESSORS</w:t>
            </w:r>
          </w:p>
        </w:tc>
        <w:tc>
          <w:tcPr>
            <w:tcW w:w="1860" w:type="dxa"/>
            <w:vAlign w:val="bottom"/>
          </w:tcPr>
          <w:p>
            <w:pPr>
              <w:spacing w:after="0"/>
              <w:rPr>
                <w:sz w:val="22"/>
                <w:szCs w:val="22"/>
                <w:color w:val="auto"/>
              </w:rPr>
            </w:pPr>
          </w:p>
        </w:tc>
      </w:tr>
      <w:tr>
        <w:trPr>
          <w:trHeight w:val="364"/>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5.1.</w:t>
            </w:r>
          </w:p>
        </w:tc>
        <w:tc>
          <w:tcPr>
            <w:tcW w:w="456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Consolidation, Merger, Conveyance, Transfer or Lease</w:t>
            </w:r>
          </w:p>
        </w:tc>
        <w:tc>
          <w:tcPr>
            <w:tcW w:w="4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72</w:t>
            </w:r>
          </w:p>
        </w:tc>
        <w:tc>
          <w:tcPr>
            <w:tcW w:w="1860" w:type="dxa"/>
            <w:vAlign w:val="bottom"/>
          </w:tcPr>
          <w:p>
            <w:pPr>
              <w:spacing w:after="0"/>
              <w:rPr>
                <w:sz w:val="24"/>
                <w:szCs w:val="24"/>
                <w:color w:val="auto"/>
              </w:rPr>
            </w:pPr>
          </w:p>
        </w:tc>
      </w:tr>
      <w:tr>
        <w:trPr>
          <w:trHeight w:val="295"/>
        </w:trPr>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2"/>
          </w:tcPr>
          <w:p>
            <w:pPr>
              <w:jc w:val="center"/>
              <w:ind w:left="681"/>
              <w:spacing w:after="0"/>
              <w:rPr>
                <w:sz w:val="20"/>
                <w:szCs w:val="20"/>
                <w:color w:val="auto"/>
              </w:rPr>
            </w:pPr>
            <w:r>
              <w:rPr>
                <w:rFonts w:ascii="Times New Roman" w:cs="Times New Roman" w:eastAsia="Times New Roman" w:hAnsi="Times New Roman"/>
                <w:sz w:val="20"/>
                <w:szCs w:val="20"/>
                <w:color w:val="auto"/>
                <w:w w:val="97"/>
              </w:rPr>
              <w:t>ARTICLE VI</w:t>
            </w:r>
          </w:p>
        </w:tc>
        <w:tc>
          <w:tcPr>
            <w:tcW w:w="1860" w:type="dxa"/>
            <w:vAlign w:val="bottom"/>
          </w:tcPr>
          <w:p>
            <w:pPr>
              <w:spacing w:after="0"/>
              <w:rPr>
                <w:sz w:val="24"/>
                <w:szCs w:val="24"/>
                <w:color w:val="auto"/>
              </w:rPr>
            </w:pPr>
          </w:p>
        </w:tc>
      </w:tr>
      <w:tr>
        <w:trPr>
          <w:trHeight w:val="258"/>
        </w:trPr>
        <w:tc>
          <w:tcPr>
            <w:tcW w:w="1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60" w:type="dxa"/>
            <w:vAlign w:val="bottom"/>
            <w:gridSpan w:val="3"/>
          </w:tcPr>
          <w:p>
            <w:pPr>
              <w:jc w:val="center"/>
              <w:ind w:right="961"/>
              <w:spacing w:after="0"/>
              <w:rPr>
                <w:sz w:val="20"/>
                <w:szCs w:val="20"/>
                <w:color w:val="auto"/>
              </w:rPr>
            </w:pPr>
            <w:r>
              <w:rPr>
                <w:rFonts w:ascii="Times New Roman" w:cs="Times New Roman" w:eastAsia="Times New Roman" w:hAnsi="Times New Roman"/>
                <w:sz w:val="20"/>
                <w:szCs w:val="20"/>
                <w:color w:val="auto"/>
                <w:w w:val="97"/>
              </w:rPr>
              <w:t>DEFAULTS AND REMEDIES</w:t>
            </w:r>
          </w:p>
        </w:tc>
      </w:tr>
      <w:tr>
        <w:trPr>
          <w:trHeight w:val="36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6.1.</w:t>
            </w: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Events of Default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6.2.</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7"/>
              </w:rPr>
              <w:t>Acceleration</w:t>
            </w:r>
          </w:p>
        </w:tc>
        <w:tc>
          <w:tcPr>
            <w:tcW w:w="5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75</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6.3.</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Other Remedies  76</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6.4.</w:t>
            </w:r>
          </w:p>
        </w:tc>
        <w:tc>
          <w:tcPr>
            <w:tcW w:w="20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Waiver of Past Defaults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6.5.</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Control by Majority</w:t>
            </w:r>
          </w:p>
        </w:tc>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w w:val="89"/>
              </w:rPr>
              <w:t>76</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6.6.</w:t>
            </w: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8"/>
              </w:rPr>
              <w:t>Limitation on Suits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6.7.</w:t>
            </w:r>
          </w:p>
        </w:tc>
        <w:tc>
          <w:tcPr>
            <w:tcW w:w="456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Rights of Holders of Notes to Receive Payment  77</w:t>
            </w:r>
          </w:p>
        </w:tc>
        <w:tc>
          <w:tcPr>
            <w:tcW w:w="4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6.8.</w:t>
            </w:r>
          </w:p>
        </w:tc>
        <w:tc>
          <w:tcPr>
            <w:tcW w:w="234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Collection Suit by Trustee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77</w:t>
            </w: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6.9.</w:t>
            </w:r>
          </w:p>
        </w:tc>
        <w:tc>
          <w:tcPr>
            <w:tcW w:w="286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Trustee May File Proofs of Claim</w:t>
            </w:r>
          </w:p>
        </w:tc>
        <w:tc>
          <w:tcPr>
            <w:tcW w:w="1700" w:type="dxa"/>
            <w:vAlign w:val="bottom"/>
          </w:tcPr>
          <w:p>
            <w:pPr>
              <w:jc w:val="right"/>
              <w:ind w:right="1341"/>
              <w:spacing w:after="0"/>
              <w:rPr>
                <w:sz w:val="20"/>
                <w:szCs w:val="20"/>
                <w:color w:val="auto"/>
              </w:rPr>
            </w:pPr>
            <w:r>
              <w:rPr>
                <w:rFonts w:ascii="Times New Roman" w:cs="Times New Roman" w:eastAsia="Times New Roman" w:hAnsi="Times New Roman"/>
                <w:sz w:val="20"/>
                <w:szCs w:val="20"/>
                <w:color w:val="auto"/>
              </w:rPr>
              <w:t>77</w:t>
            </w:r>
          </w:p>
        </w:tc>
        <w:tc>
          <w:tcPr>
            <w:tcW w:w="4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6.10.</w:t>
            </w:r>
          </w:p>
        </w:tc>
        <w:tc>
          <w:tcPr>
            <w:tcW w:w="10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Priorities</w:t>
            </w:r>
          </w:p>
        </w:tc>
        <w:tc>
          <w:tcPr>
            <w:tcW w:w="5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89"/>
              </w:rPr>
              <w:t>78</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6.11.</w:t>
            </w:r>
          </w:p>
        </w:tc>
        <w:tc>
          <w:tcPr>
            <w:tcW w:w="20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Undertaking for Costs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6.12.</w:t>
            </w:r>
          </w:p>
        </w:tc>
        <w:tc>
          <w:tcPr>
            <w:tcW w:w="18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8"/>
              </w:rPr>
              <w:t>Noteholder Direction</w:t>
            </w:r>
          </w:p>
        </w:tc>
        <w:tc>
          <w:tcPr>
            <w:tcW w:w="160" w:type="dxa"/>
            <w:vAlign w:val="bottom"/>
          </w:tcPr>
          <w:p>
            <w:pPr>
              <w:spacing w:after="0"/>
              <w:rPr>
                <w:sz w:val="22"/>
                <w:szCs w:val="22"/>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78</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309"/>
        </w:trPr>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2"/>
          </w:tcPr>
          <w:p>
            <w:pPr>
              <w:jc w:val="center"/>
              <w:ind w:left="701"/>
              <w:spacing w:after="0"/>
              <w:rPr>
                <w:sz w:val="20"/>
                <w:szCs w:val="20"/>
                <w:color w:val="auto"/>
              </w:rPr>
            </w:pPr>
            <w:r>
              <w:rPr>
                <w:rFonts w:ascii="Times New Roman" w:cs="Times New Roman" w:eastAsia="Times New Roman" w:hAnsi="Times New Roman"/>
                <w:sz w:val="20"/>
                <w:szCs w:val="20"/>
                <w:color w:val="auto"/>
                <w:w w:val="97"/>
              </w:rPr>
              <w:t>ARTICLE VII</w:t>
            </w:r>
          </w:p>
        </w:tc>
        <w:tc>
          <w:tcPr>
            <w:tcW w:w="1860" w:type="dxa"/>
            <w:vAlign w:val="bottom"/>
          </w:tcPr>
          <w:p>
            <w:pPr>
              <w:spacing w:after="0"/>
              <w:rPr>
                <w:sz w:val="24"/>
                <w:szCs w:val="24"/>
                <w:color w:val="auto"/>
              </w:rPr>
            </w:pPr>
          </w:p>
        </w:tc>
      </w:tr>
      <w:tr>
        <w:trPr>
          <w:trHeight w:val="258"/>
        </w:trPr>
        <w:tc>
          <w:tcPr>
            <w:tcW w:w="1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gridSpan w:val="2"/>
          </w:tcPr>
          <w:p>
            <w:pPr>
              <w:jc w:val="center"/>
              <w:ind w:left="681"/>
              <w:spacing w:after="0"/>
              <w:rPr>
                <w:sz w:val="20"/>
                <w:szCs w:val="20"/>
                <w:color w:val="auto"/>
              </w:rPr>
            </w:pPr>
            <w:r>
              <w:rPr>
                <w:rFonts w:ascii="Times New Roman" w:cs="Times New Roman" w:eastAsia="Times New Roman" w:hAnsi="Times New Roman"/>
                <w:sz w:val="20"/>
                <w:szCs w:val="20"/>
                <w:color w:val="auto"/>
              </w:rPr>
              <w:t>TRUSTEE</w:t>
            </w:r>
          </w:p>
        </w:tc>
        <w:tc>
          <w:tcPr>
            <w:tcW w:w="1860" w:type="dxa"/>
            <w:vAlign w:val="bottom"/>
          </w:tcPr>
          <w:p>
            <w:pPr>
              <w:spacing w:after="0"/>
              <w:rPr>
                <w:sz w:val="22"/>
                <w:szCs w:val="22"/>
                <w:color w:val="auto"/>
              </w:rPr>
            </w:pPr>
          </w:p>
        </w:tc>
      </w:tr>
      <w:tr>
        <w:trPr>
          <w:trHeight w:val="351"/>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7.1.</w:t>
            </w: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Duties of Trustee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79</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7.2.</w:t>
            </w: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Rights of Trustee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80</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7.3.</w:t>
            </w:r>
          </w:p>
        </w:tc>
        <w:tc>
          <w:tcPr>
            <w:tcW w:w="26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8"/>
              </w:rPr>
              <w:t>Individual Rights of the Trustee</w:t>
            </w:r>
          </w:p>
        </w:tc>
        <w:tc>
          <w:tcPr>
            <w:tcW w:w="1960" w:type="dxa"/>
            <w:vAlign w:val="bottom"/>
            <w:gridSpan w:val="2"/>
          </w:tcPr>
          <w:p>
            <w:pPr>
              <w:jc w:val="right"/>
              <w:ind w:right="1481"/>
              <w:spacing w:after="0"/>
              <w:rPr>
                <w:sz w:val="20"/>
                <w:szCs w:val="20"/>
                <w:color w:val="auto"/>
              </w:rPr>
            </w:pPr>
            <w:r>
              <w:rPr>
                <w:rFonts w:ascii="Times New Roman" w:cs="Times New Roman" w:eastAsia="Times New Roman" w:hAnsi="Times New Roman"/>
                <w:sz w:val="20"/>
                <w:szCs w:val="20"/>
                <w:color w:val="auto"/>
              </w:rPr>
              <w:t>82</w:t>
            </w: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7.4.</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Trustee’s Disclaimer</w:t>
            </w:r>
          </w:p>
        </w:tc>
        <w:tc>
          <w:tcPr>
            <w:tcW w:w="480" w:type="dxa"/>
            <w:vAlign w:val="bottom"/>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82</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7.5.</w:t>
            </w: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Notice of Defaults</w:t>
            </w:r>
          </w:p>
        </w:tc>
        <w:tc>
          <w:tcPr>
            <w:tcW w:w="4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82</w:t>
            </w: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7.6.</w:t>
            </w:r>
          </w:p>
        </w:tc>
        <w:tc>
          <w:tcPr>
            <w:tcW w:w="26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Compensation and Indemnity</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82</w:t>
            </w:r>
          </w:p>
        </w:tc>
        <w:tc>
          <w:tcPr>
            <w:tcW w:w="1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7.7.</w:t>
            </w:r>
          </w:p>
        </w:tc>
        <w:tc>
          <w:tcPr>
            <w:tcW w:w="20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Replacement of Trustee</w:t>
            </w:r>
          </w:p>
        </w:tc>
        <w:tc>
          <w:tcPr>
            <w:tcW w:w="58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83</w:t>
            </w: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6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7.8.</w:t>
            </w:r>
          </w:p>
        </w:tc>
        <w:tc>
          <w:tcPr>
            <w:tcW w:w="286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Successor Trustee by Merger, Etc</w:t>
            </w:r>
          </w:p>
        </w:tc>
        <w:tc>
          <w:tcPr>
            <w:tcW w:w="1700" w:type="dxa"/>
            <w:vAlign w:val="bottom"/>
          </w:tcPr>
          <w:p>
            <w:pPr>
              <w:jc w:val="right"/>
              <w:ind w:right="1341"/>
              <w:spacing w:after="0"/>
              <w:rPr>
                <w:sz w:val="20"/>
                <w:szCs w:val="20"/>
                <w:color w:val="auto"/>
              </w:rPr>
            </w:pPr>
            <w:r>
              <w:rPr>
                <w:rFonts w:ascii="Times New Roman" w:cs="Times New Roman" w:eastAsia="Times New Roman" w:hAnsi="Times New Roman"/>
                <w:sz w:val="20"/>
                <w:szCs w:val="20"/>
                <w:color w:val="auto"/>
              </w:rPr>
              <w:t>84</w:t>
            </w: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7.9.</w:t>
            </w:r>
          </w:p>
        </w:tc>
        <w:tc>
          <w:tcPr>
            <w:tcW w:w="234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Eligibility; Disqualification</w:t>
            </w:r>
          </w:p>
        </w:tc>
        <w:tc>
          <w:tcPr>
            <w:tcW w:w="52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84</w:t>
            </w:r>
          </w:p>
        </w:tc>
        <w:tc>
          <w:tcPr>
            <w:tcW w:w="1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7.10.</w:t>
            </w:r>
          </w:p>
        </w:tc>
        <w:tc>
          <w:tcPr>
            <w:tcW w:w="10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Sanctions</w:t>
            </w:r>
          </w:p>
        </w:tc>
        <w:tc>
          <w:tcPr>
            <w:tcW w:w="5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84</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552"/>
        </w:trPr>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2"/>
          </w:tcPr>
          <w:p>
            <w:pPr>
              <w:jc w:val="center"/>
              <w:ind w:left="701"/>
              <w:spacing w:after="0"/>
              <w:rPr>
                <w:sz w:val="20"/>
                <w:szCs w:val="20"/>
                <w:color w:val="auto"/>
              </w:rPr>
            </w:pPr>
            <w:r>
              <w:rPr>
                <w:rFonts w:ascii="Times New Roman" w:cs="Times New Roman" w:eastAsia="Times New Roman" w:hAnsi="Times New Roman"/>
                <w:sz w:val="20"/>
                <w:szCs w:val="20"/>
                <w:color w:val="auto"/>
                <w:w w:val="98"/>
              </w:rPr>
              <w:t>ARTICLE VIII</w:t>
            </w:r>
          </w:p>
        </w:tc>
        <w:tc>
          <w:tcPr>
            <w:tcW w:w="1860" w:type="dxa"/>
            <w:vAlign w:val="bottom"/>
          </w:tcPr>
          <w:p>
            <w:pPr>
              <w:spacing w:after="0"/>
              <w:rPr>
                <w:sz w:val="24"/>
                <w:szCs w:val="24"/>
                <w:color w:val="auto"/>
              </w:rPr>
            </w:pPr>
          </w:p>
        </w:tc>
      </w:tr>
      <w:tr>
        <w:trPr>
          <w:trHeight w:val="258"/>
        </w:trPr>
        <w:tc>
          <w:tcPr>
            <w:tcW w:w="1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0" w:type="dxa"/>
            <w:vAlign w:val="bottom"/>
            <w:gridSpan w:val="6"/>
          </w:tcPr>
          <w:p>
            <w:pPr>
              <w:jc w:val="center"/>
              <w:ind w:right="121"/>
              <w:spacing w:after="0"/>
              <w:rPr>
                <w:sz w:val="20"/>
                <w:szCs w:val="20"/>
                <w:color w:val="auto"/>
              </w:rPr>
            </w:pPr>
            <w:r>
              <w:rPr>
                <w:rFonts w:ascii="Times New Roman" w:cs="Times New Roman" w:eastAsia="Times New Roman" w:hAnsi="Times New Roman"/>
                <w:sz w:val="20"/>
                <w:szCs w:val="20"/>
                <w:color w:val="auto"/>
                <w:w w:val="99"/>
              </w:rPr>
              <w:t>DEFEASANCE; DISCHARGE OF THIS INDENTURE</w:t>
            </w:r>
          </w:p>
        </w:tc>
      </w:tr>
      <w:tr>
        <w:trPr>
          <w:trHeight w:val="34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8.1.</w:t>
            </w:r>
          </w:p>
        </w:tc>
        <w:tc>
          <w:tcPr>
            <w:tcW w:w="496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rPr>
              <w:t>Option to Effect Legal Defeasance or Covenant Defeasance</w:t>
            </w:r>
          </w:p>
        </w:tc>
        <w:tc>
          <w:tcPr>
            <w:tcW w:w="1860" w:type="dxa"/>
            <w:vAlign w:val="bottom"/>
          </w:tcPr>
          <w:p>
            <w:pPr>
              <w:jc w:val="right"/>
              <w:ind w:right="1541"/>
              <w:spacing w:after="0"/>
              <w:rPr>
                <w:sz w:val="20"/>
                <w:szCs w:val="20"/>
                <w:color w:val="auto"/>
              </w:rPr>
            </w:pPr>
            <w:r>
              <w:rPr>
                <w:rFonts w:ascii="Times New Roman" w:cs="Times New Roman" w:eastAsia="Times New Roman" w:hAnsi="Times New Roman"/>
                <w:sz w:val="20"/>
                <w:szCs w:val="20"/>
                <w:color w:val="auto"/>
                <w:w w:val="99"/>
              </w:rPr>
              <w:t>84</w:t>
            </w: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8.2.</w:t>
            </w: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Legal Defeasance</w:t>
            </w:r>
          </w:p>
        </w:tc>
        <w:tc>
          <w:tcPr>
            <w:tcW w:w="42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84</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9939"/>
          </w:cols>
          <w:pgMar w:left="520" w:top="1440" w:right="1440" w:bottom="1158"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8.3.</w:t>
            </w:r>
          </w:p>
        </w:tc>
        <w:tc>
          <w:tcPr>
            <w:tcW w:w="182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Covenant Defeasance</w:t>
            </w:r>
          </w:p>
        </w:tc>
        <w:tc>
          <w:tcPr>
            <w:tcW w:w="6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85</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40" w:type="dxa"/>
            <w:vAlign w:val="bottom"/>
          </w:tcPr>
          <w:p>
            <w:pPr>
              <w:spacing w:after="0"/>
              <w:rPr>
                <w:sz w:val="22"/>
                <w:szCs w:val="22"/>
                <w:color w:val="auto"/>
              </w:rPr>
            </w:pPr>
          </w:p>
        </w:tc>
      </w:tr>
      <w:tr>
        <w:trPr>
          <w:trHeight w:val="26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8.4.</w:t>
            </w:r>
          </w:p>
        </w:tc>
        <w:tc>
          <w:tcPr>
            <w:tcW w:w="8780" w:type="dxa"/>
            <w:vAlign w:val="bottom"/>
            <w:gridSpan w:val="10"/>
          </w:tcPr>
          <w:p>
            <w:pPr>
              <w:ind w:left="20"/>
              <w:spacing w:after="0"/>
              <w:rPr>
                <w:sz w:val="20"/>
                <w:szCs w:val="20"/>
                <w:color w:val="auto"/>
              </w:rPr>
            </w:pPr>
            <w:r>
              <w:rPr>
                <w:rFonts w:ascii="Times New Roman" w:cs="Times New Roman" w:eastAsia="Times New Roman" w:hAnsi="Times New Roman"/>
                <w:sz w:val="20"/>
                <w:szCs w:val="20"/>
                <w:color w:val="auto"/>
              </w:rPr>
              <w:t>Conditions to Legal or Covenant Defeasance  85</w:t>
            </w:r>
          </w:p>
        </w:tc>
      </w:tr>
      <w:tr>
        <w:trPr>
          <w:trHeight w:val="25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8.5.</w:t>
            </w:r>
          </w:p>
        </w:tc>
        <w:tc>
          <w:tcPr>
            <w:tcW w:w="8780" w:type="dxa"/>
            <w:vAlign w:val="bottom"/>
            <w:gridSpan w:val="10"/>
          </w:tcPr>
          <w:p>
            <w:pPr>
              <w:ind w:left="20"/>
              <w:spacing w:after="0"/>
              <w:rPr>
                <w:sz w:val="20"/>
                <w:szCs w:val="20"/>
                <w:color w:val="auto"/>
              </w:rPr>
            </w:pPr>
            <w:r>
              <w:rPr>
                <w:rFonts w:ascii="Times New Roman" w:cs="Times New Roman" w:eastAsia="Times New Roman" w:hAnsi="Times New Roman"/>
                <w:sz w:val="20"/>
                <w:szCs w:val="20"/>
                <w:color w:val="auto"/>
                <w:w w:val="99"/>
              </w:rPr>
              <w:t>Deposited Money and U.S. Government Obligations to Be Held in Trust; Other Miscellaneous Provisions  86</w:t>
            </w:r>
          </w:p>
        </w:tc>
      </w:tr>
      <w:tr>
        <w:trPr>
          <w:trHeight w:val="26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8.6.</w:t>
            </w:r>
          </w:p>
        </w:tc>
        <w:tc>
          <w:tcPr>
            <w:tcW w:w="182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Repayment to Issuer</w:t>
            </w:r>
          </w:p>
        </w:tc>
        <w:tc>
          <w:tcPr>
            <w:tcW w:w="64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w w:val="99"/>
              </w:rPr>
              <w:t>86</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40" w:type="dxa"/>
            <w:vAlign w:val="bottom"/>
          </w:tcPr>
          <w:p>
            <w:pPr>
              <w:spacing w:after="0"/>
              <w:rPr>
                <w:sz w:val="23"/>
                <w:szCs w:val="23"/>
                <w:color w:val="auto"/>
              </w:rPr>
            </w:pPr>
          </w:p>
        </w:tc>
      </w:tr>
      <w:tr>
        <w:trPr>
          <w:trHeight w:val="25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8.7.</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9"/>
              </w:rPr>
              <w:t>Reinstatement</w:t>
            </w:r>
          </w:p>
        </w:tc>
        <w:tc>
          <w:tcPr>
            <w:tcW w:w="3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89"/>
              </w:rPr>
              <w:t>87</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40" w:type="dxa"/>
            <w:vAlign w:val="bottom"/>
          </w:tcPr>
          <w:p>
            <w:pPr>
              <w:spacing w:after="0"/>
              <w:rPr>
                <w:sz w:val="22"/>
                <w:szCs w:val="22"/>
                <w:color w:val="auto"/>
              </w:rPr>
            </w:pPr>
          </w:p>
        </w:tc>
      </w:tr>
      <w:tr>
        <w:trPr>
          <w:trHeight w:val="27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8.8.</w:t>
            </w: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Discharge</w:t>
            </w:r>
          </w:p>
        </w:tc>
        <w:tc>
          <w:tcPr>
            <w:tcW w:w="70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87</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40" w:type="dxa"/>
            <w:vAlign w:val="bottom"/>
          </w:tcPr>
          <w:p>
            <w:pPr>
              <w:spacing w:after="0"/>
              <w:rPr>
                <w:sz w:val="23"/>
                <w:szCs w:val="23"/>
                <w:color w:val="auto"/>
              </w:rPr>
            </w:pPr>
          </w:p>
        </w:tc>
      </w:tr>
      <w:tr>
        <w:trPr>
          <w:trHeight w:val="309"/>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0" w:type="dxa"/>
            <w:vAlign w:val="bottom"/>
            <w:gridSpan w:val="2"/>
          </w:tcPr>
          <w:p>
            <w:pPr>
              <w:jc w:val="center"/>
              <w:ind w:right="3541"/>
              <w:spacing w:after="0"/>
              <w:rPr>
                <w:sz w:val="20"/>
                <w:szCs w:val="20"/>
                <w:color w:val="auto"/>
              </w:rPr>
            </w:pPr>
            <w:r>
              <w:rPr>
                <w:rFonts w:ascii="Times New Roman" w:cs="Times New Roman" w:eastAsia="Times New Roman" w:hAnsi="Times New Roman"/>
                <w:sz w:val="20"/>
                <w:szCs w:val="20"/>
                <w:color w:val="auto"/>
                <w:w w:val="97"/>
              </w:rPr>
              <w:t>ARTICLE IX</w:t>
            </w:r>
          </w:p>
        </w:tc>
      </w:tr>
      <w:tr>
        <w:trPr>
          <w:trHeight w:val="258"/>
        </w:trPr>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960" w:type="dxa"/>
            <w:vAlign w:val="bottom"/>
            <w:gridSpan w:val="6"/>
          </w:tcPr>
          <w:p>
            <w:pPr>
              <w:jc w:val="center"/>
              <w:ind w:right="1961"/>
              <w:spacing w:after="0"/>
              <w:rPr>
                <w:sz w:val="20"/>
                <w:szCs w:val="20"/>
                <w:color w:val="auto"/>
              </w:rPr>
            </w:pPr>
            <w:r>
              <w:rPr>
                <w:rFonts w:ascii="Times New Roman" w:cs="Times New Roman" w:eastAsia="Times New Roman" w:hAnsi="Times New Roman"/>
                <w:sz w:val="20"/>
                <w:szCs w:val="20"/>
                <w:color w:val="auto"/>
                <w:w w:val="97"/>
              </w:rPr>
              <w:t>AMENDMENT, SUPPLEMENT AND WAIVER</w:t>
            </w:r>
          </w:p>
        </w:tc>
      </w:tr>
      <w:tr>
        <w:trPr>
          <w:trHeight w:val="351"/>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9.1.</w:t>
            </w:r>
          </w:p>
        </w:tc>
        <w:tc>
          <w:tcPr>
            <w:tcW w:w="338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auto"/>
              </w:rPr>
              <w:t>Without Consent of Holders of the Notes</w:t>
            </w:r>
          </w:p>
        </w:tc>
        <w:tc>
          <w:tcPr>
            <w:tcW w:w="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88</w:t>
            </w:r>
          </w:p>
        </w:tc>
        <w:tc>
          <w:tcPr>
            <w:tcW w:w="4840" w:type="dxa"/>
            <w:vAlign w:val="bottom"/>
          </w:tcPr>
          <w:p>
            <w:pPr>
              <w:spacing w:after="0"/>
              <w:rPr>
                <w:sz w:val="24"/>
                <w:szCs w:val="24"/>
                <w:color w:val="auto"/>
              </w:rPr>
            </w:pPr>
          </w:p>
        </w:tc>
      </w:tr>
      <w:tr>
        <w:trPr>
          <w:trHeight w:val="26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9.2.</w:t>
            </w:r>
          </w:p>
        </w:tc>
        <w:tc>
          <w:tcPr>
            <w:tcW w:w="278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With Consent of Holders of Notes</w:t>
            </w:r>
          </w:p>
        </w:tc>
        <w:tc>
          <w:tcPr>
            <w:tcW w:w="120" w:type="dxa"/>
            <w:vAlign w:val="bottom"/>
          </w:tcPr>
          <w:p>
            <w:pPr>
              <w:spacing w:after="0"/>
              <w:rPr>
                <w:sz w:val="23"/>
                <w:szCs w:val="23"/>
                <w:color w:val="auto"/>
              </w:rPr>
            </w:pPr>
          </w:p>
        </w:tc>
        <w:tc>
          <w:tcPr>
            <w:tcW w:w="4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89</w:t>
            </w:r>
          </w:p>
        </w:tc>
        <w:tc>
          <w:tcPr>
            <w:tcW w:w="560" w:type="dxa"/>
            <w:vAlign w:val="bottom"/>
          </w:tcPr>
          <w:p>
            <w:pPr>
              <w:spacing w:after="0"/>
              <w:rPr>
                <w:sz w:val="23"/>
                <w:szCs w:val="23"/>
                <w:color w:val="auto"/>
              </w:rPr>
            </w:pPr>
          </w:p>
        </w:tc>
        <w:tc>
          <w:tcPr>
            <w:tcW w:w="4840" w:type="dxa"/>
            <w:vAlign w:val="bottom"/>
          </w:tcPr>
          <w:p>
            <w:pPr>
              <w:spacing w:after="0"/>
              <w:rPr>
                <w:sz w:val="23"/>
                <w:szCs w:val="23"/>
                <w:color w:val="auto"/>
              </w:rPr>
            </w:pPr>
          </w:p>
        </w:tc>
      </w:tr>
      <w:tr>
        <w:trPr>
          <w:trHeight w:val="25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9.3.</w:t>
            </w:r>
          </w:p>
        </w:tc>
        <w:tc>
          <w:tcPr>
            <w:tcW w:w="278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w w:val="98"/>
              </w:rPr>
              <w:t>Revocation and Effect of Consents</w:t>
            </w:r>
          </w:p>
        </w:tc>
        <w:tc>
          <w:tcPr>
            <w:tcW w:w="120" w:type="dxa"/>
            <w:vAlign w:val="bottom"/>
          </w:tcPr>
          <w:p>
            <w:pPr>
              <w:spacing w:after="0"/>
              <w:rPr>
                <w:sz w:val="22"/>
                <w:szCs w:val="22"/>
                <w:color w:val="auto"/>
              </w:rPr>
            </w:pPr>
          </w:p>
        </w:tc>
        <w:tc>
          <w:tcPr>
            <w:tcW w:w="4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90</w:t>
            </w:r>
          </w:p>
        </w:tc>
        <w:tc>
          <w:tcPr>
            <w:tcW w:w="560" w:type="dxa"/>
            <w:vAlign w:val="bottom"/>
          </w:tcPr>
          <w:p>
            <w:pPr>
              <w:spacing w:after="0"/>
              <w:rPr>
                <w:sz w:val="22"/>
                <w:szCs w:val="22"/>
                <w:color w:val="auto"/>
              </w:rPr>
            </w:pPr>
          </w:p>
        </w:tc>
        <w:tc>
          <w:tcPr>
            <w:tcW w:w="4840" w:type="dxa"/>
            <w:vAlign w:val="bottom"/>
          </w:tcPr>
          <w:p>
            <w:pPr>
              <w:spacing w:after="0"/>
              <w:rPr>
                <w:sz w:val="22"/>
                <w:szCs w:val="22"/>
                <w:color w:val="auto"/>
              </w:rPr>
            </w:pPr>
          </w:p>
        </w:tc>
      </w:tr>
      <w:tr>
        <w:trPr>
          <w:trHeight w:val="26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9.4.</w:t>
            </w:r>
          </w:p>
        </w:tc>
        <w:tc>
          <w:tcPr>
            <w:tcW w:w="278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Notation on or Exchange of Notes</w:t>
            </w:r>
          </w:p>
        </w:tc>
        <w:tc>
          <w:tcPr>
            <w:tcW w:w="120" w:type="dxa"/>
            <w:vAlign w:val="bottom"/>
          </w:tcPr>
          <w:p>
            <w:pPr>
              <w:spacing w:after="0"/>
              <w:rPr>
                <w:sz w:val="23"/>
                <w:szCs w:val="23"/>
                <w:color w:val="auto"/>
              </w:rPr>
            </w:pPr>
          </w:p>
        </w:tc>
        <w:tc>
          <w:tcPr>
            <w:tcW w:w="4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90</w:t>
            </w:r>
          </w:p>
        </w:tc>
        <w:tc>
          <w:tcPr>
            <w:tcW w:w="560" w:type="dxa"/>
            <w:vAlign w:val="bottom"/>
          </w:tcPr>
          <w:p>
            <w:pPr>
              <w:spacing w:after="0"/>
              <w:rPr>
                <w:sz w:val="23"/>
                <w:szCs w:val="23"/>
                <w:color w:val="auto"/>
              </w:rPr>
            </w:pPr>
          </w:p>
        </w:tc>
        <w:tc>
          <w:tcPr>
            <w:tcW w:w="4840" w:type="dxa"/>
            <w:vAlign w:val="bottom"/>
          </w:tcPr>
          <w:p>
            <w:pPr>
              <w:spacing w:after="0"/>
              <w:rPr>
                <w:sz w:val="23"/>
                <w:szCs w:val="23"/>
                <w:color w:val="auto"/>
              </w:rPr>
            </w:pPr>
          </w:p>
        </w:tc>
      </w:tr>
      <w:tr>
        <w:trPr>
          <w:trHeight w:val="25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9.5.</w:t>
            </w:r>
          </w:p>
        </w:tc>
        <w:tc>
          <w:tcPr>
            <w:tcW w:w="278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Trustee to Sign Amendments, Etc</w:t>
            </w:r>
          </w:p>
        </w:tc>
        <w:tc>
          <w:tcPr>
            <w:tcW w:w="60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90</w:t>
            </w:r>
          </w:p>
        </w:tc>
        <w:tc>
          <w:tcPr>
            <w:tcW w:w="560" w:type="dxa"/>
            <w:vAlign w:val="bottom"/>
          </w:tcPr>
          <w:p>
            <w:pPr>
              <w:spacing w:after="0"/>
              <w:rPr>
                <w:sz w:val="22"/>
                <w:szCs w:val="22"/>
                <w:color w:val="auto"/>
              </w:rPr>
            </w:pPr>
          </w:p>
        </w:tc>
        <w:tc>
          <w:tcPr>
            <w:tcW w:w="4840" w:type="dxa"/>
            <w:vAlign w:val="bottom"/>
          </w:tcPr>
          <w:p>
            <w:pPr>
              <w:spacing w:after="0"/>
              <w:rPr>
                <w:sz w:val="22"/>
                <w:szCs w:val="22"/>
                <w:color w:val="auto"/>
              </w:rPr>
            </w:pPr>
          </w:p>
        </w:tc>
      </w:tr>
      <w:tr>
        <w:trPr>
          <w:trHeight w:val="309"/>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0" w:type="dxa"/>
            <w:vAlign w:val="bottom"/>
            <w:gridSpan w:val="2"/>
          </w:tcPr>
          <w:p>
            <w:pPr>
              <w:jc w:val="center"/>
              <w:ind w:right="3521"/>
              <w:spacing w:after="0"/>
              <w:rPr>
                <w:sz w:val="20"/>
                <w:szCs w:val="20"/>
                <w:color w:val="auto"/>
              </w:rPr>
            </w:pPr>
            <w:r>
              <w:rPr>
                <w:rFonts w:ascii="Times New Roman" w:cs="Times New Roman" w:eastAsia="Times New Roman" w:hAnsi="Times New Roman"/>
                <w:sz w:val="20"/>
                <w:szCs w:val="20"/>
                <w:color w:val="auto"/>
                <w:w w:val="98"/>
              </w:rPr>
              <w:t>ARTICLE X</w:t>
            </w:r>
          </w:p>
        </w:tc>
      </w:tr>
      <w:tr>
        <w:trPr>
          <w:trHeight w:val="258"/>
        </w:trPr>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0" w:type="dxa"/>
            <w:vAlign w:val="bottom"/>
            <w:gridSpan w:val="2"/>
          </w:tcPr>
          <w:p>
            <w:pPr>
              <w:jc w:val="center"/>
              <w:ind w:right="3541"/>
              <w:spacing w:after="0"/>
              <w:rPr>
                <w:sz w:val="20"/>
                <w:szCs w:val="20"/>
                <w:color w:val="auto"/>
              </w:rPr>
            </w:pPr>
            <w:r>
              <w:rPr>
                <w:rFonts w:ascii="Times New Roman" w:cs="Times New Roman" w:eastAsia="Times New Roman" w:hAnsi="Times New Roman"/>
                <w:sz w:val="20"/>
                <w:szCs w:val="20"/>
                <w:color w:val="auto"/>
                <w:w w:val="98"/>
              </w:rPr>
              <w:t>GUARANTEES</w:t>
            </w:r>
          </w:p>
        </w:tc>
      </w:tr>
      <w:tr>
        <w:trPr>
          <w:trHeight w:val="363"/>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10.1.</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Guarantees</w:t>
            </w:r>
          </w:p>
        </w:tc>
        <w:tc>
          <w:tcPr>
            <w:tcW w:w="3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90</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5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10.2.</w:t>
            </w:r>
          </w:p>
        </w:tc>
        <w:tc>
          <w:tcPr>
            <w:tcW w:w="394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Execution and Delivery of Guarantee  92</w:t>
            </w:r>
          </w:p>
        </w:tc>
        <w:tc>
          <w:tcPr>
            <w:tcW w:w="4840" w:type="dxa"/>
            <w:vAlign w:val="bottom"/>
          </w:tcPr>
          <w:p>
            <w:pPr>
              <w:spacing w:after="0"/>
              <w:rPr>
                <w:sz w:val="22"/>
                <w:szCs w:val="22"/>
                <w:color w:val="auto"/>
              </w:rPr>
            </w:pPr>
          </w:p>
        </w:tc>
      </w:tr>
      <w:tr>
        <w:trPr>
          <w:trHeight w:val="26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10.3.</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Severability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40" w:type="dxa"/>
            <w:vAlign w:val="bottom"/>
          </w:tcPr>
          <w:p>
            <w:pPr>
              <w:spacing w:after="0"/>
              <w:rPr>
                <w:sz w:val="23"/>
                <w:szCs w:val="23"/>
                <w:color w:val="auto"/>
              </w:rPr>
            </w:pPr>
          </w:p>
        </w:tc>
      </w:tr>
      <w:tr>
        <w:trPr>
          <w:trHeight w:val="25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10.4.</w:t>
            </w:r>
          </w:p>
        </w:tc>
        <w:tc>
          <w:tcPr>
            <w:tcW w:w="290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w w:val="98"/>
              </w:rPr>
              <w:t>Limitation of Guarantors’ Liability</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560" w:type="dxa"/>
            <w:vAlign w:val="bottom"/>
          </w:tcPr>
          <w:p>
            <w:pPr>
              <w:spacing w:after="0"/>
              <w:rPr>
                <w:sz w:val="22"/>
                <w:szCs w:val="22"/>
                <w:color w:val="auto"/>
              </w:rPr>
            </w:pPr>
          </w:p>
        </w:tc>
        <w:tc>
          <w:tcPr>
            <w:tcW w:w="4840" w:type="dxa"/>
            <w:vAlign w:val="bottom"/>
          </w:tcPr>
          <w:p>
            <w:pPr>
              <w:spacing w:after="0"/>
              <w:rPr>
                <w:sz w:val="22"/>
                <w:szCs w:val="22"/>
                <w:color w:val="auto"/>
              </w:rPr>
            </w:pPr>
          </w:p>
        </w:tc>
      </w:tr>
      <w:tr>
        <w:trPr>
          <w:trHeight w:val="27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10.5.</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Releases</w:t>
            </w:r>
          </w:p>
        </w:tc>
        <w:tc>
          <w:tcPr>
            <w:tcW w:w="70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92</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40" w:type="dxa"/>
            <w:vAlign w:val="bottom"/>
          </w:tcPr>
          <w:p>
            <w:pPr>
              <w:spacing w:after="0"/>
              <w:rPr>
                <w:sz w:val="23"/>
                <w:szCs w:val="23"/>
                <w:color w:val="auto"/>
              </w:rPr>
            </w:pPr>
          </w:p>
        </w:tc>
      </w:tr>
      <w:tr>
        <w:trPr>
          <w:trHeight w:val="26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10.6.</w:t>
            </w:r>
          </w:p>
        </w:tc>
        <w:tc>
          <w:tcPr>
            <w:tcW w:w="246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Benefits Acknowledged  93</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40" w:type="dxa"/>
            <w:vAlign w:val="bottom"/>
          </w:tcPr>
          <w:p>
            <w:pPr>
              <w:spacing w:after="0"/>
              <w:rPr>
                <w:sz w:val="23"/>
                <w:szCs w:val="23"/>
                <w:color w:val="auto"/>
              </w:rPr>
            </w:pPr>
          </w:p>
        </w:tc>
      </w:tr>
      <w:tr>
        <w:trPr>
          <w:trHeight w:val="25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10.7.</w:t>
            </w:r>
          </w:p>
        </w:tc>
        <w:tc>
          <w:tcPr>
            <w:tcW w:w="18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Foreign Limitations</w:t>
            </w:r>
          </w:p>
        </w:tc>
        <w:tc>
          <w:tcPr>
            <w:tcW w:w="64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93</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40" w:type="dxa"/>
            <w:vAlign w:val="bottom"/>
          </w:tcPr>
          <w:p>
            <w:pPr>
              <w:spacing w:after="0"/>
              <w:rPr>
                <w:sz w:val="22"/>
                <w:szCs w:val="22"/>
                <w:color w:val="auto"/>
              </w:rPr>
            </w:pPr>
          </w:p>
        </w:tc>
      </w:tr>
      <w:tr>
        <w:trPr>
          <w:trHeight w:val="309"/>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0" w:type="dxa"/>
            <w:vAlign w:val="bottom"/>
            <w:gridSpan w:val="2"/>
          </w:tcPr>
          <w:p>
            <w:pPr>
              <w:jc w:val="center"/>
              <w:ind w:right="3541"/>
              <w:spacing w:after="0"/>
              <w:rPr>
                <w:sz w:val="20"/>
                <w:szCs w:val="20"/>
                <w:color w:val="auto"/>
              </w:rPr>
            </w:pPr>
            <w:r>
              <w:rPr>
                <w:rFonts w:ascii="Times New Roman" w:cs="Times New Roman" w:eastAsia="Times New Roman" w:hAnsi="Times New Roman"/>
                <w:sz w:val="20"/>
                <w:szCs w:val="20"/>
                <w:color w:val="auto"/>
                <w:w w:val="97"/>
              </w:rPr>
              <w:t>ARTICLE XI</w:t>
            </w:r>
          </w:p>
        </w:tc>
      </w:tr>
      <w:tr>
        <w:trPr>
          <w:trHeight w:val="258"/>
        </w:trPr>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0" w:type="dxa"/>
            <w:vAlign w:val="bottom"/>
            <w:gridSpan w:val="2"/>
          </w:tcPr>
          <w:p>
            <w:pPr>
              <w:jc w:val="center"/>
              <w:ind w:right="3541"/>
              <w:spacing w:after="0"/>
              <w:rPr>
                <w:sz w:val="20"/>
                <w:szCs w:val="20"/>
                <w:color w:val="auto"/>
              </w:rPr>
            </w:pPr>
            <w:r>
              <w:rPr>
                <w:rFonts w:ascii="Times New Roman" w:cs="Times New Roman" w:eastAsia="Times New Roman" w:hAnsi="Times New Roman"/>
                <w:sz w:val="20"/>
                <w:szCs w:val="20"/>
                <w:color w:val="auto"/>
                <w:w w:val="98"/>
              </w:rPr>
              <w:t>MISCELLANEOUS</w:t>
            </w:r>
          </w:p>
        </w:tc>
      </w:tr>
      <w:tr>
        <w:trPr>
          <w:trHeight w:val="351"/>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11.1.</w:t>
            </w:r>
          </w:p>
        </w:tc>
        <w:tc>
          <w:tcPr>
            <w:tcW w:w="27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Concerning the Trust Indenture</w:t>
            </w:r>
          </w:p>
        </w:tc>
        <w:tc>
          <w:tcPr>
            <w:tcW w:w="60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color w:val="auto"/>
                <w:w w:val="99"/>
              </w:rPr>
              <w:t>98</w:t>
            </w:r>
          </w:p>
        </w:tc>
        <w:tc>
          <w:tcPr>
            <w:tcW w:w="56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6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11.2.</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Notices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40" w:type="dxa"/>
            <w:vAlign w:val="bottom"/>
          </w:tcPr>
          <w:p>
            <w:pPr>
              <w:spacing w:after="0"/>
              <w:rPr>
                <w:sz w:val="23"/>
                <w:szCs w:val="23"/>
                <w:color w:val="auto"/>
              </w:rPr>
            </w:pPr>
          </w:p>
        </w:tc>
      </w:tr>
      <w:tr>
        <w:trPr>
          <w:trHeight w:val="25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11.3.</w:t>
            </w:r>
          </w:p>
        </w:tc>
        <w:tc>
          <w:tcPr>
            <w:tcW w:w="878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Certificate and Opinion as to Conditions Precedent  99</w:t>
            </w:r>
          </w:p>
        </w:tc>
      </w:tr>
      <w:tr>
        <w:trPr>
          <w:trHeight w:val="27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11.4.</w:t>
            </w:r>
          </w:p>
        </w:tc>
        <w:tc>
          <w:tcPr>
            <w:tcW w:w="394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Statements Required in Certificate or Opinion</w:t>
            </w:r>
          </w:p>
        </w:tc>
        <w:tc>
          <w:tcPr>
            <w:tcW w:w="4840" w:type="dxa"/>
            <w:vAlign w:val="bottom"/>
          </w:tcPr>
          <w:p>
            <w:pPr>
              <w:jc w:val="right"/>
              <w:ind w:right="4521"/>
              <w:spacing w:after="0"/>
              <w:rPr>
                <w:sz w:val="20"/>
                <w:szCs w:val="20"/>
                <w:color w:val="auto"/>
              </w:rPr>
            </w:pPr>
            <w:r>
              <w:rPr>
                <w:rFonts w:ascii="Times New Roman" w:cs="Times New Roman" w:eastAsia="Times New Roman" w:hAnsi="Times New Roman"/>
                <w:sz w:val="20"/>
                <w:szCs w:val="20"/>
                <w:color w:val="auto"/>
                <w:w w:val="99"/>
              </w:rPr>
              <w:t>99</w:t>
            </w:r>
          </w:p>
        </w:tc>
      </w:tr>
      <w:tr>
        <w:trPr>
          <w:trHeight w:val="26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11.5.</w:t>
            </w:r>
          </w:p>
        </w:tc>
        <w:tc>
          <w:tcPr>
            <w:tcW w:w="246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Rules by Trustee and Agents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40" w:type="dxa"/>
            <w:vAlign w:val="bottom"/>
          </w:tcPr>
          <w:p>
            <w:pPr>
              <w:spacing w:after="0"/>
              <w:rPr>
                <w:sz w:val="23"/>
                <w:szCs w:val="23"/>
                <w:color w:val="auto"/>
              </w:rPr>
            </w:pPr>
          </w:p>
        </w:tc>
      </w:tr>
      <w:tr>
        <w:trPr>
          <w:trHeight w:val="25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11.6.</w:t>
            </w:r>
          </w:p>
        </w:tc>
        <w:tc>
          <w:tcPr>
            <w:tcW w:w="878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No Personal Liability of Directors, Officers, Employees and Stockholders  100</w:t>
            </w:r>
          </w:p>
        </w:tc>
      </w:tr>
      <w:tr>
        <w:trPr>
          <w:trHeight w:val="26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11.7.</w:t>
            </w:r>
          </w:p>
        </w:tc>
        <w:tc>
          <w:tcPr>
            <w:tcW w:w="338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Governing Law; Consent to Jurisdiction</w:t>
            </w:r>
          </w:p>
        </w:tc>
        <w:tc>
          <w:tcPr>
            <w:tcW w:w="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100</w:t>
            </w:r>
          </w:p>
        </w:tc>
        <w:tc>
          <w:tcPr>
            <w:tcW w:w="4840" w:type="dxa"/>
            <w:vAlign w:val="bottom"/>
          </w:tcPr>
          <w:p>
            <w:pPr>
              <w:spacing w:after="0"/>
              <w:rPr>
                <w:sz w:val="23"/>
                <w:szCs w:val="23"/>
                <w:color w:val="auto"/>
              </w:rPr>
            </w:pPr>
          </w:p>
        </w:tc>
      </w:tr>
      <w:tr>
        <w:trPr>
          <w:trHeight w:val="25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11.8.</w:t>
            </w:r>
          </w:p>
        </w:tc>
        <w:tc>
          <w:tcPr>
            <w:tcW w:w="394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w w:val="99"/>
              </w:rPr>
              <w:t>No Adverse Interpretation of Other Agreements</w:t>
            </w:r>
          </w:p>
        </w:tc>
        <w:tc>
          <w:tcPr>
            <w:tcW w:w="4840" w:type="dxa"/>
            <w:vAlign w:val="bottom"/>
          </w:tcPr>
          <w:p>
            <w:pPr>
              <w:jc w:val="center"/>
              <w:ind w:right="4121"/>
              <w:spacing w:after="0"/>
              <w:rPr>
                <w:sz w:val="20"/>
                <w:szCs w:val="20"/>
                <w:color w:val="auto"/>
              </w:rPr>
            </w:pPr>
            <w:r>
              <w:rPr>
                <w:rFonts w:ascii="Times New Roman" w:cs="Times New Roman" w:eastAsia="Times New Roman" w:hAnsi="Times New Roman"/>
                <w:sz w:val="20"/>
                <w:szCs w:val="20"/>
                <w:color w:val="auto"/>
                <w:w w:val="99"/>
              </w:rPr>
              <w:t>100</w:t>
            </w:r>
          </w:p>
        </w:tc>
      </w:tr>
      <w:tr>
        <w:trPr>
          <w:trHeight w:val="27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Section 11.9.</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Successors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101</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40" w:type="dxa"/>
            <w:vAlign w:val="bottom"/>
          </w:tcPr>
          <w:p>
            <w:pPr>
              <w:spacing w:after="0"/>
              <w:rPr>
                <w:sz w:val="23"/>
                <w:szCs w:val="23"/>
                <w:color w:val="auto"/>
              </w:rPr>
            </w:pPr>
          </w:p>
        </w:tc>
      </w:tr>
      <w:tr>
        <w:trPr>
          <w:trHeight w:val="26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Section 11.10.</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7"/>
              </w:rPr>
              <w:t>Severability</w:t>
            </w: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101</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40" w:type="dxa"/>
            <w:vAlign w:val="bottom"/>
          </w:tcPr>
          <w:p>
            <w:pPr>
              <w:spacing w:after="0"/>
              <w:rPr>
                <w:sz w:val="23"/>
                <w:szCs w:val="23"/>
                <w:color w:val="auto"/>
              </w:rPr>
            </w:pPr>
          </w:p>
        </w:tc>
      </w:tr>
      <w:tr>
        <w:trPr>
          <w:trHeight w:val="25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Section 11.11.</w:t>
            </w:r>
          </w:p>
        </w:tc>
        <w:tc>
          <w:tcPr>
            <w:tcW w:w="246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Execution in Counterparts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40" w:type="dxa"/>
            <w:vAlign w:val="bottom"/>
          </w:tcPr>
          <w:p>
            <w:pPr>
              <w:spacing w:after="0"/>
              <w:rPr>
                <w:sz w:val="22"/>
                <w:szCs w:val="22"/>
                <w:color w:val="auto"/>
              </w:rPr>
            </w:pPr>
          </w:p>
        </w:tc>
      </w:tr>
      <w:tr>
        <w:trPr>
          <w:trHeight w:val="26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Section 11.12.</w:t>
            </w:r>
          </w:p>
        </w:tc>
        <w:tc>
          <w:tcPr>
            <w:tcW w:w="2900" w:type="dxa"/>
            <w:vAlign w:val="bottom"/>
            <w:gridSpan w:val="7"/>
          </w:tcPr>
          <w:p>
            <w:pPr>
              <w:ind w:left="220"/>
              <w:spacing w:after="0"/>
              <w:rPr>
                <w:sz w:val="20"/>
                <w:szCs w:val="20"/>
                <w:color w:val="auto"/>
              </w:rPr>
            </w:pPr>
            <w:r>
              <w:rPr>
                <w:rFonts w:ascii="Times New Roman" w:cs="Times New Roman" w:eastAsia="Times New Roman" w:hAnsi="Times New Roman"/>
                <w:sz w:val="20"/>
                <w:szCs w:val="20"/>
                <w:color w:val="auto"/>
              </w:rPr>
              <w:t>Table of Contents, Headings, Etc</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560" w:type="dxa"/>
            <w:vAlign w:val="bottom"/>
          </w:tcPr>
          <w:p>
            <w:pPr>
              <w:spacing w:after="0"/>
              <w:rPr>
                <w:sz w:val="23"/>
                <w:szCs w:val="23"/>
                <w:color w:val="auto"/>
              </w:rPr>
            </w:pPr>
          </w:p>
        </w:tc>
        <w:tc>
          <w:tcPr>
            <w:tcW w:w="4840" w:type="dxa"/>
            <w:vAlign w:val="bottom"/>
          </w:tcPr>
          <w:p>
            <w:pPr>
              <w:spacing w:after="0"/>
              <w:rPr>
                <w:sz w:val="23"/>
                <w:szCs w:val="23"/>
                <w:color w:val="auto"/>
              </w:rPr>
            </w:pPr>
          </w:p>
        </w:tc>
      </w:tr>
      <w:tr>
        <w:trPr>
          <w:trHeight w:val="25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Section 11.13.</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Acts of Holders</w:t>
            </w:r>
          </w:p>
        </w:tc>
        <w:tc>
          <w:tcPr>
            <w:tcW w:w="900" w:type="dxa"/>
            <w:vAlign w:val="bottom"/>
            <w:gridSpan w:val="2"/>
          </w:tcPr>
          <w:p>
            <w:pPr>
              <w:jc w:val="right"/>
              <w:ind w:right="401"/>
              <w:spacing w:after="0"/>
              <w:rPr>
                <w:sz w:val="20"/>
                <w:szCs w:val="20"/>
                <w:color w:val="auto"/>
              </w:rPr>
            </w:pPr>
            <w:r>
              <w:rPr>
                <w:rFonts w:ascii="Times New Roman" w:cs="Times New Roman" w:eastAsia="Times New Roman" w:hAnsi="Times New Roman"/>
                <w:sz w:val="20"/>
                <w:szCs w:val="20"/>
                <w:color w:val="auto"/>
              </w:rPr>
              <w:t>101</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40" w:type="dxa"/>
            <w:vAlign w:val="bottom"/>
          </w:tcPr>
          <w:p>
            <w:pPr>
              <w:spacing w:after="0"/>
              <w:rPr>
                <w:sz w:val="22"/>
                <w:szCs w:val="22"/>
                <w:color w:val="auto"/>
              </w:rPr>
            </w:pPr>
          </w:p>
        </w:tc>
      </w:tr>
      <w:tr>
        <w:trPr>
          <w:trHeight w:val="27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Section 11.14.</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Force Majeure</w:t>
            </w:r>
          </w:p>
        </w:tc>
        <w:tc>
          <w:tcPr>
            <w:tcW w:w="900" w:type="dxa"/>
            <w:vAlign w:val="bottom"/>
            <w:gridSpan w:val="2"/>
          </w:tcPr>
          <w:p>
            <w:pPr>
              <w:jc w:val="right"/>
              <w:ind w:right="501"/>
              <w:spacing w:after="0"/>
              <w:rPr>
                <w:sz w:val="20"/>
                <w:szCs w:val="20"/>
                <w:color w:val="auto"/>
              </w:rPr>
            </w:pPr>
            <w:r>
              <w:rPr>
                <w:rFonts w:ascii="Times New Roman" w:cs="Times New Roman" w:eastAsia="Times New Roman" w:hAnsi="Times New Roman"/>
                <w:sz w:val="20"/>
                <w:szCs w:val="20"/>
                <w:color w:val="auto"/>
                <w:w w:val="93"/>
              </w:rPr>
              <w:t>102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40" w:type="dxa"/>
            <w:vAlign w:val="bottom"/>
          </w:tcPr>
          <w:p>
            <w:pPr>
              <w:spacing w:after="0"/>
              <w:rPr>
                <w:sz w:val="23"/>
                <w:szCs w:val="23"/>
                <w:color w:val="auto"/>
              </w:rPr>
            </w:pPr>
          </w:p>
        </w:tc>
      </w:tr>
      <w:tr>
        <w:trPr>
          <w:trHeight w:val="26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Section 11.15.</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Legal Holidays</w:t>
            </w:r>
          </w:p>
        </w:tc>
        <w:tc>
          <w:tcPr>
            <w:tcW w:w="900" w:type="dxa"/>
            <w:vAlign w:val="bottom"/>
            <w:gridSpan w:val="2"/>
          </w:tcPr>
          <w:p>
            <w:pPr>
              <w:jc w:val="right"/>
              <w:ind w:right="441"/>
              <w:spacing w:after="0"/>
              <w:rPr>
                <w:sz w:val="20"/>
                <w:szCs w:val="20"/>
                <w:color w:val="auto"/>
              </w:rPr>
            </w:pPr>
            <w:r>
              <w:rPr>
                <w:rFonts w:ascii="Times New Roman" w:cs="Times New Roman" w:eastAsia="Times New Roman" w:hAnsi="Times New Roman"/>
                <w:sz w:val="20"/>
                <w:szCs w:val="20"/>
                <w:color w:val="auto"/>
              </w:rPr>
              <w:t>102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40" w:type="dxa"/>
            <w:vAlign w:val="bottom"/>
          </w:tcPr>
          <w:p>
            <w:pPr>
              <w:spacing w:after="0"/>
              <w:rPr>
                <w:sz w:val="23"/>
                <w:szCs w:val="23"/>
                <w:color w:val="auto"/>
              </w:rPr>
            </w:pPr>
          </w:p>
        </w:tc>
      </w:tr>
      <w:tr>
        <w:trPr>
          <w:trHeight w:val="258"/>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Section 11.16.</w:t>
            </w:r>
          </w:p>
        </w:tc>
        <w:tc>
          <w:tcPr>
            <w:tcW w:w="182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w w:val="96"/>
              </w:rPr>
              <w:t>USA PATRIOT Act</w:t>
            </w:r>
          </w:p>
        </w:tc>
        <w:tc>
          <w:tcPr>
            <w:tcW w:w="6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102</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40" w:type="dxa"/>
            <w:vAlign w:val="bottom"/>
          </w:tcPr>
          <w:p>
            <w:pPr>
              <w:spacing w:after="0"/>
              <w:rPr>
                <w:sz w:val="22"/>
                <w:szCs w:val="22"/>
                <w:color w:val="auto"/>
              </w:rPr>
            </w:pPr>
          </w:p>
        </w:tc>
      </w:tr>
      <w:tr>
        <w:trPr>
          <w:trHeight w:val="27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Section 11.17.</w:t>
            </w:r>
          </w:p>
        </w:tc>
        <w:tc>
          <w:tcPr>
            <w:tcW w:w="182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w w:val="96"/>
              </w:rPr>
              <w:t>Waiver of Jury Trial</w:t>
            </w:r>
          </w:p>
        </w:tc>
        <w:tc>
          <w:tcPr>
            <w:tcW w:w="6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40" w:type="dxa"/>
            <w:vAlign w:val="bottom"/>
          </w:tcPr>
          <w:p>
            <w:pPr>
              <w:spacing w:after="0"/>
              <w:rPr>
                <w:sz w:val="23"/>
                <w:szCs w:val="23"/>
                <w:color w:val="auto"/>
              </w:rPr>
            </w:pPr>
          </w:p>
        </w:tc>
      </w:tr>
      <w:tr>
        <w:trPr>
          <w:trHeight w:val="426"/>
        </w:trPr>
        <w:tc>
          <w:tcPr>
            <w:tcW w:w="1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Exhibits</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524"/>
        </w:trPr>
        <w:tc>
          <w:tcPr>
            <w:tcW w:w="13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Exhibit A</w:t>
            </w:r>
          </w:p>
        </w:tc>
        <w:tc>
          <w:tcPr>
            <w:tcW w:w="15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Form of Note</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58"/>
        </w:trPr>
        <w:tc>
          <w:tcPr>
            <w:tcW w:w="13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Exhibit B</w:t>
            </w:r>
          </w:p>
        </w:tc>
        <w:tc>
          <w:tcPr>
            <w:tcW w:w="8780" w:type="dxa"/>
            <w:vAlign w:val="bottom"/>
            <w:gridSpan w:val="10"/>
          </w:tcPr>
          <w:p>
            <w:pPr>
              <w:ind w:left="280"/>
              <w:spacing w:after="0"/>
              <w:rPr>
                <w:sz w:val="20"/>
                <w:szCs w:val="20"/>
                <w:color w:val="auto"/>
              </w:rPr>
            </w:pPr>
            <w:r>
              <w:rPr>
                <w:rFonts w:ascii="Times New Roman" w:cs="Times New Roman" w:eastAsia="Times New Roman" w:hAnsi="Times New Roman"/>
                <w:sz w:val="20"/>
                <w:szCs w:val="20"/>
                <w:color w:val="auto"/>
              </w:rPr>
              <w:t>Form of Supplemental Indenture to be Delivered by Subsequent Guarantors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0140"/>
          </w:cols>
          <w:pgMar w:left="320" w:top="1440" w:right="1439" w:bottom="1440" w:gutter="0" w:footer="0" w:header="0"/>
        </w:sectPr>
      </w:pPr>
    </w:p>
    <w:bookmarkStart w:id="8" w:name="page9"/>
    <w:bookmarkEnd w:id="8"/>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E</w:t>
      </w:r>
    </w:p>
    <w:p>
      <w:pPr>
        <w:spacing w:after="0" w:line="20" w:lineRule="exact"/>
        <w:rPr>
          <w:sz w:val="20"/>
          <w:szCs w:val="20"/>
          <w:color w:val="auto"/>
        </w:rPr>
      </w:pPr>
      <w:r>
        <w:rPr>
          <w:sz w:val="20"/>
          <w:szCs w:val="20"/>
          <w:color w:val="auto"/>
        </w:rPr>
        <w:br w:type="column"/>
      </w:r>
    </w:p>
    <w:p>
      <w:pPr>
        <w:ind w:right="1319"/>
        <w:spacing w:after="0" w:line="282" w:lineRule="auto"/>
        <w:rPr>
          <w:sz w:val="20"/>
          <w:szCs w:val="20"/>
          <w:color w:val="auto"/>
        </w:rPr>
      </w:pPr>
      <w:r>
        <w:rPr>
          <w:rFonts w:ascii="Times New Roman" w:cs="Times New Roman" w:eastAsia="Times New Roman" w:hAnsi="Times New Roman"/>
          <w:sz w:val="20"/>
          <w:szCs w:val="20"/>
          <w:color w:val="auto"/>
        </w:rPr>
        <w:t>Form of Certificate to be Delivered in Connection with Transfers Pursuant to Rule 144A Form of Certificate to be Delivered in Connection with Transfers Pursuant to Regulation S Form of Certificate to be Delivered in Connection with Transfers to an IAI</w:t>
      </w:r>
    </w:p>
    <w:p>
      <w:pPr>
        <w:spacing w:after="0" w:line="200" w:lineRule="exact"/>
        <w:rPr>
          <w:sz w:val="20"/>
          <w:szCs w:val="20"/>
          <w:color w:val="auto"/>
        </w:rPr>
      </w:pPr>
    </w:p>
    <w:p>
      <w:pPr>
        <w:sectPr>
          <w:pgSz w:w="11900" w:h="16838" w:orient="portrait"/>
          <w:cols w:equalWidth="0" w:num="2">
            <w:col w:w="840" w:space="720"/>
            <w:col w:w="8499"/>
          </w:cols>
          <w:pgMar w:left="4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0059"/>
          </w:cols>
          <w:pgMar w:left="400" w:top="1440" w:right="1440" w:bottom="1440" w:gutter="0" w:footer="0" w:header="0"/>
          <w:type w:val="continuous"/>
        </w:sectPr>
      </w:pPr>
    </w:p>
    <w:bookmarkStart w:id="9" w:name="page10"/>
    <w:bookmarkEnd w:id="9"/>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Indenture, dated as of June 11, 2026, is by and among Noble Finance II LLC, a Delaware limited liability company (as more fully defined herein, the “</w:t>
      </w:r>
      <w:r>
        <w:rPr>
          <w:rFonts w:ascii="Times New Roman" w:cs="Times New Roman" w:eastAsia="Times New Roman" w:hAnsi="Times New Roman"/>
          <w:sz w:val="20"/>
          <w:szCs w:val="20"/>
          <w:i w:val="1"/>
          <w:iCs w:val="1"/>
          <w:color w:val="auto"/>
        </w:rPr>
        <w:t>Issuer</w:t>
      </w:r>
      <w:r>
        <w:rPr>
          <w:rFonts w:ascii="Times New Roman" w:cs="Times New Roman" w:eastAsia="Times New Roman" w:hAnsi="Times New Roman"/>
          <w:sz w:val="20"/>
          <w:szCs w:val="20"/>
          <w:color w:val="auto"/>
        </w:rPr>
        <w:t>”), the Guarantors listed on the signature pages hereto, and HSBC Bank USA, National Association, as trustee (the “</w:t>
      </w:r>
      <w:r>
        <w:rPr>
          <w:rFonts w:ascii="Times New Roman" w:cs="Times New Roman" w:eastAsia="Times New Roman" w:hAnsi="Times New Roman"/>
          <w:sz w:val="20"/>
          <w:szCs w:val="20"/>
          <w:i w:val="1"/>
          <w:iCs w:val="1"/>
          <w:color w:val="auto"/>
        </w:rPr>
        <w:t>Trustee</w:t>
      </w:r>
      <w:r>
        <w:rPr>
          <w:rFonts w:ascii="Times New Roman" w:cs="Times New Roman" w:eastAsia="Times New Roman" w:hAnsi="Times New Roman"/>
          <w:sz w:val="20"/>
          <w:szCs w:val="20"/>
          <w:color w:val="auto"/>
        </w:rPr>
        <w:t>”), paying agent and registrar.</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Issuer, the Guarantors and the Trustee agree as follows for the benefit of each other and for the equal and ratable benefit of the Holders (as defined herein) of (i) the Issuer’s 6.250% Senior Notes due 2034 issued on the date hereof (the “</w:t>
      </w:r>
      <w:r>
        <w:rPr>
          <w:rFonts w:ascii="Times New Roman" w:cs="Times New Roman" w:eastAsia="Times New Roman" w:hAnsi="Times New Roman"/>
          <w:sz w:val="20"/>
          <w:szCs w:val="20"/>
          <w:i w:val="1"/>
          <w:iCs w:val="1"/>
          <w:color w:val="auto"/>
        </w:rPr>
        <w:t>Initial Notes</w:t>
      </w:r>
      <w:r>
        <w:rPr>
          <w:rFonts w:ascii="Times New Roman" w:cs="Times New Roman" w:eastAsia="Times New Roman" w:hAnsi="Times New Roman"/>
          <w:sz w:val="20"/>
          <w:szCs w:val="20"/>
          <w:color w:val="auto"/>
        </w:rPr>
        <w:t>”) and (ii) Additional Notes (as defined herein) that are subsequently issued subject to the conditions and in compliance with the provisions of this Indenture: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 AND INCORPORATION BY REFERENCE</w:t>
      </w:r>
    </w:p>
    <w:p>
      <w:pPr>
        <w:spacing w:after="0" w:line="200"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Acquired Asset Value</w:t>
      </w:r>
      <w:r>
        <w:rPr>
          <w:rFonts w:ascii="Times New Roman" w:cs="Times New Roman" w:eastAsia="Times New Roman" w:hAnsi="Times New Roman"/>
          <w:sz w:val="20"/>
          <w:szCs w:val="20"/>
          <w:color w:val="auto"/>
        </w:rPr>
        <w:t>” means, in respect of the assets received by the Issuer or any Restricted Subsidiary in exchange for the assets exchanged by the Issuer or such Restricted Subsidiary pursuant to an Asset Swap permitted under this Indenture, the total value of such received assets, which value shall be, (i) in the case of a Rig, as reflected in a third party appraisal obtained by or on behalf of the Issuer or such Restricted Subsidiary as the fair market value of such Rig (which appraised value may include the value of net cash flows through any then-existing contracted backlog) and (ii) in the case of any other asset, the Fair Market Value thereof.</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Acquired Indebtedness</w:t>
      </w:r>
      <w:r>
        <w:rPr>
          <w:rFonts w:ascii="Times New Roman" w:cs="Times New Roman" w:eastAsia="Times New Roman" w:hAnsi="Times New Roman"/>
          <w:sz w:val="20"/>
          <w:szCs w:val="20"/>
          <w:color w:val="auto"/>
        </w:rPr>
        <w:t>” means:</w:t>
      </w:r>
    </w:p>
    <w:p>
      <w:pPr>
        <w:spacing w:after="0" w:line="233" w:lineRule="exact"/>
        <w:rPr>
          <w:sz w:val="20"/>
          <w:szCs w:val="20"/>
          <w:color w:val="auto"/>
        </w:rPr>
      </w:pPr>
    </w:p>
    <w:p>
      <w:pPr>
        <w:jc w:val="both"/>
        <w:ind w:firstLine="656"/>
        <w:spacing w:after="0" w:line="261" w:lineRule="auto"/>
        <w:tabs>
          <w:tab w:leader="none" w:pos="11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Person that becomes a Restricted Subsidiary after the Issue Date, Indebtedness of such Person and its Subsidiaries (including, for the avoidance of doubt, Indebtedness incurred in the ordinary course of such Person’s business to acquire assets used or useful in its business) existing at the time such Person becomes a Restricted Subsidiary; and</w:t>
      </w:r>
    </w:p>
    <w:p>
      <w:pPr>
        <w:spacing w:after="0" w:line="167" w:lineRule="exact"/>
        <w:rPr>
          <w:rFonts w:ascii="Times New Roman" w:cs="Times New Roman" w:eastAsia="Times New Roman" w:hAnsi="Times New Roman"/>
          <w:sz w:val="20"/>
          <w:szCs w:val="20"/>
          <w:color w:val="auto"/>
        </w:rPr>
      </w:pPr>
    </w:p>
    <w:p>
      <w:pPr>
        <w:jc w:val="both"/>
        <w:ind w:firstLine="656"/>
        <w:spacing w:after="0" w:line="258" w:lineRule="auto"/>
        <w:tabs>
          <w:tab w:leader="none" w:pos="114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Issuer or any Restricted Subsidiary, any Indebtedness of a Person (including, for the avoidance of doubt, Indebtedness incurred in the ordinary course of such Person’s business to acquire assets used or useful in its business), other than the Issuer or a Restricted Subsidiary, existing at the time such Person is merged with or into the Issuer or a Restricted Subsidiary, or Indebtedness expressly assumed by the Issuer or any Restricted Subsidiary in connection with the acquisition of an asset or assets from another Person.</w:t>
      </w:r>
    </w:p>
    <w:p>
      <w:pPr>
        <w:spacing w:after="0" w:line="18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Acquisition Cash Flow Adjustments</w:t>
      </w:r>
      <w:r>
        <w:rPr>
          <w:rFonts w:ascii="Times New Roman" w:cs="Times New Roman" w:eastAsia="Times New Roman" w:hAnsi="Times New Roman"/>
          <w:sz w:val="20"/>
          <w:szCs w:val="20"/>
          <w:color w:val="auto"/>
        </w:rPr>
        <w:t>” means with respect to the calculation of Consolidated Cash Flow as of any date of determination:</w:t>
      </w:r>
    </w:p>
    <w:p>
      <w:pPr>
        <w:spacing w:after="0" w:line="169" w:lineRule="exact"/>
        <w:rPr>
          <w:sz w:val="20"/>
          <w:szCs w:val="20"/>
          <w:color w:val="auto"/>
        </w:rPr>
      </w:pPr>
    </w:p>
    <w:p>
      <w:pPr>
        <w:jc w:val="both"/>
        <w:ind w:firstLine="656"/>
        <w:spacing w:after="0" w:line="250" w:lineRule="auto"/>
        <w:tabs>
          <w:tab w:leader="none" w:pos="113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in connection with calculating Consolidated Cash Flow for the purposes of any incurrence test in connection with any Investment where such calculation is based on contract(s) which, as of the date such Permitted Business Investment or other similar permitted Investment is to be consummated, (i) have commenced or have an estimated contract start date (as determined in good faith by the Issuer as of such date) that is no later than the three-month anniversary of the date of such consummation and (ii) have a remaining term of at least one year from the date of such consummation, for any fiscal quarter prior to the Commercial Operation Date (beginning with the four full fiscal quarter period that includes the fiscal quarter in which the applicable transaction is consummated and thereafter until the applicable Commercial Operation Date (including the fiscal quarter in which such Commercial Operation Date occurs)), an amount determined by the Issuer as the Consolidated Cash Flow attributable to the Rig(s) contemplated to be acquired pursuant to such transaction, in each case, for the first 12-month period following the consummation of the applicable Investment (such amount to be determined in good faith by the Issuer based on customer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13" w:right="339" w:bottom="1440" w:gutter="0" w:footer="0" w:header="0"/>
        </w:sectPr>
      </w:pPr>
    </w:p>
    <w:bookmarkStart w:id="10" w:name="page11"/>
    <w:bookmarkEnd w:id="10"/>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relating to such transaction, projected revenues from such contracts, capital costs and expenses, scheduled Commercial Operation Date, debt service obligations, contractual limitations on distributions and other factors and assumptions believed by the Issuer to be reasonable or appropriate at the time); and</w:t>
      </w:r>
    </w:p>
    <w:p>
      <w:pPr>
        <w:spacing w:after="0" w:line="181" w:lineRule="exact"/>
        <w:rPr>
          <w:sz w:val="20"/>
          <w:szCs w:val="20"/>
          <w:color w:val="auto"/>
        </w:rPr>
      </w:pPr>
    </w:p>
    <w:p>
      <w:pPr>
        <w:jc w:val="both"/>
        <w:ind w:firstLine="656"/>
        <w:spacing w:after="0" w:line="250" w:lineRule="auto"/>
        <w:tabs>
          <w:tab w:leader="none" w:pos="114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with respect to any Rig(s) acquired or constructed after the date hereof during the applicable Four-Quarter Period (and notwithstanding any restatement of the consolidated financial statements of the Issuer or any Parent Company in connection with any such acquisition), an amount equal to the lesser of (i) the Consolidated Cash Flow that would have been attributable to such Rig(s) if such Rig(s) had been acquired on the first day of the Four-Quarter Period prior to the consummation of such transaction, determined on a historical pro forma basis (which amount pursuant to this clause (i) shall not be less than zero if such Rig has a charter or other contract then in effect which has commenced or with an estimated contract start date (as determined in good faith by the Issuer as of such date) that is no later than the three-month anniversary of the date of such acquisition or the completion of construction (or no later than three-months after the relevant date of determination of Consolidated Cash Flow of the Issuer and its Restricted Subsidiaries) and which has a remaining term of at least one year from the date of such acquisition or completion) and (ii) an amount determined by the Issuer, in the same manner as set forth in the foregoing clause (1), as the Consolidated Cash Flow forecasted to be attributable to such Rig(s) for the balance of the four full fiscal quarter period following the consummation of such transaction.</w:t>
      </w:r>
    </w:p>
    <w:p>
      <w:pPr>
        <w:spacing w:after="0" w:line="18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Additional Notes</w:t>
      </w:r>
      <w:r>
        <w:rPr>
          <w:rFonts w:ascii="Times New Roman" w:cs="Times New Roman" w:eastAsia="Times New Roman" w:hAnsi="Times New Roman"/>
          <w:sz w:val="20"/>
          <w:szCs w:val="20"/>
          <w:color w:val="auto"/>
        </w:rPr>
        <w:t xml:space="preserve">” means Notes (other than the Initial Notes) issued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otherwise in compliance with the provisions of this Indenture whether or not they bear the same CUSIP number.</w:t>
      </w:r>
    </w:p>
    <w:p>
      <w:pPr>
        <w:spacing w:after="0" w:line="15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Affiliate</w:t>
      </w:r>
      <w:r>
        <w:rPr>
          <w:rFonts w:ascii="Times New Roman" w:cs="Times New Roman" w:eastAsia="Times New Roman" w:hAnsi="Times New Roman"/>
          <w:sz w:val="19"/>
          <w:szCs w:val="19"/>
          <w:color w:val="auto"/>
        </w:rPr>
        <w:t>” of any Person means any other Person which directly or indirectly controls or is controlled by, or is under direct or indirect common control with, the referent Person. For purposes of this definition, “control” of a Person shall mean the power to direct the management and policies of such Person, directly or indirectly, whether through the ownership of voting securities, by contract or otherwise.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Agent</w:t>
      </w:r>
      <w:r>
        <w:rPr>
          <w:rFonts w:ascii="Times New Roman" w:cs="Times New Roman" w:eastAsia="Times New Roman" w:hAnsi="Times New Roman"/>
          <w:sz w:val="20"/>
          <w:szCs w:val="20"/>
          <w:color w:val="auto"/>
        </w:rPr>
        <w:t>” means any Registrar, Paying Agent, co-registrar or other agent appointed pursuant to this Indenture.</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amend</w:t>
      </w:r>
      <w:r>
        <w:rPr>
          <w:rFonts w:ascii="Times New Roman" w:cs="Times New Roman" w:eastAsia="Times New Roman" w:hAnsi="Times New Roman"/>
          <w:sz w:val="20"/>
          <w:szCs w:val="20"/>
          <w:color w:val="auto"/>
        </w:rPr>
        <w:t>” means to amend, supplement, restate, amend and restate or otherwise modify, including successively, and “amendment” shall have a correlative meaning.</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Applicable Premium</w:t>
      </w:r>
      <w:r>
        <w:rPr>
          <w:rFonts w:ascii="Times New Roman" w:cs="Times New Roman" w:eastAsia="Times New Roman" w:hAnsi="Times New Roman"/>
          <w:sz w:val="20"/>
          <w:szCs w:val="20"/>
          <w:color w:val="auto"/>
        </w:rPr>
        <w:t>” means, with respect to any Note on any applicable redemption date, the greater of:</w:t>
      </w:r>
    </w:p>
    <w:p>
      <w:pPr>
        <w:spacing w:after="0" w:line="233"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of the principal amount of such Note; and</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excess, if any, of:</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7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present value at such redemption date of (i) the redemption price of such Note at June 15, 2029 (such redemption price being set forth in the table appearing in </w:t>
      </w:r>
      <w:r>
        <w:rPr>
          <w:rFonts w:ascii="Times New Roman" w:cs="Times New Roman" w:eastAsia="Times New Roman" w:hAnsi="Times New Roman"/>
          <w:sz w:val="20"/>
          <w:szCs w:val="20"/>
          <w:u w:val="single" w:color="auto"/>
          <w:color w:val="auto"/>
        </w:rPr>
        <w:t>Section 3.7(b)</w:t>
      </w:r>
      <w:r>
        <w:rPr>
          <w:rFonts w:ascii="Times New Roman" w:cs="Times New Roman" w:eastAsia="Times New Roman" w:hAnsi="Times New Roman"/>
          <w:sz w:val="20"/>
          <w:szCs w:val="20"/>
          <w:color w:val="auto"/>
        </w:rPr>
        <w:t>) plus (ii) all required interest payments (in each case excluding accrued and unpaid interest to such redemption date) due on such Note through June 15, 2029, computed using a discount rate equal to the Treasury Rate as of such redemption date plus 50 basis points discounted to the redemption date on a semi-annual basis (assuming a 360-day year consisting of twelve 30-day months); over</w:t>
      </w:r>
    </w:p>
    <w:p>
      <w:pPr>
        <w:spacing w:after="0" w:line="19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such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asset</w:t>
      </w:r>
      <w:r>
        <w:rPr>
          <w:rFonts w:ascii="Times New Roman" w:cs="Times New Roman" w:eastAsia="Times New Roman" w:hAnsi="Times New Roman"/>
          <w:sz w:val="20"/>
          <w:szCs w:val="20"/>
          <w:color w:val="auto"/>
        </w:rPr>
        <w:t>” means any asset or property, including, without limitation, Equity Interests.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Asset Acquisition</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jc w:val="both"/>
        <w:ind w:firstLine="656"/>
        <w:spacing w:after="0" w:line="261" w:lineRule="auto"/>
        <w:tabs>
          <w:tab w:leader="none" w:pos="1139"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Investment by the Issuer or any Restricted Subsidiary of the Issuer in any other Person if, as a result of such Investment, such Person shall become a Restricted Subsidiary of the Issuer, or shall be merged with or into the Issuer or any Restricted Subsidiary of the Issuer, or</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81"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by the Issuer or any Restricted Subsidiary of the Issuer of all or substantially all of the assets of any other Person (other than a Restricted Subsidiary of the Issuer) or any division or line of business of any such other Person (other than in the ordinary course of business).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Asset Sale</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jc w:val="both"/>
        <w:ind w:firstLine="656"/>
        <w:spacing w:after="0" w:line="258" w:lineRule="auto"/>
        <w:tabs>
          <w:tab w:leader="none" w:pos="110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conveyance, transfer, lease, license, assignment or other disposition by the Issuer or any Restricted Subsidiary to any Person other than the Issuer or any Restricted Subsidiary (including by means of a sale and leaseback transaction or a merger or consolidation), in one transaction or a series of related transactions, of any assets of the Issuer or any of its Restricted Subsidiaries, including, without limitation, Equity Interests in any Person, other than in the ordinary course of business; or</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17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issuance of Equity Interests of a Restricted Subsidiary (other than Preferred Stock of Restricted Subsidiaries issued in compliance with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to any Person other than the Issuer or any Restricted Subsidiary in one transaction or a series of related transactions (the actions described in these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collectively, for purposes of this definition, a “</w:t>
      </w:r>
      <w:r>
        <w:rPr>
          <w:rFonts w:ascii="Times New Roman" w:cs="Times New Roman" w:eastAsia="Times New Roman" w:hAnsi="Times New Roman"/>
          <w:sz w:val="20"/>
          <w:szCs w:val="20"/>
          <w:i w:val="1"/>
          <w:iCs w:val="1"/>
          <w:color w:val="auto"/>
        </w:rPr>
        <w:t>transfer</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this definition, the term “Asset Sale” shall not include:</w:t>
      </w:r>
    </w:p>
    <w:p>
      <w:pPr>
        <w:spacing w:after="0" w:line="216" w:lineRule="exact"/>
        <w:rPr>
          <w:sz w:val="20"/>
          <w:szCs w:val="20"/>
          <w:color w:val="auto"/>
        </w:rPr>
      </w:pPr>
    </w:p>
    <w:p>
      <w:pPr>
        <w:ind w:left="1720" w:hanging="416"/>
        <w:spacing w:after="0"/>
        <w:tabs>
          <w:tab w:leader="none" w:pos="1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of cash or Cash Equivalents;</w:t>
      </w:r>
    </w:p>
    <w:p>
      <w:pPr>
        <w:spacing w:after="0" w:line="229" w:lineRule="exact"/>
        <w:rPr>
          <w:rFonts w:ascii="Times New Roman" w:cs="Times New Roman" w:eastAsia="Times New Roman" w:hAnsi="Times New Roman"/>
          <w:sz w:val="20"/>
          <w:szCs w:val="20"/>
          <w:color w:val="auto"/>
        </w:rPr>
      </w:pPr>
    </w:p>
    <w:p>
      <w:pPr>
        <w:ind w:left="1820" w:hanging="516"/>
        <w:spacing w:after="0"/>
        <w:tabs>
          <w:tab w:leader="none" w:pos="18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transfers of assets (including Equity Interests) that are governed by, and made in accordance with,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or</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207"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Investments and Restricted Payments permitted under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60" w:firstLine="644"/>
        <w:spacing w:after="0" w:line="283" w:lineRule="auto"/>
        <w:tabs>
          <w:tab w:leader="none" w:pos="177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creation of or realization on any Lien not prohibited under this Indenture and any transfer of assets resulting from the enforcement or foreclosure of any such Lien;</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33"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or grants of licenses or sublicenses to use the patents, trade secrets, know-how and other Intellectual Property, and licenses, leases or subleases of other assets, of the Issuer or any Restricted Subsidiary to the extent not materially interfering with the business of the Issuer and the Restricted Subsidiaries;</w:t>
      </w:r>
    </w:p>
    <w:p>
      <w:pPr>
        <w:spacing w:after="0" w:line="167"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transfer of inventory in the ordinary course of business;</w:t>
      </w:r>
    </w:p>
    <w:p>
      <w:pPr>
        <w:spacing w:after="0" w:line="229" w:lineRule="exact"/>
        <w:rPr>
          <w:rFonts w:ascii="Times New Roman" w:cs="Times New Roman" w:eastAsia="Times New Roman" w:hAnsi="Times New Roman"/>
          <w:sz w:val="20"/>
          <w:szCs w:val="20"/>
          <w:color w:val="auto"/>
        </w:rPr>
      </w:pPr>
    </w:p>
    <w:p>
      <w:pPr>
        <w:ind w:left="660" w:firstLine="644"/>
        <w:spacing w:after="0" w:line="283" w:lineRule="auto"/>
        <w:tabs>
          <w:tab w:leader="none" w:pos="1775"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transfer of receivables in connection with the compromise, settlement or collection thereof in the ordinary course of business or in bankruptcy or similar proceedings and exclusive of factoring and similar arrangements;</w:t>
      </w:r>
    </w:p>
    <w:p>
      <w:pPr>
        <w:spacing w:after="0" w:line="146"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93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of Investments in joint ventures to the extent required by, or made pursuant to, customary buy/sell arrangements between joint venture parties set forth in, joint venture agreements or any similar binding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9" w:right="339" w:bottom="1440" w:gutter="0" w:footer="0" w:header="0"/>
        </w:sectPr>
      </w:pPr>
    </w:p>
    <w:bookmarkStart w:id="12" w:name="page13"/>
    <w:bookmarkEnd w:id="12"/>
    <w:p>
      <w:pPr>
        <w:ind w:left="560" w:hanging="376"/>
        <w:spacing w:after="0"/>
        <w:tabs>
          <w:tab w:leader="none" w:pos="5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of assets received in settlement of debts accrued in the ordinary course of business;</w:t>
      </w:r>
    </w:p>
    <w:p>
      <w:pPr>
        <w:spacing w:after="0" w:line="229" w:lineRule="exact"/>
        <w:rPr>
          <w:rFonts w:ascii="Times New Roman" w:cs="Times New Roman" w:eastAsia="Times New Roman" w:hAnsi="Times New Roman"/>
          <w:sz w:val="20"/>
          <w:szCs w:val="20"/>
          <w:color w:val="auto"/>
        </w:rPr>
      </w:pPr>
    </w:p>
    <w:p>
      <w:pPr>
        <w:jc w:val="both"/>
        <w:ind w:left="-460" w:right="20" w:firstLine="644"/>
        <w:spacing w:after="0" w:line="254" w:lineRule="auto"/>
        <w:tabs>
          <w:tab w:leader="none" w:pos="58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surrender or waiver in the ordinary course of business of contract rights or the settlement, release or surrender of contractual, non-contractual or other claims of any kind and (II) any transfers of property or assets effected as part of a closure or buyout of a pension or other defined benefit plan or in furtherance of a recovery plan in support of any such pension or other defined benefit plan;</w:t>
      </w:r>
    </w:p>
    <w:p>
      <w:pPr>
        <w:spacing w:after="0" w:line="187"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of Equity Interests in or Indebtedness of an Unrestricted Subsidiary;</w:t>
      </w:r>
    </w:p>
    <w:p>
      <w:pPr>
        <w:spacing w:after="0" w:line="225" w:lineRule="exact"/>
        <w:rPr>
          <w:rFonts w:ascii="Times New Roman" w:cs="Times New Roman" w:eastAsia="Times New Roman" w:hAnsi="Times New Roman"/>
          <w:sz w:val="20"/>
          <w:szCs w:val="20"/>
          <w:color w:val="auto"/>
        </w:rPr>
      </w:pPr>
    </w:p>
    <w:p>
      <w:pPr>
        <w:jc w:val="both"/>
        <w:ind w:left="-460" w:firstLine="644"/>
        <w:spacing w:after="0" w:line="255" w:lineRule="auto"/>
        <w:tabs>
          <w:tab w:leader="none" w:pos="5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issuance or sale of Equity Interests of any Restricted Subsidiary to the Issuer or any Restricted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such an issuance by a non-wholly owned Restricted Subsidiary, such issuance may also be made to any other owner of Equity Interests of such non-wholly owned Restricted Subsidiary based on such owner’s relative ownership interests (or lesser share) of the relevant class of Equity Interests;</w:t>
      </w:r>
    </w:p>
    <w:p>
      <w:pPr>
        <w:spacing w:after="0" w:line="187" w:lineRule="exact"/>
        <w:rPr>
          <w:rFonts w:ascii="Times New Roman" w:cs="Times New Roman" w:eastAsia="Times New Roman" w:hAnsi="Times New Roman"/>
          <w:sz w:val="20"/>
          <w:szCs w:val="20"/>
          <w:color w:val="auto"/>
        </w:rPr>
      </w:pPr>
    </w:p>
    <w:p>
      <w:pPr>
        <w:jc w:val="both"/>
        <w:ind w:left="-460" w:firstLine="644"/>
        <w:spacing w:after="0" w:line="261" w:lineRule="auto"/>
        <w:tabs>
          <w:tab w:leader="none" w:pos="733"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transfer or series of related transfers that, but for this </w:t>
      </w:r>
      <w:r>
        <w:rPr>
          <w:rFonts w:ascii="Times New Roman" w:cs="Times New Roman" w:eastAsia="Times New Roman" w:hAnsi="Times New Roman"/>
          <w:sz w:val="20"/>
          <w:szCs w:val="20"/>
          <w:u w:val="single" w:color="auto"/>
          <w:color w:val="auto"/>
        </w:rPr>
        <w:t>clause (m)</w:t>
      </w:r>
      <w:r>
        <w:rPr>
          <w:rFonts w:ascii="Times New Roman" w:cs="Times New Roman" w:eastAsia="Times New Roman" w:hAnsi="Times New Roman"/>
          <w:sz w:val="20"/>
          <w:szCs w:val="20"/>
          <w:color w:val="auto"/>
        </w:rPr>
        <w:t>, would be Asset Sales, if after giving effect to such transfers, the aggregate Fair Market Value of the assets transferred in such transaction or any such series of related transactions does not exceed $50.0 million per occurrence;</w:t>
      </w:r>
    </w:p>
    <w:p>
      <w:pPr>
        <w:spacing w:after="0" w:line="181"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demise, bareboat, time, voyage, other charter, lease or right to use of any Rig in the ordinary course of business;</w:t>
      </w:r>
    </w:p>
    <w:p>
      <w:pPr>
        <w:spacing w:after="0" w:line="215"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of property subject to casualty or condemnation proceedings (or similar events);</w:t>
      </w:r>
    </w:p>
    <w:p>
      <w:pPr>
        <w:spacing w:after="0" w:line="229" w:lineRule="exact"/>
        <w:rPr>
          <w:rFonts w:ascii="Times New Roman" w:cs="Times New Roman" w:eastAsia="Times New Roman" w:hAnsi="Times New Roman"/>
          <w:sz w:val="20"/>
          <w:szCs w:val="20"/>
          <w:color w:val="auto"/>
        </w:rPr>
      </w:pPr>
    </w:p>
    <w:p>
      <w:pPr>
        <w:ind w:left="-460" w:firstLine="644"/>
        <w:spacing w:after="0" w:line="283" w:lineRule="auto"/>
        <w:tabs>
          <w:tab w:leader="none" w:pos="65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and subleases of real or personal property in the ordinary course of business and not interfering in any material respect with the business of the Issuer and its Restricted Subsidiaries, taken as a whole;</w:t>
      </w:r>
    </w:p>
    <w:p>
      <w:pPr>
        <w:spacing w:after="0" w:line="146" w:lineRule="exact"/>
        <w:rPr>
          <w:rFonts w:ascii="Times New Roman" w:cs="Times New Roman" w:eastAsia="Times New Roman" w:hAnsi="Times New Roman"/>
          <w:sz w:val="20"/>
          <w:szCs w:val="20"/>
          <w:color w:val="auto"/>
        </w:rPr>
      </w:pPr>
    </w:p>
    <w:p>
      <w:pPr>
        <w:jc w:val="both"/>
        <w:ind w:left="-460" w:firstLine="644"/>
        <w:spacing w:after="0" w:line="249" w:lineRule="auto"/>
        <w:tabs>
          <w:tab w:leader="none" w:pos="683"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and transfer of ownership of any Specified Rig together with the equipment associated with such Specified Rig, to an Ineligible LCE in order to comply with local jurisdictional requirements or customs in connection with the applicable jurisdiction in relation to a charter party agreement, drilling contract or any demise, bareboat, time, voyage, other charter, lease or other right to use of such Specified Rig (any of the foregoing, a “</w:t>
      </w:r>
      <w:r>
        <w:rPr>
          <w:rFonts w:ascii="Times New Roman" w:cs="Times New Roman" w:eastAsia="Times New Roman" w:hAnsi="Times New Roman"/>
          <w:sz w:val="20"/>
          <w:szCs w:val="20"/>
          <w:i w:val="1"/>
          <w:iCs w:val="1"/>
          <w:color w:val="auto"/>
        </w:rPr>
        <w:t>Relevant Specified Rig Contract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no Default or Event of Default exists at the time of such sale or would result therefrom; (ii) the Issuer or a Restricted Subsidiary directly or indirectly owns at least 50% of the Equity Interests in, or Controls, such Ineligible LCE; (iii) the Issuer or a Restricted Subsidiary directly owns 100% of the Equity Interests of the Restricted Subsidiary that directly owns any Equity Interests of such Ineligible LCE (such Restricted Subsidiary that is the direct owner of any Equity Interests in an Ineligible LCE, an “</w:t>
      </w:r>
      <w:r>
        <w:rPr>
          <w:rFonts w:ascii="Times New Roman" w:cs="Times New Roman" w:eastAsia="Times New Roman" w:hAnsi="Times New Roman"/>
          <w:sz w:val="20"/>
          <w:szCs w:val="20"/>
          <w:i w:val="1"/>
          <w:iCs w:val="1"/>
          <w:color w:val="auto"/>
        </w:rPr>
        <w:t>Ineligible LCE Noble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Owner</w:t>
      </w:r>
      <w:r>
        <w:rPr>
          <w:rFonts w:ascii="Times New Roman" w:cs="Times New Roman" w:eastAsia="Times New Roman" w:hAnsi="Times New Roman"/>
          <w:sz w:val="20"/>
          <w:szCs w:val="20"/>
          <w:color w:val="auto"/>
        </w:rPr>
        <w:t>”); (iv) the applicable Ineligible LCE Noble Owner is or becomes a Guarantor (or, if such Ineligible LCE Noble Owner is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required to provide a guarantee under the RCF Credit Agreement, its direct parent or next parent entity up the chain of ownership of such Ineligible LCE Noble Owner that is or becomes a guarantor under the RCF Credit Agreement); (v) for so long as such Specified Rig is owned by an Ineligible LCE pursuant to this clause </w:t>
      </w:r>
      <w:r>
        <w:rPr>
          <w:rFonts w:ascii="Times New Roman" w:cs="Times New Roman" w:eastAsia="Times New Roman" w:hAnsi="Times New Roman"/>
          <w:sz w:val="20"/>
          <w:szCs w:val="20"/>
          <w:u w:val="single" w:color="auto"/>
          <w:color w:val="auto"/>
        </w:rPr>
        <w:t>(q)</w:t>
      </w:r>
      <w:r>
        <w:rPr>
          <w:rFonts w:ascii="Times New Roman" w:cs="Times New Roman" w:eastAsia="Times New Roman" w:hAnsi="Times New Roman"/>
          <w:sz w:val="20"/>
          <w:szCs w:val="20"/>
          <w:color w:val="auto"/>
        </w:rPr>
        <w:t>, to the extent the applicable Ineligible LCE Noble Owner is not a Guarantor, then such Ineligible LCE Noble Owner (A) shall be prohibited from incurring any Indebtedness for borrowed money or providing a guarantee of any Indebtedness for borrowed money (other than any permitted intercompany Indebtedness owed to the Issuer or another Restricted Subsidiary, which intercompany debt shall be represented by a promissory note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120"/>
          </w:cols>
          <w:pgMar w:left="1440" w:top="1413" w:right="339" w:bottom="1440" w:gutter="0" w:footer="0" w:header="0"/>
        </w:sectPr>
      </w:pPr>
    </w:p>
    <w:bookmarkStart w:id="13" w:name="page14"/>
    <w:bookmarkEnd w:id="13"/>
    <w:p>
      <w:pPr>
        <w:jc w:val="both"/>
        <w:ind w:left="4"/>
        <w:spacing w:after="0" w:line="267" w:lineRule="auto"/>
        <w:rPr>
          <w:sz w:val="20"/>
          <w:szCs w:val="20"/>
          <w:color w:val="auto"/>
        </w:rPr>
      </w:pPr>
      <w:r>
        <w:rPr>
          <w:rFonts w:ascii="Times New Roman" w:cs="Times New Roman" w:eastAsia="Times New Roman" w:hAnsi="Times New Roman"/>
          <w:sz w:val="19"/>
          <w:szCs w:val="19"/>
          <w:color w:val="auto"/>
        </w:rPr>
        <w:t>similar instrument) and (B) shall not have any material assets, liabilities or operations other than (x) ownership of the Equity Interests of the applicable Ineligible LCE, direct or indirect ownership of the Equity Interests of any of its other Subsidiaries, and assets, liabilities and activities incidental to the foregoing and (y) intercompany transactions not otherwise prohibited under this Indenture;</w:t>
      </w:r>
    </w:p>
    <w:p>
      <w:pPr>
        <w:spacing w:after="0" w:line="2" w:lineRule="exact"/>
        <w:rPr>
          <w:sz w:val="20"/>
          <w:szCs w:val="20"/>
          <w:color w:val="auto"/>
        </w:rPr>
      </w:pPr>
    </w:p>
    <w:p>
      <w:pPr>
        <w:jc w:val="both"/>
        <w:ind w:left="4" w:hanging="4"/>
        <w:spacing w:after="0" w:line="248" w:lineRule="auto"/>
        <w:tabs>
          <w:tab w:leader="none" w:pos="36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consideration payable for the sale of such Specified Rig and related equipment to the applicable Ineligible LCE shall be represented by a promissory note or similar instrument issued by such Ineligible LCE to the Guarantor selling such Specified Rig (any such promissory note or similar instrument, a “</w:t>
      </w:r>
      <w:r>
        <w:rPr>
          <w:rFonts w:ascii="Times New Roman" w:cs="Times New Roman" w:eastAsia="Times New Roman" w:hAnsi="Times New Roman"/>
          <w:sz w:val="20"/>
          <w:szCs w:val="20"/>
          <w:i w:val="1"/>
          <w:iCs w:val="1"/>
          <w:color w:val="auto"/>
        </w:rPr>
        <w:t>Specified Rig Intercompany Note</w:t>
      </w:r>
      <w:r>
        <w:rPr>
          <w:rFonts w:ascii="Times New Roman" w:cs="Times New Roman" w:eastAsia="Times New Roman" w:hAnsi="Times New Roman"/>
          <w:sz w:val="20"/>
          <w:szCs w:val="20"/>
          <w:color w:val="auto"/>
        </w:rPr>
        <w:t>”), which shall (A) be for an initial principal amount not less than the Fair Market Value of such Specified Rig at the time of such sale, (B) be payable by such Ineligible LCE on demand, (C) to the extent permitted by applicable law, provide that the debt evidenced thereby accrues interest at a rate of 15% per annum (or such lower interest rate reflecting the maximum interest rate permitted by applicable law) to be periodically paid in kind and capitalized as additional principal evidenced thereby and (D) promptly be secured by a first preferred ship mortgage (or similar instrument or deed) over such Specified Rig (a “</w:t>
      </w:r>
      <w:r>
        <w:rPr>
          <w:rFonts w:ascii="Times New Roman" w:cs="Times New Roman" w:eastAsia="Times New Roman" w:hAnsi="Times New Roman"/>
          <w:sz w:val="20"/>
          <w:szCs w:val="20"/>
          <w:i w:val="1"/>
          <w:iCs w:val="1"/>
          <w:color w:val="auto"/>
        </w:rPr>
        <w:t>Specified Rig Intercompany Mortgage</w:t>
      </w:r>
      <w:r>
        <w:rPr>
          <w:rFonts w:ascii="Times New Roman" w:cs="Times New Roman" w:eastAsia="Times New Roman" w:hAnsi="Times New Roman"/>
          <w:sz w:val="20"/>
          <w:szCs w:val="20"/>
          <w:color w:val="auto"/>
        </w:rPr>
        <w:t xml:space="preserve">”), duly registered or filed and recorded in the vessel or ship registry appropriate for such Specified Rig in favor of such Guarantor (or a security trustee or similar representative for the benefit of such Guarantor) (it being understood that (x) such Specified Rig Intercompany Mortgage shall be entered into and registered or filed and recorded as promptly as practicable after the transfer of ownership of such Specified Rig to such Ineligible LCE and (y) the obligations represented by any Specified Rig Intercompany Note and secured by any Specified Rig Intercompany Mortgage shall be limited to the principal amount of such Specified Rig Intercompany Note (excluding, for the avoidance of doubt, additional principal amounts and any interest amounts referred to in subclause (vi)(C) of this clause </w:t>
      </w:r>
      <w:r>
        <w:rPr>
          <w:rFonts w:ascii="Times New Roman" w:cs="Times New Roman" w:eastAsia="Times New Roman" w:hAnsi="Times New Roman"/>
          <w:sz w:val="20"/>
          <w:szCs w:val="20"/>
          <w:u w:val="single" w:color="auto"/>
          <w:color w:val="auto"/>
        </w:rPr>
        <w:t>(q)</w:t>
      </w:r>
      <w:r>
        <w:rPr>
          <w:rFonts w:ascii="Times New Roman" w:cs="Times New Roman" w:eastAsia="Times New Roman" w:hAnsi="Times New Roman"/>
          <w:sz w:val="20"/>
          <w:szCs w:val="20"/>
          <w:color w:val="auto"/>
        </w:rPr>
        <w:t xml:space="preserve">)); and (vii) such Ineligible LCE shall not have any other Indebtedness for borrowed money, other than Indebtedness owed by such Ineligible LCE to the Issuer or a Restricted Subsidiary (to the extent constituting an Investment not prohibited by this Indenture);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in the event that the Relevant Specified Rig Contract has expired or terminated and such Specified Rig is not subject to, or scheduled to become subject to another Relevant Specified Rig Contract within 270 days (or such later date as may be approved by the administrative agent under the RCF Credit Agreement), such Specified Rig shall be promptly sold or otherwise transferred to a Guarantor;</w:t>
      </w:r>
    </w:p>
    <w:p>
      <w:pPr>
        <w:spacing w:after="0" w:line="199" w:lineRule="exact"/>
        <w:rPr>
          <w:rFonts w:ascii="Times New Roman" w:cs="Times New Roman" w:eastAsia="Times New Roman" w:hAnsi="Times New Roman"/>
          <w:sz w:val="20"/>
          <w:szCs w:val="20"/>
          <w:color w:val="auto"/>
        </w:rPr>
      </w:pPr>
    </w:p>
    <w:p>
      <w:pPr>
        <w:ind w:left="4" w:firstLine="644"/>
        <w:spacing w:after="0" w:line="269" w:lineRule="auto"/>
        <w:tabs>
          <w:tab w:leader="none" w:pos="106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of Equity Interests in a Subsidiary that becomes a Local Content Entity as a result of such transfer to one or more Persons referred to in clause (b) of the definition of “Local Content Entity”;</w:t>
      </w:r>
    </w:p>
    <w:p>
      <w:pPr>
        <w:spacing w:after="0" w:line="172" w:lineRule="exact"/>
        <w:rPr>
          <w:rFonts w:ascii="Times New Roman" w:cs="Times New Roman" w:eastAsia="Times New Roman" w:hAnsi="Times New Roman"/>
          <w:sz w:val="20"/>
          <w:szCs w:val="20"/>
          <w:color w:val="auto"/>
        </w:rPr>
      </w:pPr>
    </w:p>
    <w:p>
      <w:pPr>
        <w:jc w:val="both"/>
        <w:ind w:left="4" w:firstLine="644"/>
        <w:spacing w:after="0" w:line="251" w:lineRule="auto"/>
        <w:tabs>
          <w:tab w:leader="none" w:pos="1066"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of equipment, personal property, fixtures or other assets that are either (i) obsolete, worn-out or no longer used or useable in the ordinary course of business for their intended purposes, or (ii) replaced by equipment, personal property, fixtures or assets of comparable suitability within 365 days of such transfer, including but not limited to the transfer of any boilers, engines, machinery, masts, spars, anchors, cables, chains, rigging, tackle, capstans, outfit, tools, pumps, pumping equipment, apparel, furniture, fittings, equipment, spare parts or any other appurtenances of any Rig that are no longer useful, necessary, profitable or advantageous in the operation of such Rig, replaced by new boilers, engines, machinery, masts, spars, anchors, cables, chains, rigging, tackle, capstans, outfit, tools, pumps, pumping equipment, apparel, furniture, fittings, equipment, spare parts or any appurtenances of comparable suitability; and</w:t>
      </w:r>
    </w:p>
    <w:p>
      <w:pPr>
        <w:spacing w:after="0" w:line="195"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126"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abandoning, failing to maintain, allowing to lapse or otherwise disposing of Intellectual Property rights that are not material to the conduct of the business of the Issuer and the Restricted Subsidiaries, taken as a whole, or that the Issuer or any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584"/>
          </w:cols>
          <w:pgMar w:left="976" w:top="1413"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20"/>
          <w:szCs w:val="20"/>
          <w:color w:val="auto"/>
        </w:rPr>
        <w:t>Subsidiary determines, in its reasonable business judgment, are not economically practicable to maintain.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Asset Swap</w:t>
      </w:r>
      <w:r>
        <w:rPr>
          <w:rFonts w:ascii="Times New Roman" w:cs="Times New Roman" w:eastAsia="Times New Roman" w:hAnsi="Times New Roman"/>
          <w:sz w:val="20"/>
          <w:szCs w:val="20"/>
          <w:color w:val="auto"/>
        </w:rPr>
        <w:t xml:space="preserve">” means any transaction or series of related transactions pursuant to which the Issuer and/or one or more Restricted Subsidiaries shall exchange, with a Person that is not an Affiliate, one or more Permitted Business Assets owned by them for one or more Permitted Business Assets owned by such Person; provided that, for purposes of calculating Fair Market Value with respect to an Asset Swap, Fair Market Value shall be deemed to have been received if the Acquired Asset Value is greater than or equal to 90% of the total value of the asset(s) given in exchange by the Issuer and/or one or more Restricted Subsidiaries; provided further, that any cash or Cash Equivalents received in connection with an Asset Swap that constitutes an Asset Sale must be applied in accordance with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Bankruptcy Law</w:t>
      </w:r>
      <w:r>
        <w:rPr>
          <w:rFonts w:ascii="Times New Roman" w:cs="Times New Roman" w:eastAsia="Times New Roman" w:hAnsi="Times New Roman"/>
          <w:sz w:val="20"/>
          <w:szCs w:val="20"/>
          <w:color w:val="auto"/>
        </w:rPr>
        <w:t>” means Title 11, U.S. Code or any similar federal, state or foreign law for the relief of debtors, and all other liquidation, conservatorship, bankruptcy, assignment for the benefit of creditors, moratorium, rearrangement, receivership, insolvency, reorganization, winding-up, restructuring, examinership or similar debtor relief laws.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Beneficial Owner</w:t>
      </w:r>
      <w:r>
        <w:rPr>
          <w:rFonts w:ascii="Times New Roman" w:cs="Times New Roman" w:eastAsia="Times New Roman" w:hAnsi="Times New Roman"/>
          <w:sz w:val="20"/>
          <w:szCs w:val="20"/>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 For purposes of this definition, a Person shall be deemed not to Beneficially Own securities that are the subject of a stock, unit or asset purchase agreement, merger agreement or similar agreement (or voting or option or similar agreement related thereto) until consummation of the transactions or, as applicable, series of related transactions contemplated by such agreement.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Board of Directors</w:t>
      </w:r>
      <w:r>
        <w:rPr>
          <w:rFonts w:ascii="Times New Roman" w:cs="Times New Roman" w:eastAsia="Times New Roman" w:hAnsi="Times New Roman"/>
          <w:sz w:val="20"/>
          <w:szCs w:val="20"/>
          <w:color w:val="auto"/>
        </w:rPr>
        <w:t>” means, with respect to any Person, (i) in the case of any corporation or exempted company, the board of directors of such Person, (ii) in case of any Luxembourg Guarantor, the board of managers (</w:t>
      </w:r>
      <w:r>
        <w:rPr>
          <w:rFonts w:ascii="Times New Roman" w:cs="Times New Roman" w:eastAsia="Times New Roman" w:hAnsi="Times New Roman"/>
          <w:sz w:val="20"/>
          <w:szCs w:val="20"/>
          <w:i w:val="1"/>
          <w:iCs w:val="1"/>
          <w:color w:val="auto"/>
        </w:rPr>
        <w:t>collège de gérance</w:t>
      </w:r>
      <w:r>
        <w:rPr>
          <w:rFonts w:ascii="Times New Roman" w:cs="Times New Roman" w:eastAsia="Times New Roman" w:hAnsi="Times New Roman"/>
          <w:sz w:val="20"/>
          <w:szCs w:val="20"/>
          <w:color w:val="auto"/>
        </w:rPr>
        <w:t>) or the board of directors (</w:t>
      </w:r>
      <w:r>
        <w:rPr>
          <w:rFonts w:ascii="Times New Roman" w:cs="Times New Roman" w:eastAsia="Times New Roman" w:hAnsi="Times New Roman"/>
          <w:sz w:val="20"/>
          <w:szCs w:val="20"/>
          <w:i w:val="1"/>
          <w:iCs w:val="1"/>
          <w:color w:val="auto"/>
        </w:rPr>
        <w:t>conseil d’administration</w:t>
      </w:r>
      <w:r>
        <w:rPr>
          <w:rFonts w:ascii="Times New Roman" w:cs="Times New Roman" w:eastAsia="Times New Roman" w:hAnsi="Times New Roman"/>
          <w:sz w:val="20"/>
          <w:szCs w:val="20"/>
          <w:color w:val="auto"/>
        </w:rPr>
        <w:t>), as applicable and (iii) in any other case, the functional equivalent of the foregoing or, in each case, any duly authorized committee of such body.</w:t>
      </w:r>
    </w:p>
    <w:p>
      <w:pPr>
        <w:spacing w:after="0" w:line="18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Business Day</w:t>
      </w:r>
      <w:r>
        <w:rPr>
          <w:rFonts w:ascii="Times New Roman" w:cs="Times New Roman" w:eastAsia="Times New Roman" w:hAnsi="Times New Roman"/>
          <w:sz w:val="20"/>
          <w:szCs w:val="20"/>
          <w:color w:val="auto"/>
        </w:rPr>
        <w:t>” means a day other than a Saturday, Sunday or other day on which banking institutions in the State of New York or London, England are authorized or required by law to close.</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Capitalized Lease Obligations</w:t>
      </w:r>
      <w:r>
        <w:rPr>
          <w:rFonts w:ascii="Times New Roman" w:cs="Times New Roman" w:eastAsia="Times New Roman" w:hAnsi="Times New Roman"/>
          <w:sz w:val="20"/>
          <w:szCs w:val="20"/>
          <w:color w:val="auto"/>
        </w:rPr>
        <w:t>” means, for any Person, the aggregate amount of such Person’s liabilities under all leases of real or personal property (or any interest therein) which is required to be capitalized on the balance sheet of such Person as determined in accordance with GAAP. Notwithstanding anything to the contrary in this Indenture, for purposes of calculating Capitalized Lease Obligations pursuant to the terms of this Indenture, GAAP will be deemed to treat leases that would have been classified as operating leases in accordance with generally accepted accounting principles in the United States as in effect on December 31, 2018 in a manner consistent with the treatment of such leases under generally accepted accounting principles in the United States as in effect on December 31, 2018, notwithstanding any modifications or interpretive changes thereto that may occur thereafter.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Cash Equivalents</w:t>
      </w:r>
      <w:r>
        <w:rPr>
          <w:rFonts w:ascii="Times New Roman" w:cs="Times New Roman" w:eastAsia="Times New Roman" w:hAnsi="Times New Roman"/>
          <w:sz w:val="20"/>
          <w:szCs w:val="20"/>
          <w:color w:val="auto"/>
        </w:rPr>
        <w:t>” means:</w:t>
      </w:r>
    </w:p>
    <w:p>
      <w:pPr>
        <w:spacing w:after="0" w:line="233" w:lineRule="exact"/>
        <w:rPr>
          <w:sz w:val="20"/>
          <w:szCs w:val="20"/>
          <w:color w:val="auto"/>
        </w:rPr>
      </w:pPr>
    </w:p>
    <w:p>
      <w:pPr>
        <w:ind w:firstLine="656"/>
        <w:spacing w:after="0" w:line="283" w:lineRule="auto"/>
        <w:tabs>
          <w:tab w:leader="none" w:pos="112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marketable obligations issued or directly and fully guaranteed or insured by the governments of the United States, the United Kingdom, any member state of the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15" w:name="page16"/>
    <w:bookmarkEnd w:id="15"/>
    <w:p>
      <w:pPr>
        <w:spacing w:after="0" w:line="287" w:lineRule="auto"/>
        <w:rPr>
          <w:sz w:val="20"/>
          <w:szCs w:val="20"/>
          <w:color w:val="auto"/>
        </w:rPr>
      </w:pPr>
      <w:r>
        <w:rPr>
          <w:rFonts w:ascii="Times New Roman" w:cs="Times New Roman" w:eastAsia="Times New Roman" w:hAnsi="Times New Roman"/>
          <w:sz w:val="20"/>
          <w:szCs w:val="20"/>
          <w:color w:val="auto"/>
        </w:rPr>
        <w:t>Canada, Japan, Singapore, Australia or New Zealand or, in each case, any agency or instrumentality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full faith and credit of such government is pledged in support thereof), maturing within one year of the date of acquisition thereof;</w:t>
      </w:r>
    </w:p>
    <w:p>
      <w:pPr>
        <w:spacing w:after="0" w:line="142" w:lineRule="exact"/>
        <w:rPr>
          <w:sz w:val="20"/>
          <w:szCs w:val="20"/>
          <w:color w:val="auto"/>
        </w:rPr>
      </w:pPr>
    </w:p>
    <w:p>
      <w:pPr>
        <w:jc w:val="both"/>
        <w:ind w:firstLine="656"/>
        <w:spacing w:after="0" w:line="261" w:lineRule="auto"/>
        <w:tabs>
          <w:tab w:leader="none" w:pos="1159"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 and time deposits and certificates of deposit of any lender under any Debt Facility or any Eligible Bank organized under the laws of the United States, any state thereof or the District of Columbia or a U.S. branch of any other Eligible Bank maturing within one year of the date of acquisition thereof;</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11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and Eurocommercial paper rated at least A1 or the equivalent thereof by S&amp;P, at least P-1 or the equivalent thereof by Moody’s, at least an F-1 by Fitch or an equivalent rating by a nationally recognized rating agency if each of S&amp;P, Moody’s and Fitch cease publishing ratings of commercial paper issuers generally, and in each case maturing not more than one year after the date of acquisition thereof;</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079"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repurchase obligations with a term of not more than one year for underlying securities of the types described in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above entered into with any Eligible Bank and maturing not more than one year after such time;</w:t>
      </w:r>
    </w:p>
    <w:p>
      <w:pPr>
        <w:spacing w:after="0" w:line="159" w:lineRule="exact"/>
        <w:rPr>
          <w:rFonts w:ascii="Times New Roman" w:cs="Times New Roman" w:eastAsia="Times New Roman" w:hAnsi="Times New Roman"/>
          <w:sz w:val="20"/>
          <w:szCs w:val="20"/>
          <w:color w:val="auto"/>
        </w:rPr>
      </w:pPr>
    </w:p>
    <w:p>
      <w:pPr>
        <w:jc w:val="both"/>
        <w:ind w:firstLine="656"/>
        <w:spacing w:after="0" w:line="261" w:lineRule="auto"/>
        <w:tabs>
          <w:tab w:leader="none" w:pos="111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issued and fully guaranteed by any state, commonwealth or territory of the United States, the United Kingdom, any member state of the European Union or Canada, Japan, Singapore, Australia or New Zealand or by any political subdivision or taxing authority thereof, rated at least A by Moody’s or S&amp;P and having maturities of not more than one year from the date of acquisition;</w:t>
      </w:r>
    </w:p>
    <w:p>
      <w:pPr>
        <w:spacing w:after="0" w:line="167" w:lineRule="exact"/>
        <w:rPr>
          <w:rFonts w:ascii="Times New Roman" w:cs="Times New Roman" w:eastAsia="Times New Roman" w:hAnsi="Times New Roman"/>
          <w:sz w:val="20"/>
          <w:szCs w:val="20"/>
          <w:color w:val="auto"/>
        </w:rPr>
      </w:pPr>
    </w:p>
    <w:p>
      <w:pPr>
        <w:ind w:firstLine="656"/>
        <w:spacing w:after="0" w:line="283" w:lineRule="auto"/>
        <w:tabs>
          <w:tab w:leader="none" w:pos="117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money market or other funds substantially all of whose assets comprise securities of the types described in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above;</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 deposit accounts maintained in the ordinary course of business; and</w:t>
      </w:r>
    </w:p>
    <w:p>
      <w:pPr>
        <w:spacing w:after="0" w:line="21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0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Subsidiary of the Issuer organized or having its principal place of business outside the United States, investments denominated in the currency of the jurisdiction in which such Subsidiary is organized or has its principal place of business which are similar to the items specified in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(7)</w:t>
      </w:r>
      <w:r>
        <w:rPr>
          <w:rFonts w:ascii="Times New Roman" w:cs="Times New Roman" w:eastAsia="Times New Roman" w:hAnsi="Times New Roman"/>
          <w:sz w:val="20"/>
          <w:szCs w:val="20"/>
          <w:color w:val="auto"/>
        </w:rPr>
        <w:t xml:space="preserve"> above.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of Control</w:t>
      </w:r>
      <w:r>
        <w:rPr>
          <w:rFonts w:ascii="Times New Roman" w:cs="Times New Roman" w:eastAsia="Times New Roman" w:hAnsi="Times New Roman"/>
          <w:sz w:val="20"/>
          <w:szCs w:val="20"/>
          <w:color w:val="auto"/>
        </w:rPr>
        <w:t>” means the occurrence of any of the following events after the Issue Date:</w:t>
      </w:r>
    </w:p>
    <w:p>
      <w:pPr>
        <w:spacing w:after="0" w:line="220" w:lineRule="exact"/>
        <w:rPr>
          <w:sz w:val="20"/>
          <w:szCs w:val="20"/>
          <w:color w:val="auto"/>
        </w:rPr>
      </w:pPr>
    </w:p>
    <w:p>
      <w:pPr>
        <w:jc w:val="both"/>
        <w:ind w:firstLine="656"/>
        <w:spacing w:after="0" w:line="268" w:lineRule="auto"/>
        <w:tabs>
          <w:tab w:leader="none" w:pos="110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or indirect sale, transfer, conveyance or other disposition (other than by way of merger or consolidation), in one or a series of related transactions, of all or substantially all of the properties or assets of the Issuer and its Restricted Subsidiaries, taken as a whole, to any “person” or “group” (as such terms are used in Section 13(d) of the Exchange Act);</w:t>
      </w:r>
    </w:p>
    <w:p>
      <w:pPr>
        <w:spacing w:after="0" w:line="16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of a plan relating to the liquidation or dissolution of the Issuer or any Parent Company; or</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079"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any transaction (including, without limitation, any merger or consolidation), the result of which is that any “person” or “group” becomes the Beneficial Owner, directly or indirectly, of more than 50% of the Voting Stock of the Issuer or any Parent Company, measured by voting power rather than number of shares, except as a result of a Redomestication.</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Notwithstanding the preceding or any provision of Section 13(d)-3 of the Exchange Act, (i) a Person or group shall not be deemed to beneficially own Voting Stock subject to a stock or asset purchase agreement, merger agreement, option agreement, warrant agreement or similar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09" w:right="33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20"/>
          <w:szCs w:val="20"/>
          <w:color w:val="auto"/>
        </w:rPr>
        <w:t>(or voting or option or similar agreement related thereto) until the consummation of the acquisition of the Voting Stock in connection with the transactions contemplated by such agreement and (ii) a Person or group will not be deemed to beneficially own the Voting Stock of another Person as a result of its ownership of Voting Stock or other securities of such other Person’s parent entity (or related contractual rights) unless it owns 50% or more of the total voting power of the Voting Stock entitled to vote for the election of directors of such parent entity having a majority of the aggregate votes on the Board of Directors of such parent entity.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Notwithstanding the preceding, (a) a transaction will not be deemed to involve a Change of Control if (i) the Issuer becomes a direct or indirect wholly owned Subsidiary of a Parent Company and (ii) immediately following that transaction no Person (other than a Parent Company satisfying the requirements of this sentence) is the Beneficial Owner, directly or indirectly, of more than 50% of the Voting Stock of such Parent Company (or its general partner, if applicable), and (b) (i) a conversion of the Issuer or any of its Restricted Subsidiaries from a limited partnership, corporation, limited liability company or other form of entity to a limited liability company, corporation, limited partnership or other form of entity or (ii) an exchange of all the outstanding Equity Interests in one form of entity for Equity Interests in another form of entity each shall not constitute a Change of Control, so long as immediately following such conversion or exchange or transaction no “person” Beneficially Owns more than 50% of the Voting Stock of such entity (or its general partner, if applicable). No Change of Control will be deemed to have occurred unless and until such Change of Control has actually been consummated.</w:t>
      </w:r>
    </w:p>
    <w:p>
      <w:pPr>
        <w:spacing w:after="0" w:line="1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Notwithstanding anything to the contrary under this Indenture, the entry by the Issuer or any Restricted Subsidiary into any one or more charter party agreements or drilling contracts or the demise, bareboat, time, voyage, other charter, lease or other right to use of any of the Issuer’s or the Restricted Subsidiaries’ Rigs, in each case, in the ordinary course of business shall not be deemed to involve a Change of Control.</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of Control Triggering Event</w:t>
      </w:r>
      <w:r>
        <w:rPr>
          <w:rFonts w:ascii="Times New Roman" w:cs="Times New Roman" w:eastAsia="Times New Roman" w:hAnsi="Times New Roman"/>
          <w:sz w:val="20"/>
          <w:szCs w:val="20"/>
          <w:color w:val="auto"/>
        </w:rPr>
        <w:t>” means the occurrence of both a Change of Control and a Rating Decline with respect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Code</w:t>
      </w:r>
      <w:r>
        <w:rPr>
          <w:rFonts w:ascii="Times New Roman" w:cs="Times New Roman" w:eastAsia="Times New Roman" w:hAnsi="Times New Roman"/>
          <w:sz w:val="20"/>
          <w:szCs w:val="20"/>
          <w:color w:val="auto"/>
        </w:rPr>
        <w:t>” means the United States Internal Revenue Code of 1986, as amended.</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Commercial Operation Date</w:t>
      </w:r>
      <w:r>
        <w:rPr>
          <w:rFonts w:ascii="Times New Roman" w:cs="Times New Roman" w:eastAsia="Times New Roman" w:hAnsi="Times New Roman"/>
          <w:sz w:val="20"/>
          <w:szCs w:val="20"/>
          <w:color w:val="auto"/>
        </w:rPr>
        <w:t>” means the date on which an acquired Rig commences commercial operations in accordance with the terms of its material customer contracts.</w:t>
      </w:r>
    </w:p>
    <w:p>
      <w:pPr>
        <w:spacing w:after="0" w:line="1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Common Stock</w:t>
      </w:r>
      <w:r>
        <w:rPr>
          <w:rFonts w:ascii="Times New Roman" w:cs="Times New Roman" w:eastAsia="Times New Roman" w:hAnsi="Times New Roman"/>
          <w:sz w:val="20"/>
          <w:szCs w:val="20"/>
          <w:color w:val="auto"/>
        </w:rPr>
        <w:t>” means with respect to any Person, any and all shares, interest or other participations in, and other equivalents (however designated and whether voting or nonvoting) of such Person’s common stock or shares, whether or not outstanding on the Issue Date, and includes, without limitation, all series and classes of such common stock or shares.</w:t>
      </w:r>
    </w:p>
    <w:p>
      <w:pPr>
        <w:spacing w:after="0" w:line="16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 Amortization Expense</w:t>
      </w:r>
      <w:r>
        <w:rPr>
          <w:rFonts w:ascii="Times New Roman" w:cs="Times New Roman" w:eastAsia="Times New Roman" w:hAnsi="Times New Roman"/>
          <w:sz w:val="20"/>
          <w:szCs w:val="20"/>
          <w:color w:val="auto"/>
        </w:rPr>
        <w:t>” for any period means the amortization expense of the relevant Person and its Restricted Subsidiaries for such period, determined on a consolidated basis in accordance with GAAP.</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 Cash Flow</w:t>
      </w:r>
      <w:r>
        <w:rPr>
          <w:rFonts w:ascii="Times New Roman" w:cs="Times New Roman" w:eastAsia="Times New Roman" w:hAnsi="Times New Roman"/>
          <w:sz w:val="20"/>
          <w:szCs w:val="20"/>
          <w:color w:val="auto"/>
        </w:rPr>
        <w:t>” for any period means, with respect to any specified Person and its Restricted Subsidiaries, without duplication, the sum of the amounts for such period of:</w:t>
      </w:r>
    </w:p>
    <w:p>
      <w:pPr>
        <w:spacing w:after="0" w:line="169"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Net Income, plus</w:t>
      </w:r>
    </w:p>
    <w:p>
      <w:pPr>
        <w:spacing w:after="0" w:line="215" w:lineRule="exact"/>
        <w:rPr>
          <w:rFonts w:ascii="Times New Roman" w:cs="Times New Roman" w:eastAsia="Times New Roman" w:hAnsi="Times New Roman"/>
          <w:sz w:val="20"/>
          <w:szCs w:val="20"/>
          <w:color w:val="auto"/>
        </w:rPr>
      </w:pPr>
    </w:p>
    <w:p>
      <w:pPr>
        <w:jc w:val="both"/>
        <w:ind w:firstLine="656"/>
        <w:spacing w:after="0" w:line="268" w:lineRule="auto"/>
        <w:tabs>
          <w:tab w:leader="none" w:pos="112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(a) the amount of net cost savings, operating expense reductions and synergies projected by the Issuer in good faith to be realized as a result of specified actions taken or to be taken (which cost savings, operating expense reductions or synergies shall be calculated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17" w:name="page18"/>
    <w:bookmarkEnd w:id="17"/>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pro forma basis as though such cost savings, operating expense reductions or synergies had been realized on the first day of such period), net of the amount of actual benefits realized during such period from such actions; provided that (A) such cost savings, operating expense reductions or synergies are reasonably identifiable and factually supportable, (B) such actions have been taken or are to be taken within 18 months after the date of determination to take such action and (C) the aggregate amounts added to Consolidated Cash Flow pursuant to this clause (2)(a) in any such period, together with any such amounts added to Consolidated Cash Flow pursuant to clause </w:t>
      </w:r>
      <w:r>
        <w:rPr>
          <w:rFonts w:ascii="Times New Roman" w:cs="Times New Roman" w:eastAsia="Times New Roman" w:hAnsi="Times New Roman"/>
          <w:sz w:val="20"/>
          <w:szCs w:val="20"/>
          <w:u w:val="single" w:color="auto"/>
          <w:color w:val="auto"/>
        </w:rPr>
        <w:t>(3)(g)</w:t>
      </w:r>
      <w:r>
        <w:rPr>
          <w:rFonts w:ascii="Times New Roman" w:cs="Times New Roman" w:eastAsia="Times New Roman" w:hAnsi="Times New Roman"/>
          <w:sz w:val="20"/>
          <w:szCs w:val="20"/>
          <w:color w:val="auto"/>
        </w:rPr>
        <w:t xml:space="preserve"> below, shall not exceed 15% of Consolidated Cash Flow for such period (calculated before giving effect to the adjustment set forth in this clause (2)(a)), (b) gains, losses and non-cash charges related to the cancellation of debt, swaps and/or other derivatives, (c) any non-cash adjustments and charges stemming from the application of fresh start accounting, (d) transaction expenses and integration costs incurred in connection with any acquisition or disposition, (e) non-cash charges and expenses relating to employee benefit plans, management incentive plans, equity compensation plans or other stock-based compensation arrangements, plus</w:t>
      </w:r>
    </w:p>
    <w:p>
      <w:pPr>
        <w:spacing w:after="0" w:line="196"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each case only to the extent deducted in determining Consolidated Net Income,</w:t>
      </w:r>
    </w:p>
    <w:p>
      <w:pPr>
        <w:spacing w:after="0" w:line="22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Income Tax Expense,</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Amortization Expense,</w:t>
      </w:r>
    </w:p>
    <w:p>
      <w:pPr>
        <w:spacing w:after="0" w:line="22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Depreciation Expense,</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Expense,</w:t>
      </w:r>
    </w:p>
    <w:p>
      <w:pPr>
        <w:spacing w:after="0" w:line="229"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923"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cash proceeds from business interruption insurance or reimbursement of expenses received related to any acquisition or disposition,</w:t>
      </w:r>
    </w:p>
    <w:p>
      <w:pPr>
        <w:spacing w:after="0" w:line="146"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 Cash Flow Adjustments,</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86"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charges, costs or losses attributable to severance in connection with any undertaking or implementation of restructurings (including any tax restructuring), cost savings initiatives and cost rationalization programs, business optimization initiatives, systems implementation, termination or modification of material contracts, entry into new markets, strategic initiatives, expansion or relocation, consolidation of any facility, modification to any pension and post-retirement employee benefit plan, software development, new systems design, project startup, consulting, business integrity and corporate development; provided that the aggregate amount of cash charges, costs or losses under this clause (3)(g), together with any amounts added to Consolidated Cash Flow pursuant to clause </w:t>
      </w:r>
      <w:r>
        <w:rPr>
          <w:rFonts w:ascii="Times New Roman" w:cs="Times New Roman" w:eastAsia="Times New Roman" w:hAnsi="Times New Roman"/>
          <w:sz w:val="20"/>
          <w:szCs w:val="20"/>
          <w:u w:val="single" w:color="auto"/>
          <w:color w:val="auto"/>
        </w:rPr>
        <w:t>(2)(a)</w:t>
      </w:r>
      <w:r>
        <w:rPr>
          <w:rFonts w:ascii="Times New Roman" w:cs="Times New Roman" w:eastAsia="Times New Roman" w:hAnsi="Times New Roman"/>
          <w:sz w:val="20"/>
          <w:szCs w:val="20"/>
          <w:color w:val="auto"/>
        </w:rPr>
        <w:t xml:space="preserve"> above, shall not exceed 15% of Consolidated Cash Flow for such period (calculated before giving effect to the adjustment set forth in clause </w:t>
      </w:r>
      <w:r>
        <w:rPr>
          <w:rFonts w:ascii="Times New Roman" w:cs="Times New Roman" w:eastAsia="Times New Roman" w:hAnsi="Times New Roman"/>
          <w:sz w:val="20"/>
          <w:szCs w:val="20"/>
          <w:u w:val="single" w:color="auto"/>
          <w:color w:val="auto"/>
        </w:rPr>
        <w:t>(2)(a)</w:t>
      </w:r>
      <w:r>
        <w:rPr>
          <w:rFonts w:ascii="Times New Roman" w:cs="Times New Roman" w:eastAsia="Times New Roman" w:hAnsi="Times New Roman"/>
          <w:sz w:val="20"/>
          <w:szCs w:val="20"/>
          <w:color w:val="auto"/>
        </w:rPr>
        <w:t xml:space="preserve"> above), and</w:t>
      </w:r>
    </w:p>
    <w:p>
      <w:pPr>
        <w:spacing w:after="0" w:line="181" w:lineRule="exact"/>
        <w:rPr>
          <w:rFonts w:ascii="Times New Roman" w:cs="Times New Roman" w:eastAsia="Times New Roman" w:hAnsi="Times New Roman"/>
          <w:sz w:val="20"/>
          <w:szCs w:val="20"/>
          <w:color w:val="auto"/>
        </w:rPr>
      </w:pPr>
    </w:p>
    <w:p>
      <w:pPr>
        <w:ind w:left="660" w:firstLine="644"/>
        <w:spacing w:after="0" w:line="283" w:lineRule="auto"/>
        <w:tabs>
          <w:tab w:leader="none" w:pos="1853"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non-cash items reducing the Consolidated Net Income (excluding any non-cash charge that results in an accrual of a reserve for cash charges in any future period) for such period, minus</w:t>
      </w:r>
    </w:p>
    <w:p>
      <w:pPr>
        <w:spacing w:after="0" w:line="159"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any Permitted Payments to Parent made during such period solely to the extent not deducted from, or otherwise reducing the amount of, Consolidated Net Income in such period (other than in respect of (i) Tax Payments and (ii) any Permitted Payments to Parent in respect of an expense or liability that would not have been deducted from, or otherwise reduced the amount of, Consolidated Net Income in such period had the Issuer or any Restricted Subsidiary incurred such expense or liability directly instead of a direct or indirect parent of the Issuer), (b) Consolidated Cash Flow attributable to Rigs that have ceased to be owned by the Issuer or any Restricted Subsidiary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20"/>
          <w:szCs w:val="20"/>
          <w:color w:val="auto"/>
        </w:rPr>
        <w:t>result of a disposition and (c) the aggregate amount of all non-cash items, determined on a consolidated basis, to the extent such items increased Consolidated Net Income for such period (other than accrual of revenue in the ordinary course or any non-cash items to the extent they represent the reversal of an accrual of a reserve for a potential cash item that reduced Consolidated Cash Flow in any prior period).</w:t>
      </w:r>
    </w:p>
    <w:p>
      <w:pPr>
        <w:spacing w:after="0" w:line="17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 Depreciation Expense</w:t>
      </w:r>
      <w:r>
        <w:rPr>
          <w:rFonts w:ascii="Times New Roman" w:cs="Times New Roman" w:eastAsia="Times New Roman" w:hAnsi="Times New Roman"/>
          <w:sz w:val="20"/>
          <w:szCs w:val="20"/>
          <w:color w:val="auto"/>
        </w:rPr>
        <w:t>” for any period means the depreciation expense of the relevant Person and its Restricted Subsidiaries for such period, determined on a consolidated basis in accordance with GAAP.</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 Income Tax Expense</w:t>
      </w:r>
      <w:r>
        <w:rPr>
          <w:rFonts w:ascii="Times New Roman" w:cs="Times New Roman" w:eastAsia="Times New Roman" w:hAnsi="Times New Roman"/>
          <w:sz w:val="20"/>
          <w:szCs w:val="20"/>
          <w:color w:val="auto"/>
        </w:rPr>
        <w:t>” for any period means the provision for taxes of the relevant Person and its Restricted Subsidiaries, determined on a consolidated basis in accordance with GAAP.</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 Interest Coverage Ratio</w:t>
      </w:r>
      <w:r>
        <w:rPr>
          <w:rFonts w:ascii="Times New Roman" w:cs="Times New Roman" w:eastAsia="Times New Roman" w:hAnsi="Times New Roman"/>
          <w:sz w:val="20"/>
          <w:szCs w:val="20"/>
          <w:color w:val="auto"/>
        </w:rPr>
        <w:t>” means, on any date of determination, with respect to any Person, the ratio of (x) Consolidated Cash Flow during the Four-Quarter Period ending on or prior to the date of the transaction giving rise to the need to calculate the Consolidated Interest Coverage Ratio (the “</w:t>
      </w:r>
      <w:r>
        <w:rPr>
          <w:rFonts w:ascii="Times New Roman" w:cs="Times New Roman" w:eastAsia="Times New Roman" w:hAnsi="Times New Roman"/>
          <w:sz w:val="20"/>
          <w:szCs w:val="20"/>
          <w:i w:val="1"/>
          <w:iCs w:val="1"/>
          <w:color w:val="auto"/>
        </w:rPr>
        <w:t>Transaction Date</w:t>
      </w:r>
      <w:r>
        <w:rPr>
          <w:rFonts w:ascii="Times New Roman" w:cs="Times New Roman" w:eastAsia="Times New Roman" w:hAnsi="Times New Roman"/>
          <w:sz w:val="20"/>
          <w:szCs w:val="20"/>
          <w:color w:val="auto"/>
        </w:rPr>
        <w:t>”) to (y) Consolidated Interest Expense for the Four-Quarter Period. For purposes of this definition, Consolidated Cash Flow and Consolidated Interest Expense shall be calculated after giving effect on a pro forma basis for the period of such calculation to:</w:t>
      </w:r>
    </w:p>
    <w:p>
      <w:pPr>
        <w:spacing w:after="0" w:line="172" w:lineRule="exact"/>
        <w:rPr>
          <w:sz w:val="20"/>
          <w:szCs w:val="20"/>
          <w:color w:val="auto"/>
        </w:rPr>
      </w:pPr>
    </w:p>
    <w:p>
      <w:pPr>
        <w:jc w:val="both"/>
        <w:ind w:firstLine="656"/>
        <w:spacing w:after="0" w:line="252" w:lineRule="auto"/>
        <w:tabs>
          <w:tab w:leader="none" w:pos="115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incurrence of any Indebtedness or the issuance of any Disqualified Equity Interests of the Issuer or Disqualified Equity Interests or Preferred Stock of any Restricted Subsidiary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(subject to the proviso below), as if such incurrence, repayment, repurchase, issuance or redemption, as the case may be (and the application of the proceeds thereof), occurred on the first day of the Four-Quarter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pro forma calculation shall not give effect to any Indebtedness incurred on the Transaction Date pursuant to the provisions described in </w:t>
      </w:r>
      <w:r>
        <w:rPr>
          <w:rFonts w:ascii="Times New Roman" w:cs="Times New Roman" w:eastAsia="Times New Roman" w:hAnsi="Times New Roman"/>
          <w:sz w:val="20"/>
          <w:szCs w:val="20"/>
          <w:u w:val="single" w:color="auto"/>
          <w:color w:val="auto"/>
        </w:rPr>
        <w:t>Section 4.9(b)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4.9(g)</w:t>
      </w:r>
      <w:r>
        <w:rPr>
          <w:rFonts w:ascii="Times New Roman" w:cs="Times New Roman" w:eastAsia="Times New Roman" w:hAnsi="Times New Roman"/>
          <w:sz w:val="20"/>
          <w:szCs w:val="20"/>
          <w:color w:val="auto"/>
        </w:rPr>
        <w:t>, other than those provisions that are based on a ratio; and</w:t>
      </w:r>
    </w:p>
    <w:p>
      <w:pPr>
        <w:spacing w:after="0" w:line="175" w:lineRule="exact"/>
        <w:rPr>
          <w:rFonts w:ascii="Times New Roman" w:cs="Times New Roman" w:eastAsia="Times New Roman" w:hAnsi="Times New Roman"/>
          <w:sz w:val="20"/>
          <w:szCs w:val="20"/>
          <w:color w:val="auto"/>
        </w:rPr>
      </w:pPr>
    </w:p>
    <w:p>
      <w:pPr>
        <w:jc w:val="both"/>
        <w:ind w:firstLine="656"/>
        <w:spacing w:after="0" w:line="252" w:lineRule="auto"/>
        <w:tabs>
          <w:tab w:leader="none" w:pos="110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Asset Sale or Asset Acquisition (including, without limitation, any Asset Acquisition giving rise to the need to make such calculation as a result of the Issuer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 last day of the Four-Quarter Period and on or prior to the Transaction Date, as if such Asset Sale or Asset Acquisition (including the incurrence of, or assumption or liability for, any such Indebtedness or Acquired Indebtedness) occurred on the first day of the Four-Quarter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pro forma calculations shall be determined in good faith by a Responsible Financial or Accounting Officer of the Issuer whether or not such pro forma adjustments would be permitted under SEC rules or guidelines.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calculating Consolidated Interest Expense for purposes of this Consolidated Interest Coverage Ratio:</w:t>
      </w:r>
    </w:p>
    <w:p>
      <w:pPr>
        <w:spacing w:after="0" w:line="216" w:lineRule="exact"/>
        <w:rPr>
          <w:sz w:val="20"/>
          <w:szCs w:val="20"/>
          <w:color w:val="auto"/>
        </w:rPr>
      </w:pPr>
    </w:p>
    <w:p>
      <w:pPr>
        <w:ind w:left="660" w:firstLine="644"/>
        <w:spacing w:after="0" w:line="283" w:lineRule="auto"/>
        <w:tabs>
          <w:tab w:leader="none" w:pos="184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outstanding Indebtedness determined on a fluctuating basis as of the Transaction Date and which will continue to be so determined thereafter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20"/>
          <w:szCs w:val="20"/>
          <w:color w:val="auto"/>
        </w:rPr>
        <w:t>to have accrued at a fixed rate per annum equal to the rate of interest on such Indebtedness in effect on the Transaction Date;</w:t>
      </w:r>
    </w:p>
    <w:p>
      <w:pPr>
        <w:spacing w:after="0" w:line="229" w:lineRule="exact"/>
        <w:rPr>
          <w:sz w:val="20"/>
          <w:szCs w:val="20"/>
          <w:color w:val="auto"/>
        </w:rPr>
      </w:pPr>
    </w:p>
    <w:p>
      <w:pPr>
        <w:jc w:val="both"/>
        <w:ind w:left="660" w:firstLine="644"/>
        <w:spacing w:after="0" w:line="261" w:lineRule="auto"/>
        <w:tabs>
          <w:tab w:leader="none" w:pos="179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and</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76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15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 Interest Expense</w:t>
      </w:r>
      <w:r>
        <w:rPr>
          <w:rFonts w:ascii="Times New Roman" w:cs="Times New Roman" w:eastAsia="Times New Roman" w:hAnsi="Times New Roman"/>
          <w:sz w:val="20"/>
          <w:szCs w:val="20"/>
          <w:color w:val="auto"/>
        </w:rPr>
        <w:t>” for any period means the sum, without duplication, of the total interest expense of the relevant Person and its Restricted Subsidiaries for such period, determined on a consolidated basis in accordance with GAAP, including, without duplication:</w:t>
      </w:r>
    </w:p>
    <w:p>
      <w:pPr>
        <w:spacing w:after="0" w:line="179"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imputed interest on Capitalized Lease Obligations;</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07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commissions, discounts and other fees and charges owed with respect to letters of credit securing financial obligations, bankers’ acceptance financing and receivables financings;</w:t>
      </w:r>
    </w:p>
    <w:p>
      <w:pPr>
        <w:spacing w:after="0" w:line="17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costs associated with Hedging Obligations related to interest rates;</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debt issuance costs, debt discount or premium and other financing fees and expenses;</w:t>
      </w:r>
    </w:p>
    <w:p>
      <w:pPr>
        <w:spacing w:after="0" w:line="22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 portion of any deferred payment obligations;</w:t>
      </w:r>
    </w:p>
    <w:p>
      <w:pPr>
        <w:spacing w:after="0" w:line="22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non-cash interest expense;</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capitalized interest;</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13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dividend payments on any series of Disqualified Equity Interests of the Issuer or any of its Restricted Subsidiaries or any Preferred Stock of any Restricted Subsidiary (other than dividends on Equity Interests to the extent payable in Qualified Equity Interests of the Issuer or to the Issuer or a Restricted Subsidiary of the Issuer);</w:t>
      </w:r>
    </w:p>
    <w:p>
      <w:pPr>
        <w:spacing w:after="0" w:line="167"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interest payable with respect to discontinued operations; and</w:t>
      </w:r>
    </w:p>
    <w:p>
      <w:pPr>
        <w:spacing w:after="0" w:line="229" w:lineRule="exact"/>
        <w:rPr>
          <w:rFonts w:ascii="Times New Roman" w:cs="Times New Roman" w:eastAsia="Times New Roman" w:hAnsi="Times New Roman"/>
          <w:sz w:val="20"/>
          <w:szCs w:val="20"/>
          <w:color w:val="auto"/>
        </w:rPr>
      </w:pPr>
    </w:p>
    <w:p>
      <w:pPr>
        <w:ind w:left="1180" w:hanging="524"/>
        <w:spacing w:after="0"/>
        <w:tabs>
          <w:tab w:leader="none" w:pos="11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interest on any Indebtedness described in </w:t>
      </w:r>
      <w:r>
        <w:rPr>
          <w:rFonts w:ascii="Times New Roman" w:cs="Times New Roman" w:eastAsia="Times New Roman" w:hAnsi="Times New Roman"/>
          <w:sz w:val="20"/>
          <w:szCs w:val="20"/>
          <w:u w:val="single" w:color="auto"/>
          <w:color w:val="auto"/>
        </w:rPr>
        <w:t>clause (7)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w:t>
      </w:r>
      <w:r>
        <w:rPr>
          <w:rFonts w:ascii="Times New Roman" w:cs="Times New Roman" w:eastAsia="Times New Roman" w:hAnsi="Times New Roman"/>
          <w:sz w:val="20"/>
          <w:szCs w:val="20"/>
          <w:color w:val="auto"/>
        </w:rPr>
        <w:t xml:space="preserve"> of the definition of Indebtedness.</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Notwithstanding the foregoing, the interest component of any lease that is not a Capitalized Lease Obligation will not be included in Consolidated Interest Expense.</w:t>
      </w:r>
    </w:p>
    <w:p>
      <w:pPr>
        <w:spacing w:after="0" w:line="1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 Net Income</w:t>
      </w:r>
      <w:r>
        <w:rPr>
          <w:rFonts w:ascii="Times New Roman" w:cs="Times New Roman" w:eastAsia="Times New Roman" w:hAnsi="Times New Roman"/>
          <w:sz w:val="20"/>
          <w:szCs w:val="20"/>
          <w:color w:val="auto"/>
        </w:rPr>
        <w:t xml:space="preserve">” for any period means the net income (or loss) of such Person and its Restricted Subsidiaries, in each case for such period determined on a consolidated basis in accordance with GAAP;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there shall be excluded in calculating such net income (or loss), to the extent otherwise included therein, without duplication:</w:t>
      </w:r>
    </w:p>
    <w:p>
      <w:pPr>
        <w:spacing w:after="0" w:line="179" w:lineRule="exact"/>
        <w:rPr>
          <w:sz w:val="20"/>
          <w:szCs w:val="20"/>
          <w:color w:val="auto"/>
        </w:rPr>
      </w:pPr>
    </w:p>
    <w:p>
      <w:pPr>
        <w:jc w:val="both"/>
        <w:ind w:firstLine="656"/>
        <w:spacing w:after="0" w:line="261" w:lineRule="auto"/>
        <w:tabs>
          <w:tab w:leader="none" w:pos="112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income (or loss) of any Person (other than a Restricted Subsidiary) in which any Person other than the Issuer and the Restricted Subsidiaries has an ownership interest, except (i) to the extent that cash in an amount equal to any such income has actually been received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20" w:name="page21"/>
    <w:bookmarkEnd w:id="20"/>
    <w:p>
      <w:pPr>
        <w:ind w:right="20"/>
        <w:spacing w:after="0" w:line="283" w:lineRule="auto"/>
        <w:rPr>
          <w:sz w:val="20"/>
          <w:szCs w:val="20"/>
          <w:color w:val="auto"/>
        </w:rPr>
      </w:pPr>
      <w:r>
        <w:rPr>
          <w:rFonts w:ascii="Times New Roman" w:cs="Times New Roman" w:eastAsia="Times New Roman" w:hAnsi="Times New Roman"/>
          <w:sz w:val="20"/>
          <w:szCs w:val="20"/>
          <w:color w:val="auto"/>
        </w:rPr>
        <w:t>Person or to any of its Restricted Subsidiaries or (ii) the amount of any loans repaid by such other Person to such Person or to any of its Restricted Subsidiaries during such period, as the case may be;</w:t>
      </w:r>
    </w:p>
    <w:p>
      <w:pPr>
        <w:spacing w:after="0" w:line="146" w:lineRule="exact"/>
        <w:rPr>
          <w:sz w:val="20"/>
          <w:szCs w:val="20"/>
          <w:color w:val="auto"/>
        </w:rPr>
      </w:pPr>
    </w:p>
    <w:p>
      <w:pPr>
        <w:jc w:val="both"/>
        <w:ind w:firstLine="656"/>
        <w:spacing w:after="0" w:line="261" w:lineRule="auto"/>
        <w:tabs>
          <w:tab w:leader="none" w:pos="110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to the extent includible in the net income (or loss) of the Issuer pursuant to the foregoing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the net income (or loss) of any Person that accrued prior to the date that (a) such Person becomes a Restricted Subsidiary or is merged into or consolidated with the Issuer or any Restricted Subsidiary or (b) the assets of such Person are acquired by the Issuer or any Restricted Subsidiary;</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1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income of any Ineligible LCE or Unrestricted Subsidiary except to the extent of (i) the amount of dividends or distributions or other return on investment actually paid in cash during such period by such Ineligible LCE or Unrestricted Subsidiary to the Issuer or to any of its Restricted Subsidiaries (or to the extent non-cash dividends or distributions are received and converted into cash by the Issuer or any of its Restricted Subsidiaries during such period), as the case may be, (ii) the amount of any loans repaid by such Ineligible LCE or Unrestricted Subsidiary to the Issuer or to any of its Restricted Subsidiaries, as the case may be and (iii) any other amount paid in cash by such Ineligible LCE or Unrestricted Subsidiary pursuant to the RCF Credit Agreement;</w:t>
      </w:r>
    </w:p>
    <w:p>
      <w:pPr>
        <w:spacing w:after="0" w:line="19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67"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net income (but not loss) of any Restricted Subsidiary other than a Guarantor during such period to the extent that the declaration or payment of dividends or similar distributions by such Restricted Subsidiary of that income is not permitted by operation of the terms of its charter or any agreement or instrument applicable to that Subsidiary (other than by the terms of any Indebtedness of such Restricted Subsidiary outstanding pursuant to </w:t>
      </w:r>
      <w:r>
        <w:rPr>
          <w:rFonts w:ascii="Times New Roman" w:cs="Times New Roman" w:eastAsia="Times New Roman" w:hAnsi="Times New Roman"/>
          <w:sz w:val="20"/>
          <w:szCs w:val="20"/>
          <w:u w:val="single" w:color="auto"/>
          <w:color w:val="auto"/>
        </w:rPr>
        <w:t>Section 4.9(b)(8)</w:t>
      </w:r>
      <w:r>
        <w:rPr>
          <w:rFonts w:ascii="Times New Roman" w:cs="Times New Roman" w:eastAsia="Times New Roman" w:hAnsi="Times New Roman"/>
          <w:sz w:val="20"/>
          <w:szCs w:val="20"/>
          <w:color w:val="auto"/>
        </w:rPr>
        <w:t>) except to the extent such income is actually paid in cash during such period by such Restricted Subsidiary to the Issuer or another Restricted Subsidiary (or to the extent non-cash dividends or distributions are received and converted into cash by the Issuer or any of its Restricted Subsidiaries during such period);</w:t>
      </w:r>
    </w:p>
    <w:p>
      <w:pPr>
        <w:spacing w:after="0" w:line="178" w:lineRule="exact"/>
        <w:rPr>
          <w:rFonts w:ascii="Times New Roman" w:cs="Times New Roman" w:eastAsia="Times New Roman" w:hAnsi="Times New Roman"/>
          <w:sz w:val="20"/>
          <w:szCs w:val="20"/>
          <w:color w:val="auto"/>
        </w:rPr>
      </w:pPr>
    </w:p>
    <w:p>
      <w:pPr>
        <w:ind w:left="1160" w:hanging="504"/>
        <w:spacing w:after="0"/>
        <w:tabs>
          <w:tab w:leader="none" w:pos="11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income (or loss) of any Person acquired in a pooling-of-interests transaction for any period prior to the date of such</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w:t>
      </w:r>
    </w:p>
    <w:p>
      <w:pPr>
        <w:spacing w:after="0" w:line="200"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cumulative effect of any change in accounting principles or policies;</w:t>
      </w:r>
    </w:p>
    <w:p>
      <w:pPr>
        <w:spacing w:after="0" w:line="229" w:lineRule="exact"/>
        <w:rPr>
          <w:rFonts w:ascii="Times New Roman" w:cs="Times New Roman" w:eastAsia="Times New Roman" w:hAnsi="Times New Roman"/>
          <w:sz w:val="20"/>
          <w:szCs w:val="20"/>
          <w:color w:val="auto"/>
        </w:rPr>
      </w:pPr>
    </w:p>
    <w:p>
      <w:pPr>
        <w:jc w:val="both"/>
        <w:ind w:firstLine="656"/>
        <w:spacing w:after="0" w:line="258" w:lineRule="auto"/>
        <w:tabs>
          <w:tab w:leader="none" w:pos="113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any costs, expenses or charges (including advisory, legal and professional fees) related to any issuance of debt or equity, investments, acquisition, disposition, recapitalization or incurrence, amendment, waiver, modification, extinguishment or refinancing of any Indebtedness, whether or not consummated, including such fees, expenses or charges related to the offering of the Notes and any Debt Facilities, (B) any costs, expenses or charges relating to the Refinancing Transactions, and (C) legal settlement expenses;</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19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gains or losses or positive or negative adjustments under ASC 815 (and any statements replacing, modifying or superseding such statement) as the result of changes in the fair market value of derivatives; and</w:t>
      </w:r>
    </w:p>
    <w:p>
      <w:pPr>
        <w:spacing w:after="0" w:line="146"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write-ups, write-downs or other non-cash impairments of assets;</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w:t>
      </w:r>
      <w:r>
        <w:rPr>
          <w:rFonts w:ascii="Times New Roman" w:cs="Times New Roman" w:eastAsia="Times New Roman" w:hAnsi="Times New Roman"/>
          <w:sz w:val="20"/>
          <w:szCs w:val="20"/>
          <w:color w:val="auto"/>
        </w:rPr>
        <w:t>, that any expenses, costs or charges recorded in the financial statements of a Parent Company (including, for the avoidance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doubt, the Parent) that are related or attributable to the business or operations of the Issuer and its Subsidiaries, including the management thereof, shall be included in, and deducted from, without duplication, the Consolidated Net Income of the Issuer and its Restricted Subsidiaries, to the extent not already reflected in the net income (or loss) of the Issuer and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21" w:name="page22"/>
    <w:bookmarkEnd w:id="21"/>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 Total Assets</w:t>
      </w:r>
      <w:r>
        <w:rPr>
          <w:rFonts w:ascii="Times New Roman" w:cs="Times New Roman" w:eastAsia="Times New Roman" w:hAnsi="Times New Roman"/>
          <w:sz w:val="20"/>
          <w:szCs w:val="20"/>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 Total Debt Ratio</w:t>
      </w:r>
      <w:r>
        <w:rPr>
          <w:rFonts w:ascii="Times New Roman" w:cs="Times New Roman" w:eastAsia="Times New Roman" w:hAnsi="Times New Roman"/>
          <w:sz w:val="20"/>
          <w:szCs w:val="20"/>
          <w:color w:val="auto"/>
        </w:rPr>
        <w:t>” means, as of any date of determination, the ratio of (1) (i) Consolidated Total Indebtedness of the Issuer and its Restricted Subsidiaries minus (ii) unrestricted cash and Cash Equivalents of the Issuer and its Restricted Subsidiaries, in each case, as of the end of the Four-Quarter Period immediately preceding the date of determination to (2) Consolidated Cash Flow of the Issuer for such Four-Quarter Period, with such pro forma adjustments to Consolidated Total Indebtedness, Cash Equivalents and Consolidated Cash Flow as are appropriate and consistent with the pro forma adjustment provisions set forth in the definition of “Consolidated Interest Coverage Ratio.”</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 Total Indebtedness</w:t>
      </w:r>
      <w:r>
        <w:rPr>
          <w:rFonts w:ascii="Times New Roman" w:cs="Times New Roman" w:eastAsia="Times New Roman" w:hAnsi="Times New Roman"/>
          <w:sz w:val="20"/>
          <w:szCs w:val="20"/>
          <w:color w:val="auto"/>
        </w:rPr>
        <w:t>” means, as at any date of determination, an amount equal to the sum of (1) the aggregate amount of all outstanding Indebtedness of the Issuer and its Restricted Subsidiaries on a consolidated basis consisting of Indebtedness for borrowed money, Obligations in respect of Capitalized Lease Obligations and debt obligations evidenced by bonds, notes, debentures or similar instruments or drawn and unreimbursed letters of credit or bankers’ acceptances (and excluding Hedging Obligations) and (2) the aggregate amount of all outstanding Disqualified Equity Interests of the Issuer and the Restricted Subsidiaries and (without double-counting) all preferred stock of Restricted Subsidiaries that are not the Issuer or Guarantors, with the amount of such Disqualified Equity Interests and preferred stock equal to the greater of their respective voluntary or involuntary liquidation preferences and their maximum mandatory redemption or repurchase price, in each case, determined on a consolidated basis in accordance with GAAP. For purposes hereof, the “maximum mandatory redemption or repurchase price” of any Disqualified Equity Interests that do not have a fixed redemption or repurchase price shall be calculated in accordance with the terms of such Disqualified Equity Interests as if such Disqualified Equity Interests were redeemed or repurchased on any date on which an amount of Indebtedness outstanding shall be required to be determined pursuant to this Indenture.</w:t>
      </w:r>
    </w:p>
    <w:p>
      <w:pPr>
        <w:spacing w:after="0" w:line="17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Corporate Trust Office</w:t>
      </w:r>
      <w:r>
        <w:rPr>
          <w:rFonts w:ascii="Times New Roman" w:cs="Times New Roman" w:eastAsia="Times New Roman" w:hAnsi="Times New Roman"/>
          <w:sz w:val="20"/>
          <w:szCs w:val="20"/>
          <w:color w:val="auto"/>
        </w:rPr>
        <w:t>” means the offices of the Trustee at which at any time its corporate trust business shall be principally administered, which office as of the date hereof is located at 66 Hudson Boulevard East, 5th Floor, New York, NY 10001, or such other address as the Trustee may designate from time to time by notice to the Holders and the Issuer, or the corporate trust office of any successor trustee (or such other address as such successor trustee may designate from time to time by notice to the Holders and the Issuer).</w:t>
      </w:r>
    </w:p>
    <w:p>
      <w:pPr>
        <w:spacing w:after="0" w:line="17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Customary Recourse Exceptions</w:t>
      </w:r>
      <w:r>
        <w:rPr>
          <w:rFonts w:ascii="Times New Roman" w:cs="Times New Roman" w:eastAsia="Times New Roman" w:hAnsi="Times New Roman"/>
          <w:sz w:val="20"/>
          <w:szCs w:val="20"/>
          <w:color w:val="auto"/>
        </w:rPr>
        <w:t>” means, with respect to any Non-Recourse Debt of an Unrestricted Subsidiary,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Debt Facilities</w:t>
      </w:r>
      <w:r>
        <w:rPr>
          <w:rFonts w:ascii="Times New Roman" w:cs="Times New Roman" w:eastAsia="Times New Roman" w:hAnsi="Times New Roman"/>
          <w:sz w:val="20"/>
          <w:szCs w:val="20"/>
          <w:color w:val="auto"/>
        </w:rPr>
        <w:t>” means one or more debt facilities or other credit agreements, indentures or commercial paper facilities (which may be outstanding at the same time and including, without limitation, the RCF Credit Agreement) providing for revolving credit loans, debt securities, capital markets financings, term loans, receivables financing or letters of credit and, in each case, as such agreements may be amended, refinanced, restated, refunded or otherwise restructured, in whole or in part from time to time (including increasing the amount of available borrowings thereunder or adding Subsidiaries of the Issuer as additional borrowers or guarantors thereunder) with respect to all or any portion of the Indebtedness under such agreement or agreements or any successor or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0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color w:val="auto"/>
        </w:rPr>
        <w:t>agreement or agreements and whether by the same or any other agent, lender, group of lenders or institutional lenders or investors.</w:t>
      </w:r>
    </w:p>
    <w:p>
      <w:pPr>
        <w:spacing w:after="0" w:line="22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Default</w:t>
      </w:r>
      <w:r>
        <w:rPr>
          <w:rFonts w:ascii="Times New Roman" w:cs="Times New Roman" w:eastAsia="Times New Roman" w:hAnsi="Times New Roman"/>
          <w:sz w:val="20"/>
          <w:szCs w:val="20"/>
          <w:color w:val="auto"/>
        </w:rPr>
        <w:t>” means (1) any Event of Default or (2) any event, act or condition that, after notice or the passage of time or both, would be an Event of Default.</w:t>
      </w:r>
    </w:p>
    <w:p>
      <w:pPr>
        <w:spacing w:after="0" w:line="165"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Depositary</w:t>
      </w:r>
      <w:r>
        <w:rPr>
          <w:rFonts w:ascii="Times New Roman" w:cs="Times New Roman" w:eastAsia="Times New Roman" w:hAnsi="Times New Roman"/>
          <w:sz w:val="20"/>
          <w:szCs w:val="20"/>
          <w:color w:val="auto"/>
        </w:rPr>
        <w:t xml:space="preserve">” means with respect to the Notes issuable or issued in whole or in part in global form, the Person specified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2.3</w:t>
      </w:r>
      <w:r>
        <w:rPr>
          <w:rFonts w:ascii="Times New Roman" w:cs="Times New Roman" w:eastAsia="Times New Roman" w:hAnsi="Times New Roman"/>
          <w:sz w:val="20"/>
          <w:szCs w:val="20"/>
          <w:color w:val="auto"/>
        </w:rPr>
        <w:t xml:space="preserve"> hereof as the Depositary with respect to the Global Notes, and any and all successors thereto appointed as depositary hereunder and having become such pursuant to the applicable provision of this Indenture.</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Derivative Instrument</w:t>
      </w:r>
      <w:r>
        <w:rPr>
          <w:rFonts w:ascii="Times New Roman" w:cs="Times New Roman" w:eastAsia="Times New Roman" w:hAnsi="Times New Roman"/>
          <w:sz w:val="20"/>
          <w:szCs w:val="20"/>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Regulated Bank or a Screened Affiliate) is a party (whether or not requiring further performance by such Person), the value and/or cash flows of which (or any material portion thereof) are materially affected by the value and/or performance of the Notes and/or the creditworthiness of the Performance References.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Designated Non-cash Consideration</w:t>
      </w:r>
      <w:r>
        <w:rPr>
          <w:rFonts w:ascii="Times New Roman" w:cs="Times New Roman" w:eastAsia="Times New Roman" w:hAnsi="Times New Roman"/>
          <w:sz w:val="20"/>
          <w:szCs w:val="20"/>
          <w:color w:val="auto"/>
        </w:rPr>
        <w:t>” means the Fair Market Value of non-cash consideration received by the Issuer or a Restricted Subsidiary of the Issuer in connection with an Asset Sale that is so designated as Designated Non-cash Consideration pursuant to an Officers’ Certificate, setting forth the basis of such valuation, less the amount of cash or Cash Equivalents received in connection with a subsequent sale of or collection on such Designated Non-cash Consideration.</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Disqualified Equity Interests</w:t>
      </w:r>
      <w:r>
        <w:rPr>
          <w:rFonts w:ascii="Times New Roman" w:cs="Times New Roman" w:eastAsia="Times New Roman" w:hAnsi="Times New Roman"/>
          <w:sz w:val="20"/>
          <w:szCs w:val="20"/>
          <w:color w:val="auto"/>
        </w:rPr>
        <w:t xml:space="preserve">” of any Person means any class of Equity Interests of such Person that, by its terms, or by the terms of any related agreement or of any security into which it is convertible, puttable or exchangeable (in each case, at the option of the holder thereof), is, or upon the happening of any event or the passage of time would be, required to be redeemed by such Person, at the option of the holder thereof, or matures or is mandatorily redeemable, pursuant to a sinking fund obligation or otherwise, in whole or in part, on or prior to the date which is 91 days after the Stated Maturity of the Notes;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any Equity Interests that would not constitute Disqualified Equity Interests but for provisions thereof giving holders thereof (or the holders of any security into or for which such Equity Interests are convertible, exchangeable or exercisable) the right to require the Issuer to repurchase or redeem such Equity Interests upon the occurrence of a change in control or an Asset Sale occurring prior to the 91st day after the Stated Maturity of the Notes shall not constitute Disqualified Equity Interests if the change of control or asset sale provisions applicable to such Equity Interests are no more favorable to such holders than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respectively, and such Equity Interests specifically provide that the Issuer will not repurchase or redeem any such Equity Interests pursuant to such provisions prior to the Issuer’s purchase of the Notes as required pursuant to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4.13</w:t>
      </w:r>
      <w:r>
        <w:rPr>
          <w:rFonts w:ascii="Times New Roman" w:cs="Times New Roman" w:eastAsia="Times New Roman" w:hAnsi="Times New Roman"/>
          <w:sz w:val="20"/>
          <w:szCs w:val="20"/>
          <w:color w:val="auto"/>
        </w:rPr>
        <w:t>, respectively.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dollars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U.S. 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shall mean lawful money of the United States.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DTC</w:t>
      </w:r>
      <w:r>
        <w:rPr>
          <w:rFonts w:ascii="Times New Roman" w:cs="Times New Roman" w:eastAsia="Times New Roman" w:hAnsi="Times New Roman"/>
          <w:sz w:val="20"/>
          <w:szCs w:val="20"/>
          <w:color w:val="auto"/>
        </w:rPr>
        <w:t>” means The Depository Trust Company and any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23" w:name="page24"/>
    <w:bookmarkEnd w:id="23"/>
    <w:p>
      <w:pPr>
        <w:jc w:val="both"/>
        <w:ind w:firstLine="648"/>
        <w:spacing w:after="0" w:line="28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Eligible Bank</w:t>
      </w:r>
      <w:r>
        <w:rPr>
          <w:rFonts w:ascii="Times New Roman" w:cs="Times New Roman" w:eastAsia="Times New Roman" w:hAnsi="Times New Roman"/>
          <w:sz w:val="19"/>
          <w:szCs w:val="19"/>
          <w:color w:val="auto"/>
        </w:rPr>
        <w:t>” means any commercial bank having, or which is the principal banking subsidiary of a bank holding company having, capital and surplus aggregating in excess of $250.0 million (or in the equivalent thereof in a foreign currency as of the date of determination) and a rating of “A” (or such other similar equivalent rating) or higher by at least one nationally recognized statistical rating organization.</w:t>
      </w:r>
    </w:p>
    <w:p>
      <w:pPr>
        <w:spacing w:after="0" w:line="15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Eligible LCE</w:t>
      </w:r>
      <w:r>
        <w:rPr>
          <w:rFonts w:ascii="Times New Roman" w:cs="Times New Roman" w:eastAsia="Times New Roman" w:hAnsi="Times New Roman"/>
          <w:sz w:val="20"/>
          <w:szCs w:val="20"/>
          <w:color w:val="auto"/>
        </w:rPr>
        <w:t>” means a Local Content Entity (a) with respect to which the provision of a Guarantee of the Notes by such Local Content Entity (subject to inclusion of any local law-required limitations) would not be prohibited by its organizational or constitutional documents or by applicable laws, (b) that is controlled by the Issuer, and (c) that is not an Unrestricted Subsidiary.</w:t>
      </w:r>
    </w:p>
    <w:p>
      <w:pPr>
        <w:spacing w:after="0" w:line="17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Equity Interests</w:t>
      </w:r>
      <w:r>
        <w:rPr>
          <w:rFonts w:ascii="Times New Roman" w:cs="Times New Roman" w:eastAsia="Times New Roman" w:hAnsi="Times New Roman"/>
          <w:sz w:val="19"/>
          <w:szCs w:val="19"/>
          <w:color w:val="auto"/>
        </w:rPr>
        <w:t>” of any Person means (1) any and all shares or other equity interests (including Common Stock,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or exchangeable for any combination of Equity Interests and/or cash or Cash Equivalents, regardless of whether such debt securities include any right of participation with Equity Interests.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Excluded Noble Parent Subsidiary</w:t>
      </w:r>
      <w:r>
        <w:rPr>
          <w:rFonts w:ascii="Times New Roman" w:cs="Times New Roman" w:eastAsia="Times New Roman" w:hAnsi="Times New Roman"/>
          <w:sz w:val="20"/>
          <w:szCs w:val="20"/>
          <w:color w:val="auto"/>
        </w:rPr>
        <w:t>” means any direct or indirect Subsidiary of Parent (other than the Issuer and its Subsidiaries).</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Fair Market Value</w:t>
      </w:r>
      <w:r>
        <w:rPr>
          <w:rFonts w:ascii="Times New Roman" w:cs="Times New Roman" w:eastAsia="Times New Roman" w:hAnsi="Times New Roman"/>
          <w:sz w:val="20"/>
          <w:szCs w:val="20"/>
          <w:color w:val="auto"/>
        </w:rPr>
        <w:t>”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Issuer.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Fitch</w:t>
      </w:r>
      <w:r>
        <w:rPr>
          <w:rFonts w:ascii="Times New Roman" w:cs="Times New Roman" w:eastAsia="Times New Roman" w:hAnsi="Times New Roman"/>
          <w:sz w:val="20"/>
          <w:szCs w:val="20"/>
          <w:color w:val="auto"/>
        </w:rPr>
        <w:t>” means Fitch Ratings Ltd. or any successor to the rating agency business thereof.</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Four-Quarter Period</w:t>
      </w:r>
      <w:r>
        <w:rPr>
          <w:rFonts w:ascii="Times New Roman" w:cs="Times New Roman" w:eastAsia="Times New Roman" w:hAnsi="Times New Roman"/>
          <w:sz w:val="20"/>
          <w:szCs w:val="20"/>
          <w:color w:val="auto"/>
        </w:rPr>
        <w:t>” means the most recently ended four-fiscal quarter period of the Issuer and/or any Parent Company, as applicable, and for which internal financial statements are available.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GAAP</w:t>
      </w:r>
      <w:r>
        <w:rPr>
          <w:rFonts w:ascii="Times New Roman" w:cs="Times New Roman" w:eastAsia="Times New Roman" w:hAnsi="Times New Roman"/>
          <w:sz w:val="20"/>
          <w:szCs w:val="20"/>
          <w:color w:val="auto"/>
        </w:rPr>
        <w:t>” means generally accepted accounting principles in the United States, which are in effect from time to time.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Global Note Legend</w:t>
      </w:r>
      <w:r>
        <w:rPr>
          <w:rFonts w:ascii="Times New Roman" w:cs="Times New Roman" w:eastAsia="Times New Roman" w:hAnsi="Times New Roman"/>
          <w:sz w:val="20"/>
          <w:szCs w:val="20"/>
          <w:color w:val="auto"/>
        </w:rPr>
        <w:t xml:space="preserve">” means the legend identified as such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Global Notes</w:t>
      </w:r>
      <w:r>
        <w:rPr>
          <w:rFonts w:ascii="Times New Roman" w:cs="Times New Roman" w:eastAsia="Times New Roman" w:hAnsi="Times New Roman"/>
          <w:sz w:val="20"/>
          <w:szCs w:val="20"/>
          <w:color w:val="auto"/>
        </w:rPr>
        <w:t xml:space="preserve">” means the Notes that are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issued in global form and registered in the name of the Depositary or its nominee.</w:t>
      </w:r>
    </w:p>
    <w:p>
      <w:pPr>
        <w:spacing w:after="0" w:line="1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guarantee</w:t>
      </w:r>
      <w:r>
        <w:rPr>
          <w:rFonts w:ascii="Times New Roman" w:cs="Times New Roman" w:eastAsia="Times New Roman" w:hAnsi="Times New Roman"/>
          <w:sz w:val="20"/>
          <w:szCs w:val="20"/>
          <w:color w:val="auto"/>
        </w:rPr>
        <w:t>” means a direct or indirect guarantee by any Person of any Indebtedness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18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Guarantee</w:t>
      </w:r>
      <w:r>
        <w:rPr>
          <w:rFonts w:ascii="Times New Roman" w:cs="Times New Roman" w:eastAsia="Times New Roman" w:hAnsi="Times New Roman"/>
          <w:sz w:val="20"/>
          <w:szCs w:val="20"/>
          <w:color w:val="auto"/>
        </w:rPr>
        <w:t>” means, individually, any guarantee of payment of the Notes by a Guarantor pursuant to the terms of this Indenture and any supplemental indenture hereto, and, collectively, all such guarantees.</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Guarantors</w:t>
      </w:r>
      <w:r>
        <w:rPr>
          <w:rFonts w:ascii="Times New Roman" w:cs="Times New Roman" w:eastAsia="Times New Roman" w:hAnsi="Times New Roman"/>
          <w:sz w:val="20"/>
          <w:szCs w:val="20"/>
          <w:color w:val="auto"/>
        </w:rPr>
        <w:t>” means each Restricted Subsidiary of the Issuer on the Issue Date that is a party to this Indenture for purposes of providing a Guarantee with respect to the Notes, and each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09" w:right="339" w:bottom="1440" w:gutter="0" w:footer="0" w:header="0"/>
        </w:sectPr>
      </w:pPr>
    </w:p>
    <w:bookmarkStart w:id="24" w:name="page25"/>
    <w:bookmarkEnd w:id="24"/>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Person that is required to, or at the election of the Issuer, does become a Guarantor by the terms of this Indenture after the Issue Date, in each case, until such Person is released from its Guarantee in accordance with the terms of this Indenture.</w:t>
      </w:r>
    </w:p>
    <w:p>
      <w:pPr>
        <w:spacing w:after="0" w:line="14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Hedging Obligations</w:t>
      </w:r>
      <w:r>
        <w:rPr>
          <w:rFonts w:ascii="Times New Roman" w:cs="Times New Roman" w:eastAsia="Times New Roman" w:hAnsi="Times New Roman"/>
          <w:sz w:val="20"/>
          <w:szCs w:val="20"/>
          <w:color w:val="auto"/>
        </w:rPr>
        <w:t>” of any Person means the obligations of such Person under option, swap, cap, collar, forward purchase or similar agreements or arrangements intended to manage exposure to interest rates or currency exchange rates or commodity prices (including, without limitation, for purposes of this definition, rates for electrical power used in the ordinary course of business), either generally or under specific contingencies.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Holder</w:t>
      </w:r>
      <w:r>
        <w:rPr>
          <w:rFonts w:ascii="Times New Roman" w:cs="Times New Roman" w:eastAsia="Times New Roman" w:hAnsi="Times New Roman"/>
          <w:sz w:val="20"/>
          <w:szCs w:val="20"/>
          <w:color w:val="auto"/>
        </w:rPr>
        <w:t>” means any registered holder, from time to time, of the Notes.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IAI</w:t>
      </w:r>
      <w:r>
        <w:rPr>
          <w:rFonts w:ascii="Times New Roman" w:cs="Times New Roman" w:eastAsia="Times New Roman" w:hAnsi="Times New Roman"/>
          <w:sz w:val="20"/>
          <w:szCs w:val="20"/>
          <w:color w:val="auto"/>
        </w:rPr>
        <w:t>” means an institution that is an “accredited investor” within the meaning of Rule 501(a) under the Securities Act and is not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QIB.</w:t>
      </w:r>
    </w:p>
    <w:p>
      <w:pPr>
        <w:spacing w:after="0" w:line="19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incur</w:t>
      </w:r>
      <w:r>
        <w:rPr>
          <w:rFonts w:ascii="Times New Roman" w:cs="Times New Roman" w:eastAsia="Times New Roman" w:hAnsi="Times New Roman"/>
          <w:sz w:val="19"/>
          <w:szCs w:val="19"/>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(1) the Indebtedness of a Person existing at the time such Person becomes a Restricted Subsidiary of the Issuer shall be deemed to have been incurred by such Restricted Subsidiary at the time it becomes a Restricted Subsidiary of the Issuer and (2) neither the accrual of interest nor the accretion of original issue discount or the accretion or accumulation of dividends on any Equity Interests shall be deemed to be an incurrence of Indebtedness.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Indebtedness</w:t>
      </w:r>
      <w:r>
        <w:rPr>
          <w:rFonts w:ascii="Times New Roman" w:cs="Times New Roman" w:eastAsia="Times New Roman" w:hAnsi="Times New Roman"/>
          <w:sz w:val="20"/>
          <w:szCs w:val="20"/>
          <w:color w:val="auto"/>
        </w:rPr>
        <w:t>” of any Person at any date means, without duplication:</w:t>
      </w:r>
    </w:p>
    <w:p>
      <w:pPr>
        <w:spacing w:after="0" w:line="233" w:lineRule="exact"/>
        <w:rPr>
          <w:sz w:val="20"/>
          <w:szCs w:val="20"/>
          <w:color w:val="auto"/>
        </w:rPr>
      </w:pPr>
    </w:p>
    <w:p>
      <w:pPr>
        <w:ind w:firstLine="656"/>
        <w:spacing w:after="0" w:line="283" w:lineRule="auto"/>
        <w:tabs>
          <w:tab w:leader="none" w:pos="111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liabilities, contingent or otherwise, of such Person for borrowed money (whether or not the recourse of the lender is to the whole of the assets of such Person or only to a portion thereof);</w:t>
      </w:r>
    </w:p>
    <w:p>
      <w:pPr>
        <w:spacing w:after="0" w:line="146"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evidenced by bonds, debentures, bankers’ acceptances, notes or other similar instruments;</w:t>
      </w:r>
    </w:p>
    <w:p>
      <w:pPr>
        <w:spacing w:after="0" w:line="22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reimbursement obligations of such Person in respect of letters of credit, letters of guaranty and similar credit transactions;</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pay the deferred and unpaid purchase price of property or services;</w:t>
      </w:r>
    </w:p>
    <w:p>
      <w:pPr>
        <w:spacing w:after="0" w:line="229" w:lineRule="exact"/>
        <w:rPr>
          <w:rFonts w:ascii="Times New Roman" w:cs="Times New Roman" w:eastAsia="Times New Roman" w:hAnsi="Times New Roman"/>
          <w:sz w:val="20"/>
          <w:szCs w:val="20"/>
          <w:color w:val="auto"/>
        </w:rPr>
      </w:pPr>
    </w:p>
    <w:p>
      <w:pPr>
        <w:jc w:val="both"/>
        <w:ind w:firstLine="656"/>
        <w:spacing w:after="0" w:line="258" w:lineRule="auto"/>
        <w:tabs>
          <w:tab w:leader="none" w:pos="120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greater of the maximum mandatory redemption or repurchase price (not including, in either case, any redemption or repurchase premium) or the principal component or liquidation preference of all obligations of such Person with respect to the redemption, repayment or other repurchase of any Disqualified Equity Interests or, with respect to any Restricted Subsidiary that is not a Guarantor, any Preferred Stock (but excluding, in each case, any accrued dividends);</w:t>
      </w:r>
    </w:p>
    <w:p>
      <w:pPr>
        <w:spacing w:after="0" w:line="17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Capitalized Lease Obligations of such Person (but not any lease that is not a Capitalized Lease Obligation);</w:t>
      </w:r>
    </w:p>
    <w:p>
      <w:pPr>
        <w:spacing w:after="0" w:line="229"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others secured by a Lien on any asset of such Person, whether or not such Indebtedness is assumed by such</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w:t>
      </w:r>
    </w:p>
    <w:p>
      <w:pPr>
        <w:spacing w:after="0" w:line="203" w:lineRule="exact"/>
        <w:rPr>
          <w:rFonts w:ascii="Times New Roman" w:cs="Times New Roman" w:eastAsia="Times New Roman" w:hAnsi="Times New Roman"/>
          <w:sz w:val="20"/>
          <w:szCs w:val="20"/>
          <w:color w:val="auto"/>
        </w:rPr>
      </w:pPr>
    </w:p>
    <w:p>
      <w:pPr>
        <w:jc w:val="both"/>
        <w:ind w:firstLine="656"/>
        <w:spacing w:after="0" w:line="263"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Indebtedness of others guaranteed by such Person to the extent of such guarantee;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Indebtedness of the Issuer or its Subsidiaries that is guaranteed by the Issuer or the Issuer’s Subsidiaries shall only be counted once in the calculation of the amount of Indebtedness of the Issuer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25" w:name="page26"/>
    <w:bookmarkEnd w:id="25"/>
    <w:p>
      <w:pPr>
        <w:ind w:left="1080" w:hanging="424"/>
        <w:spacing w:after="0"/>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otherwise included in this definition, net Hedging Obligations of such Person; and</w:t>
      </w:r>
    </w:p>
    <w:p>
      <w:pPr>
        <w:spacing w:after="0" w:line="229" w:lineRule="exact"/>
        <w:rPr>
          <w:rFonts w:ascii="Times New Roman" w:cs="Times New Roman" w:eastAsia="Times New Roman" w:hAnsi="Times New Roman"/>
          <w:sz w:val="20"/>
          <w:szCs w:val="20"/>
          <w:color w:val="auto"/>
        </w:rPr>
      </w:pPr>
    </w:p>
    <w:p>
      <w:pPr>
        <w:ind w:left="1240" w:hanging="584"/>
        <w:spacing w:after="0"/>
        <w:tabs>
          <w:tab w:leader="none" w:pos="12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under conditional sale or other title retention agreements relating to assets purchased by such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definition of “Indebtedness” shall not include: (i) purchase price holdbacks in respect of a portion of the purchase price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 asset to satisfy warranty, indemnity or other unperformed obligations of the seller of such asset; (ii) customary cash pooling and cash management practices and other intercompany indebtedness having a term not exceeding 364 days (inclusive of any roll-over or extension of terms) incurred in the ordinary course of business; (iii) deferred compensation, trade payables and accrued expenses arising in the ordinary course of business, deferred taxes, obligations assumed or liabilities incurred under drilling contracts, vessel time charters or other forms of service agreement in the ordinary course of business (e.g., bid bonds, performance guarantees, and pre-paid hire under vessel time charters or similar contracts which have not yet been earned), or obligations in respect of Equity Interests that do not constitute Disqualified Equity Interests; (iv) liabilities resulting from endorsements of instruments for collection in the ordinary course of business; (v) any indebtedness with respect to which cash or Cash Equivalents in an amount sufficient to repay in full the principal and accrued interest on such indebtedness has been escrowed with the trustee or other depository for the benefit of the lenders or holders in respect of such indebtedness but only to the extent the foregoing constitutes a complete defeasance of such indebtedness pursuant to the applicable agreement governing such indebtedness and (vi) any repayment or reimbursement obligation of a Person or any of its Restricted Subsidiaries with respect to Customary Recourse Exceptions, unless and until an event or circumstance occurs that triggers the Person’s or such Restricted Subsidiary’s direct repayment or reimbursement obligation (as opposed to contingent or performance obligations) to the lender or other Person to whom such obligation is actually owed, in which case the amount of such direct payment or reimbursement obligation shall constitute Indebtedness. For purposes of this Indenture, the Indebtedness of any Person shall include the Indebtedness of any partnership or joint venture to the extent such Indebtedness is recourse to such Person.</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The amount of any Indebtedness which is incurred at a discount to the principal amount at maturity thereof as of any date shall be deemed to have been incurred at the accreted value thereof as of such date. The amount of Indebtedness of any Person at any date shall be the outstanding balance at such date of all unconditional obligations as described above, the maximum liability of such Person for any such contingent obligations at such date and, in the case of </w:t>
      </w:r>
      <w:r>
        <w:rPr>
          <w:rFonts w:ascii="Times New Roman" w:cs="Times New Roman" w:eastAsia="Times New Roman" w:hAnsi="Times New Roman"/>
          <w:sz w:val="20"/>
          <w:szCs w:val="20"/>
          <w:u w:val="single" w:color="auto"/>
          <w:color w:val="auto"/>
        </w:rPr>
        <w:t>clause (7)</w:t>
      </w:r>
      <w:r>
        <w:rPr>
          <w:rFonts w:ascii="Times New Roman" w:cs="Times New Roman" w:eastAsia="Times New Roman" w:hAnsi="Times New Roman"/>
          <w:sz w:val="20"/>
          <w:szCs w:val="20"/>
          <w:color w:val="auto"/>
        </w:rPr>
        <w:t xml:space="preserve">, the lesser of (a) the Fair Market Value of any asset subject to a Lien securing the Indebtedness of others on the date that the Lien attaches and (b) the amount of the Indebtedness secured. For purposes of </w:t>
      </w:r>
      <w:r>
        <w:rPr>
          <w:rFonts w:ascii="Times New Roman" w:cs="Times New Roman" w:eastAsia="Times New Roman" w:hAnsi="Times New Roman"/>
          <w:sz w:val="20"/>
          <w:szCs w:val="20"/>
          <w:u w:val="single" w:color="auto"/>
          <w:color w:val="auto"/>
        </w:rPr>
        <w:t>clause (5)</w:t>
      </w:r>
      <w:r>
        <w:rPr>
          <w:rFonts w:ascii="Times New Roman" w:cs="Times New Roman" w:eastAsia="Times New Roman" w:hAnsi="Times New Roman"/>
          <w:sz w:val="20"/>
          <w:szCs w:val="20"/>
          <w:color w:val="auto"/>
        </w:rPr>
        <w:t>, the “maximum mandatory redemption or repurchase price” of any Disqualified Equity Interests that do not have a fixed redemption or repurchase price shall be calculated in accordance with the terms of such Disqualified Equity Interests as if such Disqualified Equity Interests were redeemed or repurchased on any date on which an amount of Indebtedness outstanding shall be required to be determined pursuant to this Indenture.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Indenture</w:t>
      </w:r>
      <w:r>
        <w:rPr>
          <w:rFonts w:ascii="Times New Roman" w:cs="Times New Roman" w:eastAsia="Times New Roman" w:hAnsi="Times New Roman"/>
          <w:sz w:val="20"/>
          <w:szCs w:val="20"/>
          <w:color w:val="auto"/>
        </w:rPr>
        <w:t>” means this Indenture, as amended or supplemented from time to time.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Ineligible LCE</w:t>
      </w:r>
      <w:r>
        <w:rPr>
          <w:rFonts w:ascii="Times New Roman" w:cs="Times New Roman" w:eastAsia="Times New Roman" w:hAnsi="Times New Roman"/>
          <w:sz w:val="20"/>
          <w:szCs w:val="20"/>
          <w:color w:val="auto"/>
        </w:rPr>
        <w:t>” means, as of any time of determination, any Local Content Entity which is not an Eligible LCE.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Ineligible LCE Noble Owner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clause (q)</w:t>
      </w:r>
      <w:r>
        <w:rPr>
          <w:rFonts w:ascii="Times New Roman" w:cs="Times New Roman" w:eastAsia="Times New Roman" w:hAnsi="Times New Roman"/>
          <w:sz w:val="20"/>
          <w:szCs w:val="20"/>
          <w:color w:val="auto"/>
        </w:rPr>
        <w:t xml:space="preserve"> of the definition of “Asset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26" w:name="page27"/>
    <w:bookmarkEnd w:id="26"/>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Intellectual Property</w:t>
      </w:r>
      <w:r>
        <w:rPr>
          <w:rFonts w:ascii="Times New Roman" w:cs="Times New Roman" w:eastAsia="Times New Roman" w:hAnsi="Times New Roman"/>
          <w:sz w:val="20"/>
          <w:szCs w:val="20"/>
          <w:color w:val="auto"/>
        </w:rPr>
        <w:t>” means all patents, patent applications, trademarks, trade names, service marks, copyrights, technology, trade secrets, proprietary information, domain names, know-how and processes necessary for the conduct of the Issuer’s or any Restricted Subsidiary’s business.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Investments</w:t>
      </w:r>
      <w:r>
        <w:rPr>
          <w:rFonts w:ascii="Times New Roman" w:cs="Times New Roman" w:eastAsia="Times New Roman" w:hAnsi="Times New Roman"/>
          <w:sz w:val="20"/>
          <w:szCs w:val="20"/>
          <w:color w:val="auto"/>
        </w:rPr>
        <w:t>” of any Person means:</w:t>
      </w:r>
    </w:p>
    <w:p>
      <w:pPr>
        <w:spacing w:after="0" w:line="220" w:lineRule="exact"/>
        <w:rPr>
          <w:sz w:val="20"/>
          <w:szCs w:val="20"/>
          <w:color w:val="auto"/>
        </w:rPr>
      </w:pPr>
    </w:p>
    <w:p>
      <w:pPr>
        <w:jc w:val="both"/>
        <w:ind w:firstLine="656"/>
        <w:spacing w:after="0" w:line="268" w:lineRule="auto"/>
        <w:tabs>
          <w:tab w:leader="none" w:pos="114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161" w:lineRule="exact"/>
        <w:rPr>
          <w:rFonts w:ascii="Times New Roman" w:cs="Times New Roman" w:eastAsia="Times New Roman" w:hAnsi="Times New Roman"/>
          <w:sz w:val="20"/>
          <w:szCs w:val="20"/>
          <w:color w:val="auto"/>
        </w:rPr>
      </w:pPr>
    </w:p>
    <w:p>
      <w:pPr>
        <w:jc w:val="both"/>
        <w:ind w:firstLine="656"/>
        <w:spacing w:after="0" w:line="310" w:lineRule="auto"/>
        <w:tabs>
          <w:tab w:leader="none" w:pos="1081"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purchases (or other acquisitions for consideration) by such Person of Indebtedness, Equity Interests or other securities of any other Person (other than any such purchase that constitutes a Restricted Payment of the type described in </w:t>
      </w:r>
      <w:r>
        <w:rPr>
          <w:rFonts w:ascii="Times New Roman" w:cs="Times New Roman" w:eastAsia="Times New Roman" w:hAnsi="Times New Roman"/>
          <w:sz w:val="19"/>
          <w:szCs w:val="19"/>
          <w:u w:val="single" w:color="auto"/>
          <w:color w:val="auto"/>
        </w:rPr>
        <w:t>clause (2)</w:t>
      </w:r>
      <w:r>
        <w:rPr>
          <w:rFonts w:ascii="Times New Roman" w:cs="Times New Roman" w:eastAsia="Times New Roman" w:hAnsi="Times New Roman"/>
          <w:sz w:val="19"/>
          <w:szCs w:val="19"/>
          <w:color w:val="auto"/>
        </w:rPr>
        <w:t xml:space="preserve"> of the definition thereof);</w:t>
      </w:r>
    </w:p>
    <w:p>
      <w:pPr>
        <w:spacing w:after="0" w:line="124" w:lineRule="exact"/>
        <w:rPr>
          <w:rFonts w:ascii="Times New Roman" w:cs="Times New Roman" w:eastAsia="Times New Roman" w:hAnsi="Times New Roman"/>
          <w:sz w:val="19"/>
          <w:szCs w:val="19"/>
          <w:color w:val="auto"/>
        </w:rPr>
      </w:pPr>
    </w:p>
    <w:p>
      <w:pPr>
        <w:ind w:firstLine="656"/>
        <w:spacing w:after="0" w:line="283" w:lineRule="auto"/>
        <w:tabs>
          <w:tab w:leader="none" w:pos="120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items that would be classified as investments in another Person on a balance sheet of such Person prepared in accordance with GAAP; and</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Designation of any Subsidiary as an Unrestricted Subsidiary.</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Except as otherwise expressly specified in this definition, the amount of any Investment (other than an Investment made in cash) shall be the Fair Market Value thereof on the date such Investment is made. The amount of an Investment pursuant to </w:t>
      </w:r>
      <w:r>
        <w:rPr>
          <w:rFonts w:ascii="Times New Roman" w:cs="Times New Roman" w:eastAsia="Times New Roman" w:hAnsi="Times New Roman"/>
          <w:sz w:val="20"/>
          <w:szCs w:val="20"/>
          <w:u w:val="single" w:color="auto"/>
          <w:color w:val="auto"/>
        </w:rPr>
        <w:t>clause (4)</w:t>
      </w:r>
      <w:r>
        <w:rPr>
          <w:rFonts w:ascii="Times New Roman" w:cs="Times New Roman" w:eastAsia="Times New Roman" w:hAnsi="Times New Roman"/>
          <w:sz w:val="20"/>
          <w:szCs w:val="20"/>
          <w:color w:val="auto"/>
        </w:rPr>
        <w:t xml:space="preserve"> shall be the Designation Amount determined in accordance with </w:t>
      </w:r>
      <w:r>
        <w:rPr>
          <w:rFonts w:ascii="Times New Roman" w:cs="Times New Roman" w:eastAsia="Times New Roman" w:hAnsi="Times New Roman"/>
          <w:sz w:val="20"/>
          <w:szCs w:val="20"/>
          <w:u w:val="single" w:color="auto"/>
          <w:color w:val="auto"/>
        </w:rPr>
        <w:t>Section 4.16</w:t>
      </w:r>
      <w:r>
        <w:rPr>
          <w:rFonts w:ascii="Times New Roman" w:cs="Times New Roman" w:eastAsia="Times New Roman" w:hAnsi="Times New Roman"/>
          <w:sz w:val="20"/>
          <w:szCs w:val="20"/>
          <w:color w:val="auto"/>
        </w:rPr>
        <w:t>. If the Issuer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the Issuer shall be deemed to have made an Investment on the date of any such sale or other disposition equal to the Fair Market Value of the Equity Interests of and all other Investments in such Restricted Subsidiary retained. Notwithstanding the foregoing, purchases or redemptions of Equity Interests of the Issuer shall be deemed not to be Investments.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Issue Date</w:t>
      </w:r>
      <w:r>
        <w:rPr>
          <w:rFonts w:ascii="Times New Roman" w:cs="Times New Roman" w:eastAsia="Times New Roman" w:hAnsi="Times New Roman"/>
          <w:sz w:val="20"/>
          <w:szCs w:val="20"/>
          <w:color w:val="auto"/>
        </w:rPr>
        <w:t>” means June 11, 2026, the date on which the Initial Notes are originally issued.</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Issuer</w:t>
      </w:r>
      <w:r>
        <w:rPr>
          <w:rFonts w:ascii="Times New Roman" w:cs="Times New Roman" w:eastAsia="Times New Roman" w:hAnsi="Times New Roman"/>
          <w:sz w:val="20"/>
          <w:szCs w:val="20"/>
          <w:color w:val="auto"/>
        </w:rPr>
        <w:t xml:space="preserve">” means Noble Finance II LLC, a Delaware limited liability company, and any successor Person resulting from any transaction permitted by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Lien</w:t>
      </w:r>
      <w:r>
        <w:rPr>
          <w:rFonts w:ascii="Times New Roman" w:cs="Times New Roman" w:eastAsia="Times New Roman" w:hAnsi="Times New Roman"/>
          <w:sz w:val="20"/>
          <w:szCs w:val="20"/>
          <w:color w:val="auto"/>
        </w:rPr>
        <w:t>” means, with respect to any asset, any mortgage, deed of trust, lien (statutory or other), assignment, assignment by way of security, pledge, lease, easement, restriction, covenant, charge, security interest or other encumbrance of any kind or nature in respect of such asset, whether or not filed, recorded or otherwise perfected under applicable law, including any conditional sale or other title retention agreement.</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Limited Condition Transaction</w:t>
      </w:r>
      <w:r>
        <w:rPr>
          <w:rFonts w:ascii="Times New Roman" w:cs="Times New Roman" w:eastAsia="Times New Roman" w:hAnsi="Times New Roman"/>
          <w:sz w:val="20"/>
          <w:szCs w:val="20"/>
          <w:color w:val="auto"/>
        </w:rPr>
        <w:t>” means (1) any Investment or acquisition (whether by merger, amalgamation, consolidation or other business combination or the acquisition of Equity Interests or otherwise), whose consummation is not conditioned on the availability of, or on obtaining, third-party financing (or, if such a condition does exist, the Issuer or any Restricted Subsidiary would be required to pay any fee, liquidated damages or other amount or be subject to any indemnity, claim or other liability as a result of such third party financing not having been available or obtained) and (2) any redemption, repurchase, defeasance, satisfaction and discharge or repayment of Indebtedness, Disqualified Equity Interests or Preferred Stock requiring irrevocable notice in advance of such redemption, repurchase, defeasance, satisfaction and discharge or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09" w:right="339" w:bottom="1440" w:gutter="0" w:footer="0" w:header="0"/>
        </w:sectPr>
      </w:pPr>
    </w:p>
    <w:bookmarkStart w:id="27" w:name="page28"/>
    <w:bookmarkEnd w:id="27"/>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Local Content Entity</w:t>
      </w:r>
      <w:r>
        <w:rPr>
          <w:rFonts w:ascii="Times New Roman" w:cs="Times New Roman" w:eastAsia="Times New Roman" w:hAnsi="Times New Roman"/>
          <w:sz w:val="20"/>
          <w:szCs w:val="20"/>
          <w:color w:val="auto"/>
        </w:rPr>
        <w:t xml:space="preserve">” means any Affiliate of the Issuer (a) that owns or is contemplated to own a Rig or that is a party to or contemplated to be a party to a charter party agreement, drilling contract or any demise, bareboat, time, voyage, other charter, lease or other right to use of a Rig owned by it or by the Issuer, any Restricted Subsidiary or another Local Content Entity and (b) the Equity Interests of which is jointly owned by the Issuer or any Restricted Subsidiary(ies) and any other Person(s) that is(are) required or necessary under local law or custom to own the Equity Interests in the Local Content Entity as a condition for (i) the operation of a Rig in such jurisdiction, (ii) the ownership of any asset owned, or contemplated to be acquired, by such entity in such jurisdiction or (iii) the business transacted, or contemplated to be transacted, by such entity in such jurisdiction;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Local Content Entities shall not include joint ventures that are formed in the ordinary course and for purposes other than local law requirements or local law customs.</w:t>
      </w:r>
    </w:p>
    <w:p>
      <w:pPr>
        <w:spacing w:after="0" w:line="18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Long Derivative Instrument</w:t>
      </w:r>
      <w:r>
        <w:rPr>
          <w:rFonts w:ascii="Times New Roman" w:cs="Times New Roman" w:eastAsia="Times New Roman" w:hAnsi="Times New Roman"/>
          <w:sz w:val="20"/>
          <w:szCs w:val="20"/>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Luxembourg Guarantor</w:t>
      </w:r>
      <w:r>
        <w:rPr>
          <w:rFonts w:ascii="Times New Roman" w:cs="Times New Roman" w:eastAsia="Times New Roman" w:hAnsi="Times New Roman"/>
          <w:sz w:val="20"/>
          <w:szCs w:val="20"/>
          <w:color w:val="auto"/>
        </w:rPr>
        <w:t>” means any Guarantor incorporated under the laws of the Grand Duchy of Luxembourg.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Moody’s</w:t>
      </w:r>
      <w:r>
        <w:rPr>
          <w:rFonts w:ascii="Times New Roman" w:cs="Times New Roman" w:eastAsia="Times New Roman" w:hAnsi="Times New Roman"/>
          <w:sz w:val="20"/>
          <w:szCs w:val="20"/>
          <w:color w:val="auto"/>
        </w:rPr>
        <w:t>” means Moody’s Investors Service, Inc., or any successor to its rating agency business.</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Net Available Proceeds</w:t>
      </w:r>
      <w:r>
        <w:rPr>
          <w:rFonts w:ascii="Times New Roman" w:cs="Times New Roman" w:eastAsia="Times New Roman" w:hAnsi="Times New Roman"/>
          <w:sz w:val="20"/>
          <w:szCs w:val="20"/>
          <w:color w:val="auto"/>
        </w:rPr>
        <w:t>” means, with respect to any Asset Sale, the proceeds thereof in the form of cash or Cash Equivalents received by the Issuer or any of its Restricted Subsidiaries from such Asset Sale, net of:</w:t>
      </w:r>
    </w:p>
    <w:p>
      <w:pPr>
        <w:spacing w:after="0" w:line="156" w:lineRule="exact"/>
        <w:rPr>
          <w:sz w:val="20"/>
          <w:szCs w:val="20"/>
          <w:color w:val="auto"/>
        </w:rPr>
      </w:pPr>
    </w:p>
    <w:p>
      <w:pPr>
        <w:ind w:firstLine="656"/>
        <w:spacing w:after="0" w:line="269" w:lineRule="auto"/>
        <w:tabs>
          <w:tab w:leader="none" w:pos="111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brokerage commissions and other fees and expenses (including fees, discounts and expenses of legal counsel, accountants and investment banks, consultants and placement agents) of such Asset Sale;</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8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for taxes payable (including any withholding or other taxes paid or reasonably estimated to be payable in connection with the transfer to the Issuer of such proceeds from any Restricted Subsidiary that received such proceeds) as a result of such Asset Sale (after taking into account any available tax credits or deductions and any tax sharing arrangements);</w:t>
      </w:r>
    </w:p>
    <w:p>
      <w:pPr>
        <w:spacing w:after="0" w:line="167" w:lineRule="exact"/>
        <w:rPr>
          <w:rFonts w:ascii="Times New Roman" w:cs="Times New Roman" w:eastAsia="Times New Roman" w:hAnsi="Times New Roman"/>
          <w:sz w:val="20"/>
          <w:szCs w:val="20"/>
          <w:color w:val="auto"/>
        </w:rPr>
      </w:pPr>
    </w:p>
    <w:p>
      <w:pPr>
        <w:ind w:firstLine="656"/>
        <w:spacing w:after="0" w:line="283" w:lineRule="auto"/>
        <w:tabs>
          <w:tab w:leader="none" w:pos="112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required to be paid to any Person (other than the Issuer or any Restricted Subsidiary) owning a beneficial interest in the assets subject to the Asset Sale or having a Lien thereon;</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13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unassumed liabilities (not constituting Indebtedness) relating to the assets sold at the time of, or within 30 days after the date of, such Asset Sale; and</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5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appropriate amounts to be provided by the Issuer or any Restricted Subsidiary, as the case may be, as a reserve required in accordance with GAAP against any adjustment in the sale price of such asset or assets or liabilities associated with such Asset Sale and retained by the Issuer or any Restricted Subsidiary, as the case may be, after such Asset Sale, including pensions and other post-employment benefit liabilities, liabilities related to environmental matters and liabilities under any indemnification obligations associated with such Asset Sale;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amounts remaining after adjustments, revaluations or liquidations of such reserves shall constitute Net Available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09" w:right="339" w:bottom="1440" w:gutter="0" w:footer="0" w:header="0"/>
        </w:sectPr>
      </w:pPr>
    </w:p>
    <w:bookmarkStart w:id="28" w:name="page29"/>
    <w:bookmarkEnd w:id="28"/>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Net Short</w:t>
      </w:r>
      <w:r>
        <w:rPr>
          <w:rFonts w:ascii="Times New Roman" w:cs="Times New Roman" w:eastAsia="Times New Roman" w:hAnsi="Times New Roman"/>
          <w:sz w:val="20"/>
          <w:szCs w:val="20"/>
          <w:color w:val="auto"/>
        </w:rPr>
        <w:t>” means, with respect to a holder of Notes or beneficial owner, as of a date of determination, either (i) the value of its Short Derivative Instruments exceeds the sum of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any Parent Company, the Issuer or any Guarantor immediately prior to such date of determination.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New Parent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“Redomestication.”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Non-Recourse Debt</w:t>
      </w:r>
      <w:r>
        <w:rPr>
          <w:rFonts w:ascii="Times New Roman" w:cs="Times New Roman" w:eastAsia="Times New Roman" w:hAnsi="Times New Roman"/>
          <w:sz w:val="20"/>
          <w:szCs w:val="20"/>
          <w:color w:val="auto"/>
        </w:rPr>
        <w:t>” means, with respect to any Person, Indebtedness of such Person as to which neither the Issuer nor any Restricted Subsidiary (a) provides credit support of any kind through any undertaking, agreement or instrument that would constitute Indebtedness, except for Customary Recourse Exceptions, or (b) is directly or indirectly liable as a guarantor or otherwise, except in each case with pledges of Equity Interests in an Unrestricted Subsidiary.</w:t>
      </w:r>
    </w:p>
    <w:p>
      <w:pPr>
        <w:spacing w:after="0" w:line="18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Note Custodian</w:t>
      </w:r>
      <w:r>
        <w:rPr>
          <w:rFonts w:ascii="Times New Roman" w:cs="Times New Roman" w:eastAsia="Times New Roman" w:hAnsi="Times New Roman"/>
          <w:sz w:val="20"/>
          <w:szCs w:val="20"/>
          <w:color w:val="auto"/>
        </w:rPr>
        <w:t>” means the Person appointed as custodian for the Depositary with respect to the Global Notes, or any successor entity thereto.</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Notes</w:t>
      </w:r>
      <w:r>
        <w:rPr>
          <w:rFonts w:ascii="Times New Roman" w:cs="Times New Roman" w:eastAsia="Times New Roman" w:hAnsi="Times New Roman"/>
          <w:sz w:val="20"/>
          <w:szCs w:val="20"/>
          <w:color w:val="auto"/>
        </w:rPr>
        <w:t>” means the Initial Notes and any Additional Notes. The Initial Notes and the Additional Notes, if any, shall be treated as a single class for all purposes under this Indenture.</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Obligation</w:t>
      </w:r>
      <w:r>
        <w:rPr>
          <w:rFonts w:ascii="Times New Roman" w:cs="Times New Roman" w:eastAsia="Times New Roman" w:hAnsi="Times New Roman"/>
          <w:sz w:val="20"/>
          <w:szCs w:val="20"/>
          <w:color w:val="auto"/>
        </w:rPr>
        <w:t>” means any principal, interest, penalties, fees, indemnification, reimbursements, costs, expenses, damages and other liabilities payable under the documentation governing any Indebtedness.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Offering Memorandum</w:t>
      </w:r>
      <w:r>
        <w:rPr>
          <w:rFonts w:ascii="Times New Roman" w:cs="Times New Roman" w:eastAsia="Times New Roman" w:hAnsi="Times New Roman"/>
          <w:sz w:val="20"/>
          <w:szCs w:val="20"/>
          <w:color w:val="auto"/>
        </w:rPr>
        <w:t>” means the Issuer’s offering memorandum, dated June 1, 2026, relating to the offer and sale of the Initial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Officer</w:t>
      </w:r>
      <w:r>
        <w:rPr>
          <w:rFonts w:ascii="Times New Roman" w:cs="Times New Roman" w:eastAsia="Times New Roman" w:hAnsi="Times New Roman"/>
          <w:sz w:val="20"/>
          <w:szCs w:val="20"/>
          <w:color w:val="auto"/>
        </w:rPr>
        <w:t>” means any of the following of the Issuer or any Guarantor: the Chairman of the Board of Directors, the Chief Executive Officer, the Chief Financial Officer, the President, any Vice President, Managing Director, the Treasurer or the Secretary, manager (</w:t>
      </w:r>
      <w:r>
        <w:rPr>
          <w:rFonts w:ascii="Times New Roman" w:cs="Times New Roman" w:eastAsia="Times New Roman" w:hAnsi="Times New Roman"/>
          <w:sz w:val="20"/>
          <w:szCs w:val="20"/>
          <w:i w:val="1"/>
          <w:iCs w:val="1"/>
          <w:color w:val="auto"/>
        </w:rPr>
        <w:t>gérant</w:t>
      </w:r>
      <w:r>
        <w:rPr>
          <w:rFonts w:ascii="Times New Roman" w:cs="Times New Roman" w:eastAsia="Times New Roman" w:hAnsi="Times New Roman"/>
          <w:sz w:val="20"/>
          <w:szCs w:val="20"/>
          <w:color w:val="auto"/>
        </w:rPr>
        <w:t>) or director (</w:t>
      </w:r>
      <w:r>
        <w:rPr>
          <w:rFonts w:ascii="Times New Roman" w:cs="Times New Roman" w:eastAsia="Times New Roman" w:hAnsi="Times New Roman"/>
          <w:sz w:val="20"/>
          <w:szCs w:val="20"/>
          <w:i w:val="1"/>
          <w:iCs w:val="1"/>
          <w:color w:val="auto"/>
        </w:rPr>
        <w:t>administrateur</w:t>
      </w:r>
      <w:r>
        <w:rPr>
          <w:rFonts w:ascii="Times New Roman" w:cs="Times New Roman" w:eastAsia="Times New Roman" w:hAnsi="Times New Roman"/>
          <w:sz w:val="20"/>
          <w:szCs w:val="20"/>
          <w:color w:val="auto"/>
        </w:rPr>
        <w:t>) that are members of the board of managers (</w:t>
      </w:r>
      <w:r>
        <w:rPr>
          <w:rFonts w:ascii="Times New Roman" w:cs="Times New Roman" w:eastAsia="Times New Roman" w:hAnsi="Times New Roman"/>
          <w:sz w:val="20"/>
          <w:szCs w:val="20"/>
          <w:i w:val="1"/>
          <w:iCs w:val="1"/>
          <w:color w:val="auto"/>
        </w:rPr>
        <w:t>collège de gérance</w:t>
      </w:r>
      <w:r>
        <w:rPr>
          <w:rFonts w:ascii="Times New Roman" w:cs="Times New Roman" w:eastAsia="Times New Roman" w:hAnsi="Times New Roman"/>
          <w:sz w:val="20"/>
          <w:szCs w:val="20"/>
          <w:color w:val="auto"/>
        </w:rPr>
        <w:t>) or board of directors (</w:t>
      </w:r>
      <w:r>
        <w:rPr>
          <w:rFonts w:ascii="Times New Roman" w:cs="Times New Roman" w:eastAsia="Times New Roman" w:hAnsi="Times New Roman"/>
          <w:sz w:val="20"/>
          <w:szCs w:val="20"/>
          <w:i w:val="1"/>
          <w:iCs w:val="1"/>
          <w:color w:val="auto"/>
        </w:rPr>
        <w:t>conseil d’administration</w:t>
      </w:r>
      <w:r>
        <w:rPr>
          <w:rFonts w:ascii="Times New Roman" w:cs="Times New Roman" w:eastAsia="Times New Roman" w:hAnsi="Times New Roman"/>
          <w:sz w:val="20"/>
          <w:szCs w:val="20"/>
          <w:color w:val="auto"/>
        </w:rPr>
        <w:t>) of any Luxembourg Guarantor, any Manager, any Managing Member or any other authorized person.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Officers’ Certificate</w:t>
      </w:r>
      <w:r>
        <w:rPr>
          <w:rFonts w:ascii="Times New Roman" w:cs="Times New Roman" w:eastAsia="Times New Roman" w:hAnsi="Times New Roman"/>
          <w:sz w:val="20"/>
          <w:szCs w:val="20"/>
          <w:color w:val="auto"/>
        </w:rPr>
        <w:t xml:space="preserve">” means a certificate signed by two Officers that meets the requirements of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xml:space="preserve"> of this Indenture.</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Opinion of Counsel</w:t>
      </w:r>
      <w:r>
        <w:rPr>
          <w:rFonts w:ascii="Times New Roman" w:cs="Times New Roman" w:eastAsia="Times New Roman" w:hAnsi="Times New Roman"/>
          <w:sz w:val="20"/>
          <w:szCs w:val="20"/>
          <w:color w:val="auto"/>
        </w:rPr>
        <w:t>” means a written opinion from legal counsel reasonably acceptable to the Trustee. The counsel may be an employee of or counsel to the Issuer or the Trustee.</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Parent</w:t>
      </w:r>
      <w:r>
        <w:rPr>
          <w:rFonts w:ascii="Times New Roman" w:cs="Times New Roman" w:eastAsia="Times New Roman" w:hAnsi="Times New Roman"/>
          <w:sz w:val="20"/>
          <w:szCs w:val="20"/>
          <w:color w:val="auto"/>
        </w:rPr>
        <w:t>” means Noble Corporation plc, a public limited company incorporated under the laws of England and Wales, or, if a Redomestication has occurred subsequent to the Issue Date and prior to the event in question on the applicable date of determination, the Surviving Person resulting from such prior Redomestication.</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Parent Company</w:t>
      </w:r>
      <w:r>
        <w:rPr>
          <w:rFonts w:ascii="Times New Roman" w:cs="Times New Roman" w:eastAsia="Times New Roman" w:hAnsi="Times New Roman"/>
          <w:sz w:val="20"/>
          <w:szCs w:val="20"/>
          <w:color w:val="auto"/>
        </w:rPr>
        <w:t>” means any Person that is or becomes after the Issue Date a direct or indirect parent (which may be organized as, among other things, a partnership) of the Issuer.</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Pari Passu Indebtedness</w:t>
      </w:r>
      <w:r>
        <w:rPr>
          <w:rFonts w:ascii="Times New Roman" w:cs="Times New Roman" w:eastAsia="Times New Roman" w:hAnsi="Times New Roman"/>
          <w:sz w:val="20"/>
          <w:szCs w:val="20"/>
          <w:color w:val="auto"/>
        </w:rPr>
        <w:t>” means any Indebtedness of the Issuer or any Guarantor that is not Subordinated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09"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Participant</w:t>
      </w:r>
      <w:r>
        <w:rPr>
          <w:rFonts w:ascii="Times New Roman" w:cs="Times New Roman" w:eastAsia="Times New Roman" w:hAnsi="Times New Roman"/>
          <w:sz w:val="20"/>
          <w:szCs w:val="20"/>
          <w:color w:val="auto"/>
        </w:rPr>
        <w:t>” means, with respect to the Depositary, a Person who has an account with the Depositary.</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Paying Agent</w:t>
      </w:r>
      <w:r>
        <w:rPr>
          <w:rFonts w:ascii="Times New Roman" w:cs="Times New Roman" w:eastAsia="Times New Roman" w:hAnsi="Times New Roman"/>
          <w:sz w:val="20"/>
          <w:szCs w:val="20"/>
          <w:color w:val="auto"/>
        </w:rPr>
        <w:t>” means any Person authorized by the Issuer to pay the principal of, premium, if any, or interest on any Notes on behalf of the Issuer.</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Payment Default</w:t>
      </w:r>
      <w:r>
        <w:rPr>
          <w:rFonts w:ascii="Times New Roman" w:cs="Times New Roman" w:eastAsia="Times New Roman" w:hAnsi="Times New Roman"/>
          <w:sz w:val="20"/>
          <w:szCs w:val="20"/>
          <w:color w:val="auto"/>
        </w:rPr>
        <w:t>” means any default in payment of amounts when due on the Notes, without giving effect to any grace period.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Performance References</w:t>
      </w:r>
      <w:r>
        <w:rPr>
          <w:rFonts w:ascii="Times New Roman" w:cs="Times New Roman" w:eastAsia="Times New Roman" w:hAnsi="Times New Roman"/>
          <w:sz w:val="20"/>
          <w:szCs w:val="20"/>
          <w:color w:val="auto"/>
        </w:rPr>
        <w:t>” means any Parent Company (including Parent) or any one or more of the Issuer and the Guarantors.</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Business</w:t>
      </w:r>
      <w:r>
        <w:rPr>
          <w:rFonts w:ascii="Times New Roman" w:cs="Times New Roman" w:eastAsia="Times New Roman" w:hAnsi="Times New Roman"/>
          <w:sz w:val="20"/>
          <w:szCs w:val="20"/>
          <w:color w:val="auto"/>
        </w:rPr>
        <w:t>” means any business that is the same as or related, ancillary or complementary to any of the businesses of the Issuer or the Restricted Subsidiaries on the Issue Date and any reasonable extension or evolution of any of the foregoing.</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Business Asset</w:t>
      </w:r>
      <w:r>
        <w:rPr>
          <w:rFonts w:ascii="Times New Roman" w:cs="Times New Roman" w:eastAsia="Times New Roman" w:hAnsi="Times New Roman"/>
          <w:sz w:val="20"/>
          <w:szCs w:val="20"/>
          <w:color w:val="auto"/>
        </w:rPr>
        <w:t>” means (a) one or more Rigs, (b) the Equity Interests of a Person owning one or more Rigs and/or (c) any other related asset that is useful in the business of the Issuer or its Restricted Subsidiaries.</w:t>
      </w:r>
    </w:p>
    <w:p>
      <w:pPr>
        <w:spacing w:after="0" w:line="1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Business Investment</w:t>
      </w:r>
      <w:r>
        <w:rPr>
          <w:rFonts w:ascii="Times New Roman" w:cs="Times New Roman" w:eastAsia="Times New Roman" w:hAnsi="Times New Roman"/>
          <w:sz w:val="20"/>
          <w:szCs w:val="20"/>
          <w:color w:val="auto"/>
        </w:rPr>
        <w:t>” means Investments in any Person made in the course of conducting a Permitted Business, whether through agreements, transactions, joint ventures, expenditures or other arrangements that permit one to share risks or costs of such activities or comply with regulatory requirements regarding local ownership, including, without limitation, direct or indirect ownership interests in all types of drilling, transportation and oilfield services assets, property and equipment.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Investment</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jc w:val="both"/>
        <w:ind w:firstLine="656"/>
        <w:spacing w:after="0" w:line="258" w:lineRule="auto"/>
        <w:tabs>
          <w:tab w:leader="none" w:pos="11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the Issuer or any Restricted Subsidiary (other than for purposes of this clause (1), any Investments in any Ineligible LCE) in (a) any Restricted Subsidiary or an Eligible LCE or (b) any Person that will become immediately after such Investment a Restricted Subsidiary or that will merge or consolidate into the Issuer or any Restricted Subsidiary and any Investment held by any such Person at such time that was not incurred in contemplation of such acquisition, merger or consolidation;</w:t>
      </w:r>
    </w:p>
    <w:p>
      <w:pPr>
        <w:spacing w:after="0" w:line="18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Issuer by any Restricted Subsidiary;</w:t>
      </w:r>
    </w:p>
    <w:p>
      <w:pPr>
        <w:spacing w:after="0" w:line="215" w:lineRule="exact"/>
        <w:rPr>
          <w:rFonts w:ascii="Times New Roman" w:cs="Times New Roman" w:eastAsia="Times New Roman" w:hAnsi="Times New Roman"/>
          <w:sz w:val="20"/>
          <w:szCs w:val="20"/>
          <w:color w:val="auto"/>
        </w:rPr>
      </w:pPr>
    </w:p>
    <w:p>
      <w:pPr>
        <w:jc w:val="both"/>
        <w:ind w:firstLine="656"/>
        <w:spacing w:after="0" w:line="258" w:lineRule="auto"/>
        <w:tabs>
          <w:tab w:leader="none" w:pos="108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to directors, employees and officers of the Issuer and its Restricted Subsidiaries (i) in the ordinary course of business (including payroll, travel and entertainment related advances) (other than any loans or advances to any director or executive officer (or equivalent thereof) that would be in violation of Section 402 of the Sarbanes Oxley Act) and (ii) to purchase Equity Interests of the Issuer not in excess of $20.0 million in the aggregate outstanding at any one time;</w:t>
      </w:r>
    </w:p>
    <w:p>
      <w:pPr>
        <w:spacing w:after="0" w:line="185" w:lineRule="exact"/>
        <w:rPr>
          <w:rFonts w:ascii="Times New Roman" w:cs="Times New Roman" w:eastAsia="Times New Roman" w:hAnsi="Times New Roman"/>
          <w:sz w:val="20"/>
          <w:szCs w:val="20"/>
          <w:color w:val="auto"/>
        </w:rPr>
      </w:pPr>
    </w:p>
    <w:p>
      <w:pPr>
        <w:ind w:firstLine="656"/>
        <w:spacing w:after="0" w:line="269" w:lineRule="auto"/>
        <w:tabs>
          <w:tab w:leader="none" w:pos="119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Obligations entered into in the ordinary course of business for bona fide hedging purposes of the Issuer or any Restricted Subsidiary not for the purpose of speculation;</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3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Cash Equivalents, U.S. Treasury securities, government securities of the United Kingdom, any member state of the European Union, Norway, Singapore, Japan, Canada, Australia and New Zealand, investment grade corporate debt securities or any fund invested primarily in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09" w:right="339" w:bottom="1440" w:gutter="0" w:footer="0" w:header="0"/>
        </w:sectPr>
      </w:pPr>
    </w:p>
    <w:bookmarkStart w:id="30" w:name="page31"/>
    <w:bookmarkEnd w:id="30"/>
    <w:p>
      <w:pPr>
        <w:jc w:val="both"/>
        <w:ind w:firstLine="656"/>
        <w:spacing w:after="0" w:line="253" w:lineRule="auto"/>
        <w:tabs>
          <w:tab w:leader="none" w:pos="111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receivables owing to the Issuer or any Restricted Subsidiary if created or acquired, and advances or extensions of credit in the nature of accounts receivable arising from the sale or lease of goods or services, the leasing of equipment or the licensing of property, in each case in the ordinary course of business and payable or dischargeable in accordance with customary trade terms;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trade terms may include such concessionary trade terms as the Issuer or any such Restricted Subsidiary deems reasonable under the circumstances;</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95"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181" w:lineRule="exact"/>
        <w:rPr>
          <w:rFonts w:ascii="Times New Roman" w:cs="Times New Roman" w:eastAsia="Times New Roman" w:hAnsi="Times New Roman"/>
          <w:sz w:val="20"/>
          <w:szCs w:val="20"/>
          <w:color w:val="auto"/>
        </w:rPr>
      </w:pPr>
    </w:p>
    <w:p>
      <w:pPr>
        <w:ind w:right="20" w:firstLine="656"/>
        <w:spacing w:after="0" w:line="269" w:lineRule="auto"/>
        <w:tabs>
          <w:tab w:leader="none" w:pos="1114"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by the Issuer or any Restricted Subsidiary as a result of consideration received in connection with an Asset Sale made in compliance with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or a transaction excluded from the definition of Asset Sale;</w:t>
      </w:r>
    </w:p>
    <w:p>
      <w:pPr>
        <w:spacing w:after="0" w:line="17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 utility and other similar deposits in the ordinary course of business;</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204"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shares, obligations or securities received in settlement of debts created in the ordinary course of business and owing to the Issuer or any Restricted Subsidiary or in satisfaction of judgments;</w:t>
      </w:r>
    </w:p>
    <w:p>
      <w:pPr>
        <w:spacing w:after="0" w:line="172" w:lineRule="exact"/>
        <w:rPr>
          <w:rFonts w:ascii="Times New Roman" w:cs="Times New Roman" w:eastAsia="Times New Roman" w:hAnsi="Times New Roman"/>
          <w:sz w:val="20"/>
          <w:szCs w:val="20"/>
          <w:color w:val="auto"/>
        </w:rPr>
      </w:pPr>
    </w:p>
    <w:p>
      <w:pPr>
        <w:jc w:val="both"/>
        <w:ind w:firstLine="656"/>
        <w:spacing w:after="0" w:line="267" w:lineRule="auto"/>
        <w:tabs>
          <w:tab w:leader="none" w:pos="1206"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in Unrestricted Subsidiaries and Ineligible LCEs not to exceed the greater of (x) $150.0 million and (y) 2.0% of the Issuer’s Consolidated Total Assets determined at the time of Investment; provided, however, that if any Investment pursuant to this </w:t>
      </w:r>
      <w:r>
        <w:rPr>
          <w:rFonts w:ascii="Times New Roman" w:cs="Times New Roman" w:eastAsia="Times New Roman" w:hAnsi="Times New Roman"/>
          <w:sz w:val="19"/>
          <w:szCs w:val="19"/>
          <w:u w:val="single" w:color="auto"/>
          <w:color w:val="auto"/>
        </w:rPr>
        <w:t>clause</w:t>
      </w:r>
    </w:p>
    <w:p>
      <w:pPr>
        <w:spacing w:after="0" w:line="1" w:lineRule="exact"/>
        <w:rPr>
          <w:rFonts w:ascii="Times New Roman" w:cs="Times New Roman" w:eastAsia="Times New Roman" w:hAnsi="Times New Roman"/>
          <w:sz w:val="19"/>
          <w:szCs w:val="19"/>
          <w:color w:val="auto"/>
        </w:rPr>
      </w:pPr>
    </w:p>
    <w:p>
      <w:pPr>
        <w:jc w:val="both"/>
        <w:ind w:firstLine="8"/>
        <w:spacing w:after="0" w:line="253" w:lineRule="auto"/>
        <w:tabs>
          <w:tab w:leader="none" w:pos="390" w:val="left"/>
        </w:tabs>
        <w:numPr>
          <w:ilvl w:val="0"/>
          <w:numId w:val="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is made in any Person that later becomes a Restricted Subsidiary after such date, such investment shall thereafter be deemed to have been made pursuant to clause (1) above and shall cease to have been made pursuant to this </w:t>
      </w:r>
      <w:r>
        <w:rPr>
          <w:rFonts w:ascii="Times New Roman" w:cs="Times New Roman" w:eastAsia="Times New Roman" w:hAnsi="Times New Roman"/>
          <w:sz w:val="20"/>
          <w:szCs w:val="20"/>
          <w:u w:val="single" w:color="auto"/>
          <w:color w:val="auto"/>
        </w:rPr>
        <w:t>clause (11)</w:t>
      </w:r>
      <w:r>
        <w:rPr>
          <w:rFonts w:ascii="Times New Roman" w:cs="Times New Roman" w:eastAsia="Times New Roman" w:hAnsi="Times New Roman"/>
          <w:sz w:val="20"/>
          <w:szCs w:val="20"/>
          <w:color w:val="auto"/>
        </w:rPr>
        <w:t xml:space="preserve"> for so long as such Person continues to be a Restricted Subsidiary;</w:t>
      </w:r>
    </w:p>
    <w:p>
      <w:pPr>
        <w:spacing w:after="0" w:line="188" w:lineRule="exact"/>
        <w:rPr>
          <w:rFonts w:ascii="Times New Roman" w:cs="Times New Roman" w:eastAsia="Times New Roman" w:hAnsi="Times New Roman"/>
          <w:sz w:val="20"/>
          <w:szCs w:val="20"/>
          <w:u w:val="single" w:color="auto"/>
          <w:color w:val="auto"/>
        </w:rPr>
      </w:pPr>
    </w:p>
    <w:p>
      <w:pPr>
        <w:ind w:left="1180" w:hanging="524"/>
        <w:spacing w:after="0"/>
        <w:tabs>
          <w:tab w:leader="none" w:pos="118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of Indebtedness of the Issuer or any of its Restricted Subsidiaries permitted in accordance with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180" w:hanging="524"/>
        <w:spacing w:after="0"/>
        <w:tabs>
          <w:tab w:leader="none" w:pos="118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repurchases of, or other Investments in, the Notes or other Indebtedness of the Issuer and its Restricted Subsidiaries;</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53"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existing on, or made pursuant to binding commitments existing on, the Issue Date, and any modifications, renewals or extensions that do not increase the amount of the Investment being modified, renewed or extended (as determined as of such date of modification, renewal or extension) unless the incremental increase in such Investment is otherwise permitted hereunder;</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1"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the payment for which consists of Equity Interests (exclusive of Disqualified Equity Interests) of the Issuer;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such Equity Interests will not increase the amount available for Restricted Payments under the Restricted Payments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Builder Basket;</w:t>
      </w:r>
    </w:p>
    <w:p>
      <w:pPr>
        <w:spacing w:after="0" w:line="167" w:lineRule="exact"/>
        <w:rPr>
          <w:rFonts w:ascii="Times New Roman" w:cs="Times New Roman" w:eastAsia="Times New Roman" w:hAnsi="Times New Roman"/>
          <w:sz w:val="20"/>
          <w:szCs w:val="20"/>
          <w:color w:val="auto"/>
        </w:rPr>
      </w:pPr>
    </w:p>
    <w:p>
      <w:pPr>
        <w:jc w:val="both"/>
        <w:ind w:firstLine="656"/>
        <w:spacing w:after="0" w:line="275" w:lineRule="auto"/>
        <w:tabs>
          <w:tab w:leader="none" w:pos="1175"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Investments in any Person having an aggregate Fair Market Value (measured on the date each such Investment was made and without giving effect to subsequent changes in value) that, when taken together with all other Investments made pursuant to this </w:t>
      </w:r>
      <w:r>
        <w:rPr>
          <w:rFonts w:ascii="Times New Roman" w:cs="Times New Roman" w:eastAsia="Times New Roman" w:hAnsi="Times New Roman"/>
          <w:sz w:val="19"/>
          <w:szCs w:val="19"/>
          <w:u w:val="single" w:color="auto"/>
          <w:color w:val="auto"/>
        </w:rPr>
        <w:t>clause</w:t>
      </w:r>
    </w:p>
    <w:p>
      <w:pPr>
        <w:ind w:right="20" w:firstLine="8"/>
        <w:spacing w:after="0" w:line="253" w:lineRule="auto"/>
        <w:tabs>
          <w:tab w:leader="none" w:pos="398" w:val="left"/>
        </w:tabs>
        <w:numPr>
          <w:ilvl w:val="0"/>
          <w:numId w:val="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since the Issue Date and then outstanding, do not exceed the greater of (x) $375.0 million and (v) 5.0% of the Issuer’s Consolidated Total Assets determined at the time of the Investment;</w:t>
      </w:r>
    </w:p>
    <w:p>
      <w:pPr>
        <w:spacing w:after="0" w:line="188" w:lineRule="exact"/>
        <w:rPr>
          <w:rFonts w:ascii="Times New Roman" w:cs="Times New Roman" w:eastAsia="Times New Roman" w:hAnsi="Times New Roman"/>
          <w:sz w:val="20"/>
          <w:szCs w:val="20"/>
          <w:u w:val="single" w:color="auto"/>
          <w:color w:val="auto"/>
        </w:rPr>
      </w:pPr>
    </w:p>
    <w:p>
      <w:pPr>
        <w:ind w:firstLine="656"/>
        <w:spacing w:after="0" w:line="269" w:lineRule="auto"/>
        <w:tabs>
          <w:tab w:leader="none" w:pos="1315"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guarantees of any trade or non-financial operating contract (other than such contract that itself constitutes Indebtedness)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13" w:right="339" w:bottom="1440" w:gutter="0" w:footer="0" w:header="0"/>
        </w:sectPr>
      </w:pPr>
    </w:p>
    <w:bookmarkStart w:id="31" w:name="page32"/>
    <w:bookmarkEnd w:id="31"/>
    <w:p>
      <w:pPr>
        <w:ind w:firstLine="656"/>
        <w:spacing w:after="0" w:line="283" w:lineRule="auto"/>
        <w:tabs>
          <w:tab w:leader="none" w:pos="123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accordance with recovery plans to support defined benefit plans or pension schemes sponsored by the Issuer or any Restricted Subsidiary;</w:t>
      </w:r>
    </w:p>
    <w:p>
      <w:pPr>
        <w:spacing w:after="0" w:line="146"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any Ineligible LCE (other than, for purposes of this </w:t>
      </w:r>
      <w:r>
        <w:rPr>
          <w:rFonts w:ascii="Times New Roman" w:cs="Times New Roman" w:eastAsia="Times New Roman" w:hAnsi="Times New Roman"/>
          <w:sz w:val="20"/>
          <w:szCs w:val="20"/>
          <w:u w:val="single" w:color="auto"/>
          <w:color w:val="auto"/>
        </w:rPr>
        <w:t>clause (19)</w:t>
      </w:r>
      <w:r>
        <w:rPr>
          <w:rFonts w:ascii="Times New Roman" w:cs="Times New Roman" w:eastAsia="Times New Roman" w:hAnsi="Times New Roman"/>
          <w:sz w:val="20"/>
          <w:szCs w:val="20"/>
          <w:color w:val="auto"/>
        </w:rPr>
        <w:t xml:space="preserve">, any disposition or other transfer of a Rig to any such Ineligible LCE);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at the time of and immediately after giving effect to any such Investment, the aggregate principal amount of all outstanding Investments at such time pursuant to this clause (19) shall not exceed the lesser of (x) $50.0 million and (y) the aggregate amount of all accounts receivable owed by third parties to all such Ineligible LCEs at such time pursuant to any charter party agreement, drilling contract or any demise, bareboat, time, voyage, other charter, lease or other right to use of a Rig to which any such Ineligible LCE is a party, (ii) promptly after any such Ineligible LCE’s receipt of a payment of any such accounts receivable, such Ineligible LCE shall apply such amount (to the extent required under the RCF Credit Agreement) to make, directly or indirectly, to one or more of the Issuer or a Guarantor a repayment or return on, or distribution with respect to, outstanding Investments made in such Ineligible LCE pursuant to this </w:t>
      </w:r>
      <w:r>
        <w:rPr>
          <w:rFonts w:ascii="Times New Roman" w:cs="Times New Roman" w:eastAsia="Times New Roman" w:hAnsi="Times New Roman"/>
          <w:sz w:val="20"/>
          <w:szCs w:val="20"/>
          <w:u w:val="single" w:color="auto"/>
          <w:color w:val="auto"/>
        </w:rPr>
        <w:t>clause (19)</w:t>
      </w:r>
      <w:r>
        <w:rPr>
          <w:rFonts w:ascii="Times New Roman" w:cs="Times New Roman" w:eastAsia="Times New Roman" w:hAnsi="Times New Roman"/>
          <w:sz w:val="20"/>
          <w:szCs w:val="20"/>
          <w:color w:val="auto"/>
        </w:rPr>
        <w:t>, and (iii) to the extent not prohibited by any applicable contractual obligations relating to the applicable Rig or applicable law, any such Investment shall be evidenced by a promissory note or similar instrument that is payable on demand by the relevant Ineligible LCE in which such Investment is made;</w:t>
      </w:r>
    </w:p>
    <w:p>
      <w:pPr>
        <w:spacing w:after="0" w:line="199" w:lineRule="exact"/>
        <w:rPr>
          <w:rFonts w:ascii="Times New Roman" w:cs="Times New Roman" w:eastAsia="Times New Roman" w:hAnsi="Times New Roman"/>
          <w:sz w:val="20"/>
          <w:szCs w:val="20"/>
          <w:color w:val="auto"/>
        </w:rPr>
      </w:pPr>
    </w:p>
    <w:p>
      <w:pPr>
        <w:ind w:right="20" w:firstLine="656"/>
        <w:spacing w:after="0" w:line="269" w:lineRule="auto"/>
        <w:tabs>
          <w:tab w:leader="none" w:pos="122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Business Investments in an unlimited amount so long as after giving pro forma effect thereto the Consolidated Total Debt Ratio does not exceed 1.25 to 1.00;</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4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and advances to any Parent Company in lieu of, and not in excess of the amount of (after giving effect to any other loans, advances or Restricted Payments in respect thereof), Permitted Payments to Parent permitted to be made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4.7</w:t>
      </w:r>
      <w:r>
        <w:rPr>
          <w:rFonts w:ascii="Times New Roman" w:cs="Times New Roman" w:eastAsia="Times New Roman" w:hAnsi="Times New Roman"/>
          <w:sz w:val="20"/>
          <w:szCs w:val="20"/>
          <w:color w:val="auto"/>
        </w:rPr>
        <w:t xml:space="preserve">; provided that (i) the proceeds of such loans and advances are used or will be used solely as set forth in the definition of “Permitted Payments to Parent” and (ii) any such Investment shall reduce the amount of such applicable Restricted Payments thereafter permitted by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by a corresponding amount; and</w:t>
      </w:r>
    </w:p>
    <w:p>
      <w:pPr>
        <w:spacing w:after="0" w:line="191" w:lineRule="exact"/>
        <w:rPr>
          <w:rFonts w:ascii="Times New Roman" w:cs="Times New Roman" w:eastAsia="Times New Roman" w:hAnsi="Times New Roman"/>
          <w:sz w:val="20"/>
          <w:szCs w:val="20"/>
          <w:color w:val="auto"/>
        </w:rPr>
      </w:pPr>
    </w:p>
    <w:p>
      <w:pPr>
        <w:ind w:firstLine="656"/>
        <w:spacing w:after="0" w:line="269" w:lineRule="auto"/>
        <w:tabs>
          <w:tab w:leader="none" w:pos="120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to consummate any transaction pursuant to </w:t>
      </w:r>
      <w:r>
        <w:rPr>
          <w:rFonts w:ascii="Times New Roman" w:cs="Times New Roman" w:eastAsia="Times New Roman" w:hAnsi="Times New Roman"/>
          <w:sz w:val="20"/>
          <w:szCs w:val="20"/>
          <w:u w:val="single" w:color="auto"/>
          <w:color w:val="auto"/>
        </w:rPr>
        <w:t>clause (q)</w:t>
      </w:r>
      <w:r>
        <w:rPr>
          <w:rFonts w:ascii="Times New Roman" w:cs="Times New Roman" w:eastAsia="Times New Roman" w:hAnsi="Times New Roman"/>
          <w:sz w:val="20"/>
          <w:szCs w:val="20"/>
          <w:color w:val="auto"/>
        </w:rPr>
        <w:t xml:space="preserve"> of the definition of “Asset Sale” and to comply with the applicable requirements set forth therein, including the issuance of any Specified Rig Intercompany Note pursuant thereto.</w:t>
      </w:r>
    </w:p>
    <w:p>
      <w:pPr>
        <w:spacing w:after="0" w:line="17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In determining whether any Investment is a Permitted Investment, the Issuer may allocate or reallocate all or any portion of an Investment among the clauses of this definition and any of the provisions of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Jurisdictions</w:t>
      </w:r>
      <w:r>
        <w:rPr>
          <w:rFonts w:ascii="Times New Roman" w:cs="Times New Roman" w:eastAsia="Times New Roman" w:hAnsi="Times New Roman"/>
          <w:sz w:val="20"/>
          <w:szCs w:val="20"/>
          <w:color w:val="auto"/>
        </w:rPr>
        <w:t>” means (1) the State of Delaware or another State of the United States, (2) the Cayman Islands, (3) the United Kingdom, (4) any member state of the European Union, (5) any member of the European Economic Area (EEA) or USMCA, (6) Switzerland, (7) Singapore, (8) the British Virgin Islands, (9) Bermuda, (10) the Bailiwick of Jersey, (11) Gibraltar and (12) any territory or other political subdivision of any of the foregoing.</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Liens</w:t>
      </w:r>
      <w:r>
        <w:rPr>
          <w:rFonts w:ascii="Times New Roman" w:cs="Times New Roman" w:eastAsia="Times New Roman" w:hAnsi="Times New Roman"/>
          <w:sz w:val="20"/>
          <w:szCs w:val="20"/>
          <w:color w:val="auto"/>
        </w:rPr>
        <w:t>” means the following types of Liens:</w:t>
      </w:r>
    </w:p>
    <w:p>
      <w:pPr>
        <w:spacing w:after="0" w:line="220" w:lineRule="exact"/>
        <w:rPr>
          <w:sz w:val="20"/>
          <w:szCs w:val="20"/>
          <w:color w:val="auto"/>
        </w:rPr>
      </w:pPr>
    </w:p>
    <w:p>
      <w:pPr>
        <w:jc w:val="both"/>
        <w:ind w:firstLine="656"/>
        <w:spacing w:after="0" w:line="261" w:lineRule="auto"/>
        <w:tabs>
          <w:tab w:leader="none" w:pos="108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for taxes, assessments or governmental charges or levies not yet due and payable or delinquent or that are being contested in good faith by appropriate proceedings;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adequate reserves with respect thereto are maintained on the books of the Issuer or its Restricted Subsidiaries, as the case may be, in conformity with GAAP;</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10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respect of property of the Issuer or any Restricted Subsidiary imposed by law or contract, which were not incurred or created to secure Indebtedness for borrowed money, such as carriers’, warehousemen’s, materialmen’s, landlords’, workmen’s, suppliers’, repairmen’s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13"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20"/>
          <w:szCs w:val="20"/>
          <w:color w:val="auto"/>
        </w:rPr>
        <w:t>mechanics’ Liens and other similar Liens arising in the ordinary course of business, and which do not in the aggregate materially detract from the value of the property of the Issuer or its Restricted Subsidiaries, taken as a whole, and do not materially impair the use thereof in the operation of the business of the Issuer and its Restricted Subsidiaries, taken as a whole;</w:t>
      </w:r>
    </w:p>
    <w:p>
      <w:pPr>
        <w:spacing w:after="0" w:line="181" w:lineRule="exact"/>
        <w:rPr>
          <w:sz w:val="20"/>
          <w:szCs w:val="20"/>
          <w:color w:val="auto"/>
        </w:rPr>
      </w:pPr>
    </w:p>
    <w:p>
      <w:pPr>
        <w:jc w:val="both"/>
        <w:ind w:right="20" w:firstLine="656"/>
        <w:spacing w:after="0" w:line="261" w:lineRule="auto"/>
        <w:tabs>
          <w:tab w:leader="none" w:pos="113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pledges or deposits made in connection therewith in the ordinary course of business in connection with obligations of the type described in </w:t>
      </w:r>
      <w:r>
        <w:rPr>
          <w:rFonts w:ascii="Times New Roman" w:cs="Times New Roman" w:eastAsia="Times New Roman" w:hAnsi="Times New Roman"/>
          <w:sz w:val="20"/>
          <w:szCs w:val="20"/>
          <w:u w:val="single" w:color="auto"/>
          <w:color w:val="auto"/>
        </w:rPr>
        <w:t>Section 4.9(b)(7)</w:t>
      </w:r>
      <w:r>
        <w:rPr>
          <w:rFonts w:ascii="Times New Roman" w:cs="Times New Roman" w:eastAsia="Times New Roman" w:hAnsi="Times New Roman"/>
          <w:sz w:val="20"/>
          <w:szCs w:val="20"/>
          <w:color w:val="auto"/>
        </w:rPr>
        <w:t xml:space="preserve"> and (ii) Liens incurred in connection with or for the benefit of defined benefit plans or pension schemes sponsored by the Issuer or its Restricted Subsidiaries;</w:t>
      </w:r>
    </w:p>
    <w:p>
      <w:pPr>
        <w:spacing w:after="0" w:line="181" w:lineRule="exact"/>
        <w:rPr>
          <w:rFonts w:ascii="Times New Roman" w:cs="Times New Roman" w:eastAsia="Times New Roman" w:hAnsi="Times New Roman"/>
          <w:sz w:val="20"/>
          <w:szCs w:val="20"/>
          <w:color w:val="auto"/>
        </w:rPr>
      </w:pPr>
    </w:p>
    <w:p>
      <w:pPr>
        <w:jc w:val="both"/>
        <w:ind w:firstLine="656"/>
        <w:spacing w:after="0" w:line="254" w:lineRule="auto"/>
        <w:tabs>
          <w:tab w:leader="none" w:pos="119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incurred in the ordinary course of business to secure the performance of tenders, bids, trade contracts, stay and customs bonds, leases, statutory obligations, surety and appeal bonds, statutory bonds, government contracts, performance and return money bonds and other similar obligations (exclusive of obligations for the payment of borrowed money) or (ii) incurred in the ordinary course of business to secure liability for premiums or in respect of reimbursement or indemnification obligations to insurance carriers;</w:t>
      </w:r>
    </w:p>
    <w:p>
      <w:pPr>
        <w:spacing w:after="0" w:line="187" w:lineRule="exact"/>
        <w:rPr>
          <w:rFonts w:ascii="Times New Roman" w:cs="Times New Roman" w:eastAsia="Times New Roman" w:hAnsi="Times New Roman"/>
          <w:sz w:val="20"/>
          <w:szCs w:val="20"/>
          <w:color w:val="auto"/>
        </w:rPr>
      </w:pPr>
    </w:p>
    <w:p>
      <w:pPr>
        <w:jc w:val="both"/>
        <w:ind w:firstLine="656"/>
        <w:spacing w:after="0" w:line="261" w:lineRule="auto"/>
        <w:tabs>
          <w:tab w:leader="none" w:pos="109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12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judgments or awards not resulting in a Default or an Event of Default so long as such Lien is adequately bonded and any appropriate legal proceedings which may have been duly initiated for the review of such judgment have not been finally terminated or the period within which such proceedings may be initiated has not expired;</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07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minor defects, irregularities and deficiencies in title to, and easements, rights of way, restrictions (including zoning restrictions), covenants, encroachments, protrusions and other similar restrictions, charges or encumbrances, defects and irregularities in the physical placement and location of pipelines within areas covered by, and other rights in Real Property in favor of the Issuer or any Restricted Subsidiary, in each case which do not interfere with the ordinary conduct of business, and which do not materially detract from the value of the property which they affect;</w:t>
      </w:r>
    </w:p>
    <w:p>
      <w:pPr>
        <w:spacing w:after="0" w:line="178" w:lineRule="exact"/>
        <w:rPr>
          <w:rFonts w:ascii="Times New Roman" w:cs="Times New Roman" w:eastAsia="Times New Roman" w:hAnsi="Times New Roman"/>
          <w:sz w:val="20"/>
          <w:szCs w:val="20"/>
          <w:color w:val="auto"/>
        </w:rPr>
      </w:pPr>
    </w:p>
    <w:p>
      <w:pPr>
        <w:jc w:val="both"/>
        <w:ind w:firstLine="656"/>
        <w:spacing w:after="0" w:line="258" w:lineRule="auto"/>
        <w:tabs>
          <w:tab w:leader="none" w:pos="109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Liens securing reimbursement obligations with respect to commercial letters of credit which encumber documents and other assets relating to such letters of credit and products and proceeds thereof, and (ii) Liens securing Indebtedness represented by letters of credit, bankers’ acceptances, letters of guaranty and similar credit transactions (or reimbursement agreements in respect thereof) incurred and then outstanding pursuant to </w:t>
      </w:r>
      <w:r>
        <w:rPr>
          <w:rFonts w:ascii="Times New Roman" w:cs="Times New Roman" w:eastAsia="Times New Roman" w:hAnsi="Times New Roman"/>
          <w:sz w:val="20"/>
          <w:szCs w:val="20"/>
          <w:u w:val="single" w:color="auto"/>
          <w:color w:val="auto"/>
        </w:rPr>
        <w:t>Section 4.9(b)(16)</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right="20" w:firstLine="656"/>
        <w:spacing w:after="0" w:line="269" w:lineRule="auto"/>
        <w:tabs>
          <w:tab w:leader="none" w:pos="109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encumbering deposits made to secure obligations arising from statutory, regulatory, contractual or warranty requirements of the Issuer or any Restricted Subsidiary, including rights of offset and setoff;</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19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bankers’ Liens, rights of setoff and other similar Liens existing solely with respect to cash and Cash Equivalents on deposit in one or more accounts maintained by the Issuer or any Restricted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w:t>
      </w:r>
    </w:p>
    <w:p>
      <w:pPr>
        <w:spacing w:after="0" w:line="172" w:lineRule="exact"/>
        <w:rPr>
          <w:rFonts w:ascii="Times New Roman" w:cs="Times New Roman" w:eastAsia="Times New Roman" w:hAnsi="Times New Roman"/>
          <w:sz w:val="20"/>
          <w:szCs w:val="20"/>
          <w:color w:val="auto"/>
        </w:rPr>
      </w:pPr>
    </w:p>
    <w:p>
      <w:pPr>
        <w:ind w:left="1220" w:hanging="564"/>
        <w:spacing w:after="0"/>
        <w:tabs>
          <w:tab w:leader="none" w:pos="12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under any lease entered into by the Issuer or any Restricted Subsidiary not in violation of this</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33" w:name="page34"/>
    <w:bookmarkEnd w:id="33"/>
    <w:p>
      <w:pPr>
        <w:ind w:firstLine="656"/>
        <w:spacing w:after="0" w:line="283" w:lineRule="auto"/>
        <w:tabs>
          <w:tab w:leader="none" w:pos="117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of UCC financing statements solely as a precautionary measure in connection with operating leases, consignments of goods or transfers of accounts, in each case to the extent not securing performance of a payment or other obligation;</w:t>
      </w:r>
    </w:p>
    <w:p>
      <w:pPr>
        <w:spacing w:after="0" w:line="146" w:lineRule="exact"/>
        <w:rPr>
          <w:rFonts w:ascii="Times New Roman" w:cs="Times New Roman" w:eastAsia="Times New Roman" w:hAnsi="Times New Roman"/>
          <w:sz w:val="20"/>
          <w:szCs w:val="20"/>
          <w:color w:val="auto"/>
        </w:rPr>
      </w:pPr>
    </w:p>
    <w:p>
      <w:pPr>
        <w:ind w:left="1180" w:hanging="524"/>
        <w:spacing w:after="0"/>
        <w:tabs>
          <w:tab w:leader="none" w:pos="11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the Notes and any Guarantee;</w:t>
      </w:r>
    </w:p>
    <w:p>
      <w:pPr>
        <w:spacing w:after="0" w:line="229" w:lineRule="exact"/>
        <w:rPr>
          <w:rFonts w:ascii="Times New Roman" w:cs="Times New Roman" w:eastAsia="Times New Roman" w:hAnsi="Times New Roman"/>
          <w:sz w:val="20"/>
          <w:szCs w:val="20"/>
          <w:color w:val="auto"/>
        </w:rPr>
      </w:pPr>
    </w:p>
    <w:p>
      <w:pPr>
        <w:ind w:right="20" w:firstLine="656"/>
        <w:spacing w:after="0" w:line="269" w:lineRule="auto"/>
        <w:tabs>
          <w:tab w:leader="none" w:pos="118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Hedging Obligations entered into for bona fide hedging purposes of the Issuer or any Restricted Subsidiary not for the purpose of speculation;</w:t>
      </w:r>
    </w:p>
    <w:p>
      <w:pPr>
        <w:spacing w:after="0" w:line="172" w:lineRule="exact"/>
        <w:rPr>
          <w:rFonts w:ascii="Times New Roman" w:cs="Times New Roman" w:eastAsia="Times New Roman" w:hAnsi="Times New Roman"/>
          <w:sz w:val="20"/>
          <w:szCs w:val="20"/>
          <w:color w:val="auto"/>
        </w:rPr>
      </w:pPr>
    </w:p>
    <w:p>
      <w:pPr>
        <w:ind w:left="1180" w:hanging="524"/>
        <w:spacing w:after="0"/>
        <w:tabs>
          <w:tab w:leader="none" w:pos="11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Specified Cash Management Agreements entered into in the ordinary course of business;</w:t>
      </w:r>
    </w:p>
    <w:p>
      <w:pPr>
        <w:spacing w:after="0" w:line="229" w:lineRule="exact"/>
        <w:rPr>
          <w:rFonts w:ascii="Times New Roman" w:cs="Times New Roman" w:eastAsia="Times New Roman" w:hAnsi="Times New Roman"/>
          <w:sz w:val="20"/>
          <w:szCs w:val="20"/>
          <w:color w:val="auto"/>
        </w:rPr>
      </w:pPr>
    </w:p>
    <w:p>
      <w:pPr>
        <w:ind w:left="1180" w:hanging="524"/>
        <w:spacing w:after="0"/>
        <w:tabs>
          <w:tab w:leader="none" w:pos="11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the Issuer or a Restricted Subsidiary, subject to subordination for Liens to non-Guarantors;</w:t>
      </w:r>
    </w:p>
    <w:p>
      <w:pPr>
        <w:spacing w:after="0" w:line="215" w:lineRule="exact"/>
        <w:rPr>
          <w:rFonts w:ascii="Times New Roman" w:cs="Times New Roman" w:eastAsia="Times New Roman" w:hAnsi="Times New Roman"/>
          <w:sz w:val="20"/>
          <w:szCs w:val="20"/>
          <w:color w:val="auto"/>
        </w:rPr>
      </w:pPr>
    </w:p>
    <w:p>
      <w:pPr>
        <w:ind w:left="1180" w:hanging="524"/>
        <w:spacing w:after="0"/>
        <w:tabs>
          <w:tab w:leader="none" w:pos="11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under Debt Facilities incurred and then outstanding pursuant to </w:t>
      </w:r>
      <w:r>
        <w:rPr>
          <w:rFonts w:ascii="Times New Roman" w:cs="Times New Roman" w:eastAsia="Times New Roman" w:hAnsi="Times New Roman"/>
          <w:sz w:val="20"/>
          <w:szCs w:val="20"/>
          <w:u w:val="single" w:color="auto"/>
          <w:color w:val="auto"/>
        </w:rPr>
        <w:t>Section 4.9(b)(1)</w:t>
      </w:r>
      <w:r>
        <w:rPr>
          <w:rFonts w:ascii="Times New Roman" w:cs="Times New Roman" w:eastAsia="Times New Roman" w:hAnsi="Times New Roman"/>
          <w:sz w:val="20"/>
          <w:szCs w:val="20"/>
          <w:color w:val="auto"/>
        </w:rPr>
        <w:t>;</w:t>
      </w:r>
    </w:p>
    <w:p>
      <w:pPr>
        <w:spacing w:after="0" w:line="22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2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pursuant to Purchase Money Indebtedness or Capitalized Lease Obligations;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the Indebtedness (including any fees and expenses incurred in connection therewith) secured by any such Lien (including refinancings thereof) does not exceed 100.0% of the cost of the property being acquired or leased at the time of the incurrence of such Indebtedness and (ii) any such Liens attach only to the property being financed pursuant to such Purchase Money Indebtedness (plus improvements, accessions, proceeds, replacements or dividends or distributions in respect thereof) and do not encumber any other property of the Issuer or any Restricted Subsidiary;</w:t>
      </w:r>
    </w:p>
    <w:p>
      <w:pPr>
        <w:spacing w:after="0" w:line="173" w:lineRule="exact"/>
        <w:rPr>
          <w:rFonts w:ascii="Times New Roman" w:cs="Times New Roman" w:eastAsia="Times New Roman" w:hAnsi="Times New Roman"/>
          <w:sz w:val="20"/>
          <w:szCs w:val="20"/>
          <w:color w:val="auto"/>
        </w:rPr>
      </w:pPr>
    </w:p>
    <w:p>
      <w:pPr>
        <w:jc w:val="both"/>
        <w:ind w:firstLine="656"/>
        <w:spacing w:after="0" w:line="260" w:lineRule="auto"/>
        <w:tabs>
          <w:tab w:leader="none" w:pos="124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Acquired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Indebtedness was not initially incurred in connection with, or in contemplation of, such Person becoming a Restricted Subsidiary or being acquired or merged into the Issuer or a Restricted Subsidiary of the Issuer and such Liens do not extend to assets not subject to such Lien at the time of acquisition (plus improvements, accessions, proceeds, replacements or dividends or distributions in respect thereof);</w:t>
      </w:r>
    </w:p>
    <w:p>
      <w:pPr>
        <w:spacing w:after="0" w:line="181" w:lineRule="exact"/>
        <w:rPr>
          <w:rFonts w:ascii="Times New Roman" w:cs="Times New Roman" w:eastAsia="Times New Roman" w:hAnsi="Times New Roman"/>
          <w:sz w:val="20"/>
          <w:szCs w:val="20"/>
          <w:color w:val="auto"/>
        </w:rPr>
      </w:pPr>
    </w:p>
    <w:p>
      <w:pPr>
        <w:jc w:val="both"/>
        <w:ind w:firstLine="656"/>
        <w:spacing w:after="0" w:line="254" w:lineRule="auto"/>
        <w:tabs>
          <w:tab w:leader="none" w:pos="131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property of a Person existing at the time such Person is acquired or amalgamated or merged with or into or consolidated with the Issuer or any Restricted Subsidiary (and not created in anticipation or contemplation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Liens do not extend to property not subject to such Liens at the time of acquisition (plus improvements, accessions, proceeds, replacements or dividends or distributions in respect thereof);</w:t>
      </w:r>
    </w:p>
    <w:p>
      <w:pPr>
        <w:spacing w:after="0" w:line="187" w:lineRule="exact"/>
        <w:rPr>
          <w:rFonts w:ascii="Times New Roman" w:cs="Times New Roman" w:eastAsia="Times New Roman" w:hAnsi="Times New Roman"/>
          <w:sz w:val="20"/>
          <w:szCs w:val="20"/>
          <w:color w:val="auto"/>
        </w:rPr>
      </w:pPr>
    </w:p>
    <w:p>
      <w:pPr>
        <w:jc w:val="both"/>
        <w:ind w:firstLine="656"/>
        <w:spacing w:after="0" w:line="261" w:lineRule="auto"/>
        <w:tabs>
          <w:tab w:leader="none" w:pos="122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and pledges of the Equity Interests of any Unrestricted Subsidiary or any joint venture owned by the Issuer or any Restricted Subsidiary of the Issuer to the extent securing Non-Recourse Debt or other Indebtedness of such Unrestricted Subsidiary or joint venture;</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18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from the deposit of funds or securities in trust for the purpose of decreasing or defeasing Indebtedness so long as such deposit of funds or securities and such decreasing or defeasing of Indebtedness are permitted under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0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sales or grants of licenses or sublicenses of (or other grants of rights to use or exploit) licenses of Intellectual Property (x) existing as of the Issue Date, or (y) between or among the Issuer and its Restricted Subsidiaries or between or among any of the Restricted Subsidiaries, or (ii) licenses of Intellectual Property granted by the Issuer or any Restricted Subsidiary in the ordinary course of business and not interfering in any material respect with the ordinary conduct of the business of the Issuer or such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13" w:right="339" w:bottom="1440" w:gutter="0" w:footer="0" w:header="0"/>
        </w:sectPr>
      </w:pPr>
    </w:p>
    <w:bookmarkStart w:id="34" w:name="page35"/>
    <w:bookmarkEnd w:id="34"/>
    <w:p>
      <w:pPr>
        <w:ind w:firstLine="656"/>
        <w:spacing w:after="0" w:line="283" w:lineRule="auto"/>
        <w:tabs>
          <w:tab w:leader="none" w:pos="119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the sale of goods entered into by the Issuer or any Restricted Subsidiary in the ordinary course of business;</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4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the Trustee as provided for in this Indenture on money or property held or collected by the Trustee in its capacity as Trustee;</w:t>
      </w:r>
    </w:p>
    <w:p>
      <w:pPr>
        <w:spacing w:after="0" w:line="146"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existing on the Issue Date;</w:t>
      </w:r>
    </w:p>
    <w:p>
      <w:pPr>
        <w:spacing w:after="0" w:line="229"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Maritime Liens;</w:t>
      </w:r>
    </w:p>
    <w:p>
      <w:pPr>
        <w:spacing w:after="0" w:line="229" w:lineRule="exact"/>
        <w:rPr>
          <w:rFonts w:ascii="Times New Roman" w:cs="Times New Roman" w:eastAsia="Times New Roman" w:hAnsi="Times New Roman"/>
          <w:sz w:val="20"/>
          <w:szCs w:val="20"/>
          <w:color w:val="auto"/>
        </w:rPr>
      </w:pPr>
    </w:p>
    <w:p>
      <w:pPr>
        <w:ind w:right="20" w:firstLine="656"/>
        <w:spacing w:after="0" w:line="269" w:lineRule="auto"/>
        <w:tabs>
          <w:tab w:leader="none" w:pos="120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Liens with respect to obligations which do not in the aggregate exceed at any time outstanding the greater of (i) $265.0 million and (ii) 3.5% of the Issuer’s Consolidated Total Assets determined at the time of incurrence;</w:t>
      </w:r>
    </w:p>
    <w:p>
      <w:pPr>
        <w:spacing w:after="0" w:line="172" w:lineRule="exact"/>
        <w:rPr>
          <w:rFonts w:ascii="Times New Roman" w:cs="Times New Roman" w:eastAsia="Times New Roman" w:hAnsi="Times New Roman"/>
          <w:sz w:val="20"/>
          <w:szCs w:val="20"/>
          <w:color w:val="auto"/>
        </w:rPr>
      </w:pPr>
    </w:p>
    <w:p>
      <w:pPr>
        <w:ind w:left="1180" w:hanging="524"/>
        <w:spacing w:after="0"/>
        <w:tabs>
          <w:tab w:leader="none" w:pos="11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to secure Permitted Indebtedness recorded as capital leases in accordance with GAAP;</w:t>
      </w:r>
    </w:p>
    <w:p>
      <w:pPr>
        <w:spacing w:after="0" w:line="215" w:lineRule="exact"/>
        <w:rPr>
          <w:rFonts w:ascii="Times New Roman" w:cs="Times New Roman" w:eastAsia="Times New Roman" w:hAnsi="Times New Roman"/>
          <w:sz w:val="20"/>
          <w:szCs w:val="20"/>
          <w:color w:val="auto"/>
        </w:rPr>
      </w:pPr>
    </w:p>
    <w:p>
      <w:pPr>
        <w:ind w:left="1180" w:hanging="524"/>
        <w:spacing w:after="0"/>
        <w:tabs>
          <w:tab w:leader="none" w:pos="11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 of set-off arising under common law or by statute or customary account documentation; and</w:t>
      </w:r>
    </w:p>
    <w:p>
      <w:pPr>
        <w:spacing w:after="0" w:line="229" w:lineRule="exact"/>
        <w:rPr>
          <w:rFonts w:ascii="Times New Roman" w:cs="Times New Roman" w:eastAsia="Times New Roman" w:hAnsi="Times New Roman"/>
          <w:sz w:val="20"/>
          <w:szCs w:val="20"/>
          <w:color w:val="auto"/>
        </w:rPr>
      </w:pPr>
    </w:p>
    <w:p>
      <w:pPr>
        <w:jc w:val="both"/>
        <w:ind w:firstLine="656"/>
        <w:spacing w:after="0" w:line="258" w:lineRule="auto"/>
        <w:tabs>
          <w:tab w:leader="none" w:pos="119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renewing, extending, refinancing or refunding a Lien permitted by </w:t>
      </w:r>
      <w:r>
        <w:rPr>
          <w:rFonts w:ascii="Times New Roman" w:cs="Times New Roman" w:eastAsia="Times New Roman" w:hAnsi="Times New Roman"/>
          <w:sz w:val="20"/>
          <w:szCs w:val="20"/>
          <w:u w:val="single" w:color="auto"/>
          <w:color w:val="auto"/>
        </w:rPr>
        <w:t>clauses (13)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26</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Liens do not extend to any additional assets (other than improvements, accessions, proceeds, replacements or dividends or distributions in respect thereof) and the amount of such Indebtedness is not increased except as necessary to pay accrued and unpaid interest, premiums, fees or expenses in connection with such refinancing.</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If any Liens securing obligations are incurred to refinance Liens securing obligations initially incurred in reliance on a basket measured by reference to a percentage of Consolidated Total Assets, and such refinancing would cause the percentage of Consolidated Total Assets to be exceeded if calculated based on the Consolidated Total Assets on the date of such refinancing, such percentage of Consolidated Total Assets will not be deemed to be exceeded to the extent the principal amount of such obligations secured by such newly incurred Lien does not exceed the principal amount of such obligations secured by such Liens being refinanced, plus any accrued and unpaid interest on the Indebtedness plus the amount of any tender premium or penalty or premium required to be paid under the terms of the instrument or documents governing such refinanced Indebtedness, and any defeasance costs and any fees and expenses (including original issue discount, upfront fees or similar fees) incurred in connection with the issuance of such new Indebtedness, or the extension, replacement, refunding, refinancing, renewal or defeasance of such refinanced Indebtedness.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Maritime Liens</w:t>
      </w:r>
      <w:r>
        <w:rPr>
          <w:rFonts w:ascii="Times New Roman" w:cs="Times New Roman" w:eastAsia="Times New Roman" w:hAnsi="Times New Roman"/>
          <w:sz w:val="20"/>
          <w:szCs w:val="20"/>
          <w:color w:val="auto"/>
        </w:rPr>
        <w:t>” means, at any time with respect to a Rig:</w:t>
      </w:r>
    </w:p>
    <w:p>
      <w:pPr>
        <w:spacing w:after="0" w:line="220" w:lineRule="exact"/>
        <w:rPr>
          <w:sz w:val="20"/>
          <w:szCs w:val="20"/>
          <w:color w:val="auto"/>
        </w:rPr>
      </w:pPr>
    </w:p>
    <w:p>
      <w:pPr>
        <w:jc w:val="both"/>
        <w:ind w:firstLine="656"/>
        <w:spacing w:after="0" w:line="257" w:lineRule="auto"/>
        <w:tabs>
          <w:tab w:leader="none" w:pos="118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crews’ wages (including the wages of the master of the Rig) that are discharged in the ordinary course of business and have accrued for not more than 90 days (or such longer period provided for under the RCF Credit Agreement) unless any such Lien is being contested in good faith and by appropriate proceedings or other acts by the Issuer or relevant Restricted Subsidiary, and the Issuer or relevant Restricted Subsidiary shall have set aside on its books adequate reserves with respect to such Lien and so long as such deferment in payment shall not subject the Rig to sale, forfeiture or loss;</w:t>
      </w:r>
    </w:p>
    <w:p>
      <w:pPr>
        <w:spacing w:after="0" w:line="172" w:lineRule="exact"/>
        <w:rPr>
          <w:rFonts w:ascii="Times New Roman" w:cs="Times New Roman" w:eastAsia="Times New Roman" w:hAnsi="Times New Roman"/>
          <w:sz w:val="20"/>
          <w:szCs w:val="20"/>
          <w:color w:val="auto"/>
        </w:rPr>
      </w:pPr>
    </w:p>
    <w:p>
      <w:pPr>
        <w:ind w:right="20" w:firstLine="656"/>
        <w:spacing w:after="0" w:line="283" w:lineRule="auto"/>
        <w:tabs>
          <w:tab w:leader="none" w:pos="113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salvage (including contract salvage) or general average, and Liens for wages of stevedores employed by the owner of the Rig, the master of the Rig or a charterer or lessee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13" w:right="3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20"/>
          <w:szCs w:val="20"/>
          <w:color w:val="auto"/>
        </w:rPr>
        <w:t>of such Rig, which in each case have accrued for not more than 90 days (or such longer period provided for under the RCF Credit Agreement) unless any such Lien is being contested in good faith and by appropriate proceedings or other acts by the Issuer or relevant Restricted Subsidiary, and the Issuer or relevant Restricted Subsidiary shall have set aside on its books adequate reserves with respect to such Lien and so long as such deferment in payment shall not subject the Rig to sale, forfeiture or loss;</w:t>
      </w:r>
    </w:p>
    <w:p>
      <w:pPr>
        <w:spacing w:after="0" w:line="172" w:lineRule="exact"/>
        <w:rPr>
          <w:sz w:val="20"/>
          <w:szCs w:val="20"/>
          <w:color w:val="auto"/>
        </w:rPr>
      </w:pPr>
    </w:p>
    <w:p>
      <w:pPr>
        <w:jc w:val="both"/>
        <w:ind w:firstLine="656"/>
        <w:spacing w:after="0" w:line="253" w:lineRule="auto"/>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shipyard Liens and other Liens arising by operation of law arising in the ordinary course of business in operating, maintaining, repairing, modifying, refurbishing, or rebuilding the Rig (other than those referred to in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above), including maritime Liens for necessaries, which in each case have accrued for not more than 90 days (or such longer period provided for under the RCF Credit Agreement) unless any such Lien is being contested in good faith and by appropriate proceedings or other acts by the Issuer or relevant Restricted Subsidiary, and the Issuer or relevant Restricted Subsidiary shall have set aside on its books adequate reserves with respect to such Lien and so long as such deferment in payment shall not subject the Rig to sale, forfeiture, or loss;</w:t>
      </w:r>
    </w:p>
    <w:p>
      <w:pPr>
        <w:spacing w:after="0" w:line="19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4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damages arising from maritime torts which are unclaimed, or are covered by insurance and any deductible applicable thereto, or in respect of which a bond or other security has been posted on behalf of the Issuer or relevant Restricted Subsidiary with the appropriate court or other tribunal to prevent the arrest or secure the release of the Rig from arrest, unless any such Lien is being contested in good faith and by appropriate proceedings or other acts by the Issuer or relevant Restricted Subsidiary, and the Issuer or relevant Restricted Subsidiary shall have set aside on its books adequate reserves with respect to such Lien and so long as such deferment in payment shall not subject the Rig to sale, forfeiture, or loss;</w:t>
      </w:r>
    </w:p>
    <w:p>
      <w:pPr>
        <w:spacing w:after="0" w:line="192" w:lineRule="exact"/>
        <w:rPr>
          <w:rFonts w:ascii="Times New Roman" w:cs="Times New Roman" w:eastAsia="Times New Roman" w:hAnsi="Times New Roman"/>
          <w:sz w:val="20"/>
          <w:szCs w:val="20"/>
          <w:color w:val="auto"/>
        </w:rPr>
      </w:pPr>
    </w:p>
    <w:p>
      <w:pPr>
        <w:ind w:firstLine="656"/>
        <w:spacing w:after="0" w:line="269" w:lineRule="auto"/>
        <w:tabs>
          <w:tab w:leader="none" w:pos="125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as indicated by the written admission of liability therefor by an insurance company, are covered by insurance (subject to reasonable deductibles); and</w:t>
      </w:r>
    </w:p>
    <w:p>
      <w:pPr>
        <w:spacing w:after="0" w:line="172"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charters or subcharters or leases or subleases not prohibited under this Indenture.</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Permitted Payments to Parent</w:t>
      </w:r>
      <w:r>
        <w:rPr>
          <w:rFonts w:ascii="Times New Roman" w:cs="Times New Roman" w:eastAsia="Times New Roman" w:hAnsi="Times New Roman"/>
          <w:sz w:val="20"/>
          <w:szCs w:val="20"/>
          <w:color w:val="auto"/>
        </w:rPr>
        <w:t xml:space="preserve">” means, as it relates to any Restricted Payment or Investment, without duplication as to amounts, (a) payments to Parent (or any Subsidiary thereof that is a direct or indirect parent of the Issuer) to permit Parent or any such Subsidiary thereof to pay reasonable accounting, legal and investment banking fees and administrative expenses of Parent or any such Subsidiary thereof when due;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payment shall not be in respect of expenses or other amounts that are allocable to, or attributable to the ownership or operations of, (i) any Unrestricted Subsidiary, except to the extent of the amount actually received in cash or Cash Equivalents from such Unrestricted Subsidiary (or any cash or Cash Equivalents received upon the disposition or monetization of any non-cash consideration received from such Unrestricted Subsidiary) or (ii) any Excluded Noble Parent Subsidiary, (b) payments pursuant to the Shared Services Agreement and (c) for so long as the Issuer is a member of a group filing a consolidated or combined tax return with Parent (or any Subsidiary thereof that is a direct or indirect parent of the Issuer), payments to Parent or any such Subsidiary (directly or indirectly) in respect of an allocable portion of the tax liabilities of such group that is allocable or attributable to the Issuer and its Restricted Subsidiaries (and, to the extent of the amount actually received in cash or Cash Equivalents from its Unrestricted Subsidiaries (or any cash or Cash Equivalents received upon the disposition or monetization of any non-cash consideration received from such Unrestricted Subsidiaries), allocable or attributable to the Unrestricted Subsidiaries) and not, for the avoidance of doubt, to any Excluded Noble Parent Subsidiary (such permitted payments pursuant to this clause (c), “</w:t>
      </w:r>
      <w:r>
        <w:rPr>
          <w:rFonts w:ascii="Times New Roman" w:cs="Times New Roman" w:eastAsia="Times New Roman" w:hAnsi="Times New Roman"/>
          <w:sz w:val="20"/>
          <w:szCs w:val="20"/>
          <w:i w:val="1"/>
          <w:iCs w:val="1"/>
          <w:color w:val="auto"/>
        </w:rPr>
        <w:t>Tax Payments</w:t>
      </w:r>
      <w:r>
        <w:rPr>
          <w:rFonts w:ascii="Times New Roman" w:cs="Times New Roman" w:eastAsia="Times New Roman" w:hAnsi="Times New Roman"/>
          <w:sz w:val="20"/>
          <w:szCs w:val="20"/>
          <w:color w:val="auto"/>
        </w:rPr>
        <w:t>”). The Tax Payments shall not exceed the lesser of (x) the amount of the relevant tax (including any penalties and interest) that the Issuer would owe if the Issuer were filing a separate tax return (or a separate consolidated or combined return with its Subsidiaries that are members of the consolidated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20"/>
          <w:szCs w:val="20"/>
          <w:color w:val="auto"/>
        </w:rPr>
        <w:t>combined group), taking into account any carryovers and carrybacks of tax attributes (such as net operating losses) of the Issuer and such Subsidiaries from other taxable years and (y) the net amount of the relevant tax that Parent (or any Subsidiary thereof that is a direct or indirect parent of the Issuer) actually owes to the appropriate taxing authority. Any Tax Payments received from the Issuer shall be paid over to the appropriate taxing authority within 30 days of receipt by Parent (or any Subsidiary thereof that is a direct or indirect parent of the Issuer) of such Tax Payments or refunded to the Issuer, except to the extent any such Tax Payment is in respect of tax liabilities that have been satisfied in advance of, and were required to be so satisfied prior to the time of, Parent’s or any such Subsidiary’s receipt of such Tax Payment.</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Person</w:t>
      </w:r>
      <w:r>
        <w:rPr>
          <w:rFonts w:ascii="Times New Roman" w:cs="Times New Roman" w:eastAsia="Times New Roman" w:hAnsi="Times New Roman"/>
          <w:sz w:val="20"/>
          <w:szCs w:val="20"/>
          <w:color w:val="auto"/>
        </w:rPr>
        <w:t>” means any individual, corporation, company, exempted company, partnership, exempted limited partnership, limited liability company, joint venture, incorporated or unincorporated association, joint-stock company, trust, mutual fund trust, unincorporated organization or government or other agency or political subdivision thereof or other legal entity of any kind.</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Preferred Stock</w:t>
      </w:r>
      <w:r>
        <w:rPr>
          <w:rFonts w:ascii="Times New Roman" w:cs="Times New Roman" w:eastAsia="Times New Roman" w:hAnsi="Times New Roman"/>
          <w:sz w:val="20"/>
          <w:szCs w:val="20"/>
          <w:color w:val="auto"/>
        </w:rPr>
        <w:t>” means, with respect to any Person, any and all preferred or preference stock, shares or other Equity Interests (however designated) of such Person whether now outstanding or issued after the Issue Date that is preferred as to the payment of dividends upon liquidation, dissolution or winding up.</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principal</w:t>
      </w:r>
      <w:r>
        <w:rPr>
          <w:rFonts w:ascii="Times New Roman" w:cs="Times New Roman" w:eastAsia="Times New Roman" w:hAnsi="Times New Roman"/>
          <w:sz w:val="20"/>
          <w:szCs w:val="20"/>
          <w:color w:val="auto"/>
        </w:rPr>
        <w:t>” means, with respect to the Notes, the principal of, and premium, if any, on the Notes.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Purchase Money Indebtedness</w:t>
      </w:r>
      <w:r>
        <w:rPr>
          <w:rFonts w:ascii="Times New Roman" w:cs="Times New Roman" w:eastAsia="Times New Roman" w:hAnsi="Times New Roman"/>
          <w:sz w:val="20"/>
          <w:szCs w:val="20"/>
          <w:color w:val="auto"/>
        </w:rPr>
        <w:t xml:space="preserve">” means Indebtedness, including Capitalized Lease Obligations, of the Issuer or any Restricted Subsidiary incurred for the purpose of financing all or any part of the purchase price of property (including Rigs), plant or equipment used or useful in the business of the Issuer or any Restricted Subsidiary or the cost of renovation, repair, upgrade installation, construction or improvement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(except in the case of Capitalized Lease Obligations) the amount of such Indebtedness shall not exceed such purchase price or cost of such activities.</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Qualified Equity Interests</w:t>
      </w:r>
      <w:r>
        <w:rPr>
          <w:rFonts w:ascii="Times New Roman" w:cs="Times New Roman" w:eastAsia="Times New Roman" w:hAnsi="Times New Roman"/>
          <w:sz w:val="20"/>
          <w:szCs w:val="20"/>
          <w:color w:val="auto"/>
        </w:rPr>
        <w:t xml:space="preserve">” of any Person means Equity Interests of such Person other than Disqualified Equity Interests;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Equity Interests shall not be deemed Qualified Equity Interests to the extent sold or owed to a Subsidiary of such Person or financed, directly or indirectly, using funds (1) borrowed from such Person or any Subsidiary of such Person until and to the extent such borrowing is repaid or (2) contributed, extended, guaranteed or advanced by such Person or any Subsidiary of such Person (including, without limitation, in respect of any employee stock ownership or benefit plan). Unless otherwise specified, Qualified Equity Interests refer to Qualified Equity Interests of the Issuer.</w:t>
      </w:r>
    </w:p>
    <w:p>
      <w:pPr>
        <w:spacing w:after="0" w:line="1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Qualified Equity Offering</w:t>
      </w:r>
      <w:r>
        <w:rPr>
          <w:rFonts w:ascii="Times New Roman" w:cs="Times New Roman" w:eastAsia="Times New Roman" w:hAnsi="Times New Roman"/>
          <w:sz w:val="20"/>
          <w:szCs w:val="20"/>
          <w:color w:val="auto"/>
        </w:rPr>
        <w:t>” means any public or private sale of Equity Interests (other than Disqualified Equity Interests) made for cash on a primary basis by the Issuer, or other cash equity contribution to the Issuer, other than (a) any issuance pursuant to employee benefit plans or otherwise in compensation to officers, directors, trustees or employees or (b) public offerings with respect to the Issuer’s Qualified Equity Interests (or options, warrants or rights with respect thereto) registered on Form S-4 or S-8.</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Rating Agencies</w:t>
      </w:r>
      <w:r>
        <w:rPr>
          <w:rFonts w:ascii="Times New Roman" w:cs="Times New Roman" w:eastAsia="Times New Roman" w:hAnsi="Times New Roman"/>
          <w:sz w:val="20"/>
          <w:szCs w:val="20"/>
          <w:color w:val="auto"/>
        </w:rPr>
        <w:t>” means Moody’s, S&amp;P and Fitch.</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Rating Decline</w:t>
      </w:r>
      <w:r>
        <w:rPr>
          <w:rFonts w:ascii="Times New Roman" w:cs="Times New Roman" w:eastAsia="Times New Roman" w:hAnsi="Times New Roman"/>
          <w:sz w:val="20"/>
          <w:szCs w:val="20"/>
          <w:color w:val="auto"/>
        </w:rPr>
        <w:t>” means the occurrence of a decrease in the rating of the Notes by two or more of the Rating Agencies (including gradations within the ratings categories, as well as between categories) within 60 days after the earlier of (x) a Change of Control, (y) the date of public notice of the occurrence of a Change of Control or (z) public notice of the intention of the Issuer or any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13" w:right="339" w:bottom="1440" w:gutter="0" w:footer="0" w:header="0"/>
        </w:sectPr>
      </w:pPr>
    </w:p>
    <w:bookmarkStart w:id="37" w:name="page38"/>
    <w:bookmarkEnd w:id="37"/>
    <w:p>
      <w:pPr>
        <w:jc w:val="both"/>
        <w:spacing w:after="0" w:line="251" w:lineRule="auto"/>
        <w:rPr>
          <w:sz w:val="20"/>
          <w:szCs w:val="20"/>
          <w:color w:val="auto"/>
        </w:rPr>
      </w:pPr>
      <w:r>
        <w:rPr>
          <w:rFonts w:ascii="Times New Roman" w:cs="Times New Roman" w:eastAsia="Times New Roman" w:hAnsi="Times New Roman"/>
          <w:sz w:val="20"/>
          <w:szCs w:val="20"/>
          <w:color w:val="auto"/>
        </w:rPr>
        <w:t>Company to effect a Change of Control (which 60-day period shall be extended so long as the rating of the Notes is under publicly announced consideration for possible downgrade by a Rating Agency); provided, however, that a Rating Decline otherwise arising by virtue of a particular reduction in rating will not be deemed to have occurred in respect of a particular Change of Control (and thus will not be deemed a Change of Control Triggering Event for purposes of the definition of Change of Control Triggering Event) unless each such Rating Agency making the reduction in rating to which this definition would otherwise apply announces or publicly confirms or informs the Trustee in writing at the request of the Issuer or the Trustee that the reduction was the result, in whole or in part, of any event or circumstance comprised of or arising as a result of, or in respect of, the applicable Change of Control (whether or not the applicable Change of Control has occurred at the time of the Rating Decline).</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RCF Credit Agreement</w:t>
      </w:r>
      <w:r>
        <w:rPr>
          <w:rFonts w:ascii="Times New Roman" w:cs="Times New Roman" w:eastAsia="Times New Roman" w:hAnsi="Times New Roman"/>
          <w:sz w:val="20"/>
          <w:szCs w:val="20"/>
          <w:color w:val="auto"/>
        </w:rPr>
        <w:t>” means the Credit Agreement dated on or about the Issue Date, by and among the Issuer, as borrower, the Guarantors, JPMorgan Chase Bank, N.A., as administrative agent, and the several lenders and other agents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or indenture exchanging, extending the maturity of, refinancing, renewing, replacing, substituting or otherwise restructuring, whether in the bank or debt capital markets (or combination thereof)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Real Property</w:t>
      </w:r>
      <w:r>
        <w:rPr>
          <w:rFonts w:ascii="Times New Roman" w:cs="Times New Roman" w:eastAsia="Times New Roman" w:hAnsi="Times New Roman"/>
          <w:sz w:val="20"/>
          <w:szCs w:val="20"/>
          <w:color w:val="auto"/>
        </w:rPr>
        <w:t>” means, collectively, all right, title and interest (including any leasehold estate) in and to any and all parcels of or interests in real property owned, leased or operated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Redomestication</w:t>
      </w:r>
      <w:r>
        <w:rPr>
          <w:rFonts w:ascii="Times New Roman" w:cs="Times New Roman" w:eastAsia="Times New Roman" w:hAnsi="Times New Roman"/>
          <w:sz w:val="20"/>
          <w:szCs w:val="20"/>
          <w:color w:val="auto"/>
        </w:rPr>
        <w:t>” means:</w:t>
      </w:r>
    </w:p>
    <w:p>
      <w:pPr>
        <w:spacing w:after="0" w:line="233" w:lineRule="exact"/>
        <w:rPr>
          <w:sz w:val="20"/>
          <w:szCs w:val="20"/>
          <w:color w:val="auto"/>
        </w:rPr>
      </w:pPr>
    </w:p>
    <w:p>
      <w:pPr>
        <w:jc w:val="both"/>
        <w:ind w:firstLine="656"/>
        <w:spacing w:after="0" w:line="261" w:lineRule="auto"/>
        <w:tabs>
          <w:tab w:leader="none" w:pos="113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amalgamation, merger, exchange offer, conversion, consolidation or similar action of Parent with or into any other Person, or of any other Person with or into Parent, or the sale or other disposition or transfer (other than by lease) of all or substantially all of its assets by Parent to any other Person;</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1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discontinuation, statutory migration, domestication, redomestication, amalgamation, merger, plan or scheme of arrangement, exchange offer, business combination, reincorporation, reorganization consolidation or similar action of Parent, pursuant to the law of the jurisdiction of its organization or incorporation and of any other jurisdiction; or</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15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formation of a Person that becomes, as part of the transaction or series of related transactions, the direct or indirect owner of 100% of the voting shares (except for directors’ qualifying shares) of Parent (the “</w:t>
      </w:r>
      <w:r>
        <w:rPr>
          <w:rFonts w:ascii="Times New Roman" w:cs="Times New Roman" w:eastAsia="Times New Roman" w:hAnsi="Times New Roman"/>
          <w:sz w:val="20"/>
          <w:szCs w:val="20"/>
          <w:i w:val="1"/>
          <w:iCs w:val="1"/>
          <w:color w:val="auto"/>
        </w:rPr>
        <w:t>New Parent</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as a result thereof:</w:t>
      </w:r>
    </w:p>
    <w:p>
      <w:pPr>
        <w:spacing w:after="0" w:line="216" w:lineRule="exact"/>
        <w:rPr>
          <w:sz w:val="20"/>
          <w:szCs w:val="20"/>
          <w:color w:val="auto"/>
        </w:rPr>
      </w:pPr>
    </w:p>
    <w:p>
      <w:pPr>
        <w:ind w:right="20" w:firstLine="656"/>
        <w:spacing w:after="0" w:line="283" w:lineRule="auto"/>
        <w:tabs>
          <w:tab w:leader="none" w:pos="116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action specified in clause (a), the entity that is the surviving, resulting or continuing Person in such merger, amalgamation, conversion, consolidation or similar action, or the transferee in such sale or other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38" w:name="page39"/>
    <w:bookmarkEnd w:id="38"/>
    <w:p>
      <w:pPr>
        <w:ind w:firstLine="656"/>
        <w:spacing w:after="0" w:line="283" w:lineRule="auto"/>
        <w:tabs>
          <w:tab w:leader="none" w:pos="133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action specified in clause (b), the entity that constituted the Parent immediately prior thereto (but disregarding for this purpose any change in its jurisdiction of organization or incorporation); or</w:t>
      </w:r>
    </w:p>
    <w:p>
      <w:pPr>
        <w:spacing w:after="0" w:line="146"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action specified in clause (c), the New Parent,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any such case, the “</w:t>
      </w:r>
      <w:r>
        <w:rPr>
          <w:rFonts w:ascii="Times New Roman" w:cs="Times New Roman" w:eastAsia="Times New Roman" w:hAnsi="Times New Roman"/>
          <w:sz w:val="20"/>
          <w:szCs w:val="20"/>
          <w:i w:val="1"/>
          <w:iCs w:val="1"/>
          <w:color w:val="auto"/>
        </w:rPr>
        <w:t>Surviving Person</w:t>
      </w:r>
      <w:r>
        <w:rPr>
          <w:rFonts w:ascii="Times New Roman" w:cs="Times New Roman" w:eastAsia="Times New Roman" w:hAnsi="Times New Roman"/>
          <w:sz w:val="20"/>
          <w:szCs w:val="20"/>
          <w:color w:val="auto"/>
        </w:rPr>
        <w:t>”) is a corporation or other entity, validly incorporated or formed and existing in good standing (to the extent the concept of good standing is applicable) under the laws of any Permitted Jurisdiction or under the laws of any other jurisdiction, whose outstanding equity interests of each class issued and outstanding immediately following such action, and giving effect thereto, shall be beneficially owned by substantially the same Persons, in substantially the same percentages, as were the outstanding equity interests of Parent immediately prior thereto and the Surviving Person shall have delivered to the Trustee an Officers’ Certificate to the effect that, both before and after giving effect to such transaction, no Event of Default exists.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refinance</w:t>
      </w:r>
      <w:r>
        <w:rPr>
          <w:rFonts w:ascii="Times New Roman" w:cs="Times New Roman" w:eastAsia="Times New Roman" w:hAnsi="Times New Roman"/>
          <w:sz w:val="20"/>
          <w:szCs w:val="20"/>
          <w:color w:val="auto"/>
        </w:rPr>
        <w:t>” means to redeem, refinance, replace, defease, discharge, refund or otherwise retire for value.</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Refinancing Indebtedness</w:t>
      </w:r>
      <w:r>
        <w:rPr>
          <w:rFonts w:ascii="Times New Roman" w:cs="Times New Roman" w:eastAsia="Times New Roman" w:hAnsi="Times New Roman"/>
          <w:sz w:val="20"/>
          <w:szCs w:val="20"/>
          <w:color w:val="auto"/>
        </w:rPr>
        <w:t>” means Indebtedness of the Issuer or a Restricted Subsidiary incurred in exchange for, or the proceeds of which are used to redeem, refinance, replace, defease, discharge, refund or otherwise retire for value, in whole or in part, any Indebtedness of the Issuer or any Restricted Subsidiary (the “</w:t>
      </w:r>
      <w:r>
        <w:rPr>
          <w:rFonts w:ascii="Times New Roman" w:cs="Times New Roman" w:eastAsia="Times New Roman" w:hAnsi="Times New Roman"/>
          <w:sz w:val="20"/>
          <w:szCs w:val="20"/>
          <w:i w:val="1"/>
          <w:iCs w:val="1"/>
          <w:color w:val="auto"/>
        </w:rPr>
        <w:t>Refinanced Indebtedness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79" w:lineRule="exact"/>
        <w:rPr>
          <w:sz w:val="20"/>
          <w:szCs w:val="20"/>
          <w:color w:val="auto"/>
        </w:rPr>
      </w:pPr>
    </w:p>
    <w:p>
      <w:pPr>
        <w:jc w:val="both"/>
        <w:ind w:firstLine="656"/>
        <w:spacing w:after="0" w:line="258" w:lineRule="auto"/>
        <w:tabs>
          <w:tab w:leader="none" w:pos="110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(or accreted value, in the case of Indebtedness issued at a discount) of the Refinancing Indebtedness does not exceed the principal amount of the Refinanced Indebtedness plus the amount of accrued and unpaid interest on the Refinanced Indebtedness, any premium paid to the holders of the Refinanced Indebtedness and reasonable fees and expenses incurred in connection with the incurrence of the Refinancing Indebtedness;</w:t>
      </w:r>
    </w:p>
    <w:p>
      <w:pPr>
        <w:spacing w:after="0" w:line="172" w:lineRule="exact"/>
        <w:rPr>
          <w:rFonts w:ascii="Times New Roman" w:cs="Times New Roman" w:eastAsia="Times New Roman" w:hAnsi="Times New Roman"/>
          <w:sz w:val="20"/>
          <w:szCs w:val="20"/>
          <w:color w:val="auto"/>
        </w:rPr>
      </w:pPr>
    </w:p>
    <w:p>
      <w:pPr>
        <w:ind w:right="20" w:firstLine="656"/>
        <w:spacing w:after="0" w:line="283" w:lineRule="auto"/>
        <w:tabs>
          <w:tab w:leader="none" w:pos="110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obligor of the Refinancing Indebtedness does not include any Person (other than the Issuer or any Guarantor) that is not an obligor of the Refinanced Indebtedness;</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115"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181"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Refinancing Indebtedness has a Stated Maturity either (a) no earlier than the Refinanced Indebtedness being refinanced or</w:t>
      </w:r>
    </w:p>
    <w:p>
      <w:pPr>
        <w:spacing w:after="0" w:line="28"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earlier than 91 days after the maturity date of the Notes; and</w:t>
      </w:r>
    </w:p>
    <w:p>
      <w:pPr>
        <w:spacing w:after="0" w:line="200" w:lineRule="exact"/>
        <w:rPr>
          <w:rFonts w:ascii="Times New Roman" w:cs="Times New Roman" w:eastAsia="Times New Roman" w:hAnsi="Times New Roman"/>
          <w:sz w:val="20"/>
          <w:szCs w:val="20"/>
          <w:color w:val="auto"/>
        </w:rPr>
      </w:pPr>
    </w:p>
    <w:p>
      <w:pPr>
        <w:jc w:val="both"/>
        <w:ind w:firstLine="656"/>
        <w:spacing w:after="0" w:line="258" w:lineRule="auto"/>
        <w:tabs>
          <w:tab w:leader="none" w:pos="1091"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refinanced that is scheduled to mature on or prior to the maturity date of the Notes.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Refinancing Transactions</w:t>
      </w:r>
      <w:r>
        <w:rPr>
          <w:rFonts w:ascii="Times New Roman" w:cs="Times New Roman" w:eastAsia="Times New Roman" w:hAnsi="Times New Roman"/>
          <w:sz w:val="20"/>
          <w:szCs w:val="20"/>
          <w:color w:val="auto"/>
        </w:rPr>
        <w:t>” shall have the meaning set forth in the Offering Memorandum.</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Regulated Bank</w:t>
      </w:r>
      <w:r>
        <w:rPr>
          <w:rFonts w:ascii="Times New Roman" w:cs="Times New Roman" w:eastAsia="Times New Roman" w:hAnsi="Times New Roman"/>
          <w:sz w:val="20"/>
          <w:szCs w:val="20"/>
          <w:color w:val="auto"/>
        </w:rPr>
        <w:t>” means a commercial bank with a consolidated combined capital and surplus of at least $5,000,000,000 that is (i) a U.S. depository institution the deposits of which are insured by the Federal Deposit Insurance Corporation; (ii) a corporation organized under section 25A of the U.S. Federal Reserve Act of 1913; (iii) a branch, agency or commercial lending company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13"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20"/>
          <w:szCs w:val="20"/>
          <w:color w:val="auto"/>
        </w:rPr>
        <w:t>foreign bank operating pursuant to approval by and under the supervision of the Board of Governors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Regulation S Legend</w:t>
      </w:r>
      <w:r>
        <w:rPr>
          <w:rFonts w:ascii="Times New Roman" w:cs="Times New Roman" w:eastAsia="Times New Roman" w:hAnsi="Times New Roman"/>
          <w:sz w:val="20"/>
          <w:szCs w:val="20"/>
          <w:color w:val="auto"/>
        </w:rPr>
        <w:t xml:space="preserve">” means the legend identified as such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Relevant Specified Rig Contract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clause (q)</w:t>
      </w:r>
      <w:r>
        <w:rPr>
          <w:rFonts w:ascii="Times New Roman" w:cs="Times New Roman" w:eastAsia="Times New Roman" w:hAnsi="Times New Roman"/>
          <w:sz w:val="20"/>
          <w:szCs w:val="20"/>
          <w:color w:val="auto"/>
        </w:rPr>
        <w:t xml:space="preserve"> of the definition of “Asset Sale.”</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Responsible Financial or Accounting Officer of the Issuer</w:t>
      </w:r>
      <w:r>
        <w:rPr>
          <w:rFonts w:ascii="Times New Roman" w:cs="Times New Roman" w:eastAsia="Times New Roman" w:hAnsi="Times New Roman"/>
          <w:sz w:val="20"/>
          <w:szCs w:val="20"/>
          <w:color w:val="auto"/>
        </w:rPr>
        <w:t>” means any one of the Chief Financial Officer (or other principal financial officer), Controller, Treasurer or Chief Accounting Officer (or other principal accounting officer or controller) of the Issuer.</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Responsible Officer</w:t>
      </w:r>
      <w:r>
        <w:rPr>
          <w:rFonts w:ascii="Times New Roman" w:cs="Times New Roman" w:eastAsia="Times New Roman" w:hAnsi="Times New Roman"/>
          <w:sz w:val="20"/>
          <w:szCs w:val="20"/>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Restricted Notes Legend</w:t>
      </w:r>
      <w:r>
        <w:rPr>
          <w:rFonts w:ascii="Times New Roman" w:cs="Times New Roman" w:eastAsia="Times New Roman" w:hAnsi="Times New Roman"/>
          <w:sz w:val="20"/>
          <w:szCs w:val="20"/>
          <w:color w:val="auto"/>
        </w:rPr>
        <w:t xml:space="preserve">” means the legend identified as such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Restricted Payment</w:t>
      </w:r>
      <w:r>
        <w:rPr>
          <w:rFonts w:ascii="Times New Roman" w:cs="Times New Roman" w:eastAsia="Times New Roman" w:hAnsi="Times New Roman"/>
          <w:sz w:val="20"/>
          <w:szCs w:val="20"/>
          <w:color w:val="auto"/>
        </w:rPr>
        <w:t>” means any of the following:</w:t>
      </w:r>
    </w:p>
    <w:p>
      <w:pPr>
        <w:spacing w:after="0" w:line="220" w:lineRule="exact"/>
        <w:rPr>
          <w:sz w:val="20"/>
          <w:szCs w:val="20"/>
          <w:color w:val="auto"/>
        </w:rPr>
      </w:pPr>
    </w:p>
    <w:p>
      <w:pPr>
        <w:jc w:val="both"/>
        <w:ind w:firstLine="656"/>
        <w:spacing w:after="0" w:line="251" w:lineRule="auto"/>
        <w:tabs>
          <w:tab w:leader="none" w:pos="112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any dividend or any other distribution (whether made in cash, securities or other property) on or in respect of Equity Interests of the Issuer or any Restricted Subsidiary or any payment made to the direct or indirect holders (in their capacities as such) of Equity Interests of the Issuer or any Restricted Subsidiary, including, without limitation, any payment in connection with any merger or consolidation involving the Issuer or any of its Restricted Subsidiaries but excluding (a) dividends or distributions payable solely in Qualified Equity Interests or through accretion or accumulation of such dividends on such Equity Interests and (b) in the case of Restricted Subsidiaries, dividends or distributions payable to the Issuer or to a Restricted Subsidiary (and if such Restricted Subsidiary is not a Wholly-Owned Subsidiary, to its other holders of its Equity Interests on a pro rata basis or a basis more favorable to the Issuer and other Restricted Subsidiaries);</w:t>
      </w:r>
    </w:p>
    <w:p>
      <w:pPr>
        <w:spacing w:after="0" w:line="195" w:lineRule="exact"/>
        <w:rPr>
          <w:rFonts w:ascii="Times New Roman" w:cs="Times New Roman" w:eastAsia="Times New Roman" w:hAnsi="Times New Roman"/>
          <w:sz w:val="20"/>
          <w:szCs w:val="20"/>
          <w:color w:val="auto"/>
        </w:rPr>
      </w:pPr>
    </w:p>
    <w:p>
      <w:pPr>
        <w:jc w:val="both"/>
        <w:ind w:right="20" w:firstLine="656"/>
        <w:spacing w:after="0" w:line="261" w:lineRule="auto"/>
        <w:tabs>
          <w:tab w:leader="none" w:pos="113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redemption, defeasance or other acquisition or retirement for value of any Equity Interests of the Issuer or any direct or indirect parent of the Issuer held by Persons other than the Issuer or a Restricted Subsidiary (including, without limitation, any payment in connection with any merger or consolidation involving the Issuer);</w:t>
      </w:r>
    </w:p>
    <w:p>
      <w:pPr>
        <w:spacing w:after="0" w:line="18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other than a Permitted Investment; or</w:t>
      </w:r>
    </w:p>
    <w:p>
      <w:pPr>
        <w:spacing w:after="0" w:line="215" w:lineRule="exact"/>
        <w:rPr>
          <w:rFonts w:ascii="Times New Roman" w:cs="Times New Roman" w:eastAsia="Times New Roman" w:hAnsi="Times New Roman"/>
          <w:sz w:val="20"/>
          <w:szCs w:val="20"/>
          <w:color w:val="auto"/>
        </w:rPr>
      </w:pPr>
    </w:p>
    <w:p>
      <w:pPr>
        <w:jc w:val="both"/>
        <w:ind w:firstLine="656"/>
        <w:spacing w:after="0" w:line="257" w:lineRule="auto"/>
        <w:tabs>
          <w:tab w:leader="none" w:pos="110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principal payment on, purchase, redemption, defeasance, prepayment, decrease or other acquisition or retirement for value prior to any scheduled maturity or prior to any scheduled repayment of principal or sinking fund payment, as the case may be, in respect of Subordinated Indebtedness (other than any such payment made within one year of any such scheduled maturity or scheduled repayment or sinking fund payment and other than any Subordinated Indebtedness owed to and held by the Issuer or any Restricted Subsidiary permitted under Section 4.9(b)(6)).</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Restricted Period</w:t>
      </w:r>
      <w:r>
        <w:rPr>
          <w:rFonts w:ascii="Times New Roman" w:cs="Times New Roman" w:eastAsia="Times New Roman" w:hAnsi="Times New Roman"/>
          <w:sz w:val="20"/>
          <w:szCs w:val="20"/>
          <w:color w:val="auto"/>
        </w:rPr>
        <w:t>” means the 40-day distribution compliance period as defined in Regulation S promulgated under the Securities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40" w:name="page41"/>
    <w:bookmarkEnd w:id="40"/>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Restricted Subsidiary</w:t>
      </w:r>
      <w:r>
        <w:rPr>
          <w:rFonts w:ascii="Times New Roman" w:cs="Times New Roman" w:eastAsia="Times New Roman" w:hAnsi="Times New Roman"/>
          <w:sz w:val="20"/>
          <w:szCs w:val="20"/>
          <w:color w:val="auto"/>
        </w:rPr>
        <w:t>” means any Subsidiary other than an Unrestricted Subsidiary. For the avoidance of doubt, “Restricted Subsidiary” shall also include each Local Content Entity and each such entity’s respective Subsidiaries, in each case, that is not an Unrestricted Subsidiary. Unless otherwise specified, references to Restricted Subsidiaries shall be to Restricted Subsidiaries of the Issuer.</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Rig</w:t>
      </w:r>
      <w:r>
        <w:rPr>
          <w:rFonts w:ascii="Times New Roman" w:cs="Times New Roman" w:eastAsia="Times New Roman" w:hAnsi="Times New Roman"/>
          <w:sz w:val="20"/>
          <w:szCs w:val="20"/>
          <w:color w:val="auto"/>
        </w:rPr>
        <w:t>” means any mobile offshore drilling unit (including without limitation any jack-up rig, semi-submersible rig, drillship, and barge rig).</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S&amp;P</w:t>
      </w:r>
      <w:r>
        <w:rPr>
          <w:rFonts w:ascii="Times New Roman" w:cs="Times New Roman" w:eastAsia="Times New Roman" w:hAnsi="Times New Roman"/>
          <w:sz w:val="20"/>
          <w:szCs w:val="20"/>
          <w:color w:val="auto"/>
        </w:rPr>
        <w:t>” means S&amp;P Global Ratings or any successor to its rating agency business.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Screened Affiliate</w:t>
      </w:r>
      <w:r>
        <w:rPr>
          <w:rFonts w:ascii="Times New Roman" w:cs="Times New Roman" w:eastAsia="Times New Roman" w:hAnsi="Times New Roman"/>
          <w:sz w:val="20"/>
          <w:szCs w:val="20"/>
          <w:color w:val="auto"/>
        </w:rPr>
        <w:t>” means any Affiliate of a Holder of Notes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Parent and/or any other Parent Company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Securities Act</w:t>
      </w:r>
      <w:r>
        <w:rPr>
          <w:rFonts w:ascii="Times New Roman" w:cs="Times New Roman" w:eastAsia="Times New Roman" w:hAnsi="Times New Roman"/>
          <w:sz w:val="20"/>
          <w:szCs w:val="20"/>
          <w:color w:val="auto"/>
        </w:rPr>
        <w:t>” means the U.S. Securities Act of 1933, as amended.</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Shared Services Agreement</w:t>
      </w:r>
      <w:r>
        <w:rPr>
          <w:rFonts w:ascii="Times New Roman" w:cs="Times New Roman" w:eastAsia="Times New Roman" w:hAnsi="Times New Roman"/>
          <w:sz w:val="20"/>
          <w:szCs w:val="20"/>
          <w:color w:val="auto"/>
        </w:rPr>
        <w:t>” means a services agreement between the Issuer or a Restricted Subsidiary, on the one hand, and Parent and/or any other Parent Company, on the other hand, as such agreement may be amended, restated, supplemented, modified or replaced from time to time to the extent such amendment, restatement, supplement, modification or replacement, taken as a whole, is not materially adverse to the Holders of Notes.</w:t>
      </w:r>
    </w:p>
    <w:p>
      <w:pPr>
        <w:spacing w:after="0" w:line="16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Short Derivative Instrument</w:t>
      </w:r>
      <w:r>
        <w:rPr>
          <w:rFonts w:ascii="Times New Roman" w:cs="Times New Roman" w:eastAsia="Times New Roman" w:hAnsi="Times New Roman"/>
          <w:sz w:val="20"/>
          <w:szCs w:val="20"/>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17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Significant Subsidiary</w:t>
      </w:r>
      <w:r>
        <w:rPr>
          <w:rFonts w:ascii="Times New Roman" w:cs="Times New Roman" w:eastAsia="Times New Roman" w:hAnsi="Times New Roman"/>
          <w:sz w:val="20"/>
          <w:szCs w:val="20"/>
          <w:color w:val="auto"/>
        </w:rPr>
        <w:t>” means any Restricted Subsidiary that would be a “significant subsidiary” as defined in Rule 1-02 of Regulation S-X promulgated pursuant to the Securities Act as such Regulation was in effect on the Issue Date.</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Specified Cash Management Agreements</w:t>
      </w:r>
      <w:r>
        <w:rPr>
          <w:rFonts w:ascii="Times New Roman" w:cs="Times New Roman" w:eastAsia="Times New Roman" w:hAnsi="Times New Roman"/>
          <w:sz w:val="20"/>
          <w:szCs w:val="20"/>
          <w:color w:val="auto"/>
        </w:rPr>
        <w:t>” means any agreement providing for treasury, depositary, purchasing card or cash management services, including in connection with any automated clearing house transfers of funds or any similar transactions between the Issuer or any Restricted Subsidiary and any provider thereof.</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Specified Investment Grade Rating”</w:t>
      </w:r>
      <w:r>
        <w:rPr>
          <w:rFonts w:ascii="Times New Roman" w:cs="Times New Roman" w:eastAsia="Times New Roman" w:hAnsi="Times New Roman"/>
          <w:sz w:val="20"/>
          <w:szCs w:val="20"/>
          <w:color w:val="auto"/>
        </w:rPr>
        <w:t xml:space="preserve"> means a rating equal to or higher than Baa2 (or the equivalent) by Moody’s, BBB (or the equivalent) by Fitch, and BBB (or the equivalent) by S&amp;P, in each case, with a stable or better outlook.</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Specified Rig Intercompany Mortgage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clause (q)</w:t>
      </w:r>
      <w:r>
        <w:rPr>
          <w:rFonts w:ascii="Times New Roman" w:cs="Times New Roman" w:eastAsia="Times New Roman" w:hAnsi="Times New Roman"/>
          <w:sz w:val="20"/>
          <w:szCs w:val="20"/>
          <w:color w:val="auto"/>
        </w:rPr>
        <w:t xml:space="preserve"> of the definition of “Asset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09"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Specified Rig Intercompany Note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clause (q)</w:t>
      </w:r>
      <w:r>
        <w:rPr>
          <w:rFonts w:ascii="Times New Roman" w:cs="Times New Roman" w:eastAsia="Times New Roman" w:hAnsi="Times New Roman"/>
          <w:sz w:val="20"/>
          <w:szCs w:val="20"/>
          <w:color w:val="auto"/>
        </w:rPr>
        <w:t xml:space="preserve"> of the definition of “Asset Sale.”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Specified Rigs</w:t>
      </w:r>
      <w:r>
        <w:rPr>
          <w:rFonts w:ascii="Times New Roman" w:cs="Times New Roman" w:eastAsia="Times New Roman" w:hAnsi="Times New Roman"/>
          <w:sz w:val="20"/>
          <w:szCs w:val="20"/>
          <w:color w:val="auto"/>
        </w:rPr>
        <w:t xml:space="preserve">” means any Rig that is to be or has been transferred to an Ineligible LCE in compliance with and pursuant to </w:t>
      </w:r>
      <w:r>
        <w:rPr>
          <w:rFonts w:ascii="Times New Roman" w:cs="Times New Roman" w:eastAsia="Times New Roman" w:hAnsi="Times New Roman"/>
          <w:sz w:val="20"/>
          <w:szCs w:val="20"/>
          <w:u w:val="single" w:color="auto"/>
          <w:color w:val="auto"/>
        </w:rPr>
        <w:t>clause</w:t>
      </w:r>
    </w:p>
    <w:p>
      <w:pPr>
        <w:spacing w:after="0" w:line="26" w:lineRule="exact"/>
        <w:rPr>
          <w:sz w:val="20"/>
          <w:szCs w:val="20"/>
          <w:color w:val="auto"/>
        </w:rPr>
      </w:pPr>
    </w:p>
    <w:p>
      <w:pPr>
        <w:ind w:left="280" w:hanging="272"/>
        <w:spacing w:after="0"/>
        <w:tabs>
          <w:tab w:leader="none" w:pos="280" w:val="left"/>
        </w:tabs>
        <w:numPr>
          <w:ilvl w:val="0"/>
          <w:numId w:val="4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the definition of “Asset Sale.”</w:t>
      </w:r>
    </w:p>
    <w:p>
      <w:pPr>
        <w:spacing w:after="0" w:line="20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Stated Maturity</w:t>
      </w:r>
      <w:r>
        <w:rPr>
          <w:rFonts w:ascii="Times New Roman" w:cs="Times New Roman" w:eastAsia="Times New Roman" w:hAnsi="Times New Roman"/>
          <w:sz w:val="20"/>
          <w:szCs w:val="20"/>
          <w:color w:val="auto"/>
        </w:rPr>
        <w:t>” means, with respect to any Indebtedness, the date specified in the agreement governing or certificate relating to such Indebtedness as the fixed date on which the final payment of principal of such Indebtedness is due and payable, including pursuant to any mandatory redemption provision, but shall not include any contingent obligations to repay, redeem or repurchase any such principal prior to the date originally scheduled for the payment thereof.</w:t>
      </w:r>
    </w:p>
    <w:p>
      <w:pPr>
        <w:spacing w:after="0" w:line="16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Subordinated Indebtedness</w:t>
      </w:r>
      <w:r>
        <w:rPr>
          <w:rFonts w:ascii="Times New Roman" w:cs="Times New Roman" w:eastAsia="Times New Roman" w:hAnsi="Times New Roman"/>
          <w:sz w:val="20"/>
          <w:szCs w:val="20"/>
          <w:color w:val="auto"/>
        </w:rPr>
        <w:t>” means Indebtedness of the Issuer or any Guarantor that is expressly subordinated in right of payment to the Notes or the Guarantees, respectively.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Subsidiary</w:t>
      </w:r>
      <w:r>
        <w:rPr>
          <w:rFonts w:ascii="Times New Roman" w:cs="Times New Roman" w:eastAsia="Times New Roman" w:hAnsi="Times New Roman"/>
          <w:sz w:val="20"/>
          <w:szCs w:val="20"/>
          <w:color w:val="auto"/>
        </w:rPr>
        <w:t>” means, with respect to any Person:</w:t>
      </w:r>
    </w:p>
    <w:p>
      <w:pPr>
        <w:spacing w:after="0" w:line="233" w:lineRule="exact"/>
        <w:rPr>
          <w:sz w:val="20"/>
          <w:szCs w:val="20"/>
          <w:color w:val="auto"/>
        </w:rPr>
      </w:pPr>
    </w:p>
    <w:p>
      <w:pPr>
        <w:jc w:val="both"/>
        <w:ind w:firstLine="656"/>
        <w:spacing w:after="0" w:line="258" w:lineRule="auto"/>
        <w:tabs>
          <w:tab w:leader="none" w:pos="114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corporation, company, exempted company, limited liability company, association, trust or other business entity of which more than 50.0% of the total voting power of the Equity Interests entitled (without regard to the occurrence of any contingency) to vote in the election of the Board of Directors thereof is at the time owned or controlled, directly or indirectly, by such Person or one or more of the other Subsidiaries of such Person (or a combination thereof); and</w:t>
      </w:r>
    </w:p>
    <w:p>
      <w:pPr>
        <w:spacing w:after="0" w:line="172" w:lineRule="exact"/>
        <w:rPr>
          <w:rFonts w:ascii="Times New Roman" w:cs="Times New Roman" w:eastAsia="Times New Roman" w:hAnsi="Times New Roman"/>
          <w:sz w:val="20"/>
          <w:szCs w:val="20"/>
          <w:color w:val="auto"/>
        </w:rPr>
      </w:pPr>
    </w:p>
    <w:p>
      <w:pPr>
        <w:ind w:firstLine="656"/>
        <w:spacing w:after="0" w:line="310" w:lineRule="auto"/>
        <w:tabs>
          <w:tab w:leader="none" w:pos="1137"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partnership (a) the sole general partner or the managing general partner of which is such Person or a Subsidiary of such Person or (b) the only general partners of which are such Person or of one or more Subsidiaries of such Person (or any combination thereof).</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otherwise specified, “Subsidiary” refers to a Subsidiary of the Issuer.</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Surviving Person</w:t>
      </w:r>
      <w:r>
        <w:rPr>
          <w:rFonts w:ascii="Times New Roman" w:cs="Times New Roman" w:eastAsia="Times New Roman" w:hAnsi="Times New Roman"/>
          <w:sz w:val="20"/>
          <w:szCs w:val="20"/>
          <w:color w:val="auto"/>
        </w:rPr>
        <w:t>” has the meaning set forth in the definition of “Redomestication.”</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Swiss Federal Tax Administration</w:t>
      </w:r>
      <w:r>
        <w:rPr>
          <w:rFonts w:ascii="Times New Roman" w:cs="Times New Roman" w:eastAsia="Times New Roman" w:hAnsi="Times New Roman"/>
          <w:sz w:val="20"/>
          <w:szCs w:val="20"/>
          <w:color w:val="auto"/>
        </w:rPr>
        <w:t>” means the tax authorities referred to in Article 34 of the Swiss Federal Law on Withholding Tax of 13 October 1965 (</w:t>
      </w:r>
      <w:r>
        <w:rPr>
          <w:rFonts w:ascii="Times New Roman" w:cs="Times New Roman" w:eastAsia="Times New Roman" w:hAnsi="Times New Roman"/>
          <w:sz w:val="20"/>
          <w:szCs w:val="20"/>
          <w:i w:val="1"/>
          <w:iCs w:val="1"/>
          <w:color w:val="auto"/>
        </w:rPr>
        <w:t>Bundesgesetz über die Verrechnungssteuer vom 13. Oktober 1965, SR 642.21</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Swiss Withholding Tax</w:t>
      </w:r>
      <w:r>
        <w:rPr>
          <w:rFonts w:ascii="Times New Roman" w:cs="Times New Roman" w:eastAsia="Times New Roman" w:hAnsi="Times New Roman"/>
          <w:sz w:val="20"/>
          <w:szCs w:val="20"/>
          <w:color w:val="auto"/>
        </w:rPr>
        <w:t>” means the tax levied pursuant to the Swiss Federal Act on Withholding Tax (</w:t>
      </w:r>
      <w:r>
        <w:rPr>
          <w:rFonts w:ascii="Times New Roman" w:cs="Times New Roman" w:eastAsia="Times New Roman" w:hAnsi="Times New Roman"/>
          <w:sz w:val="20"/>
          <w:szCs w:val="20"/>
          <w:i w:val="1"/>
          <w:iCs w:val="1"/>
          <w:color w:val="auto"/>
        </w:rPr>
        <w:t>Bundesgesetz über die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Verrechnungssteuer vom 13. Oktober 1965, SR 642.21</w:t>
      </w:r>
      <w:r>
        <w:rPr>
          <w:rFonts w:ascii="Times New Roman" w:cs="Times New Roman" w:eastAsia="Times New Roman" w:hAnsi="Times New Roman"/>
          <w:sz w:val="20"/>
          <w:szCs w:val="20"/>
          <w:color w:val="auto"/>
        </w:rPr>
        <w:t>), as amended from time to time together with the related ordinances, regulations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guidelines.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Tax Payments</w:t>
      </w:r>
      <w:r>
        <w:rPr>
          <w:rFonts w:ascii="Times New Roman" w:cs="Times New Roman" w:eastAsia="Times New Roman" w:hAnsi="Times New Roman"/>
          <w:sz w:val="20"/>
          <w:szCs w:val="20"/>
          <w:color w:val="auto"/>
        </w:rPr>
        <w:t>” has the meaning set forth in clause (c) of the definition of “Permitted Payments to Parent.”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TIA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Trust Indenture Act</w:t>
      </w:r>
      <w:r>
        <w:rPr>
          <w:rFonts w:ascii="Times New Roman" w:cs="Times New Roman" w:eastAsia="Times New Roman" w:hAnsi="Times New Roman"/>
          <w:sz w:val="20"/>
          <w:szCs w:val="20"/>
          <w:color w:val="auto"/>
        </w:rPr>
        <w:t>” means the Trust Indenture Act of 1939 (15 U.S. Code §§ 77aaa-77bbbb), as amended.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Transaction Date</w:t>
      </w:r>
      <w:r>
        <w:rPr>
          <w:rFonts w:ascii="Times New Roman" w:cs="Times New Roman" w:eastAsia="Times New Roman" w:hAnsi="Times New Roman"/>
          <w:sz w:val="20"/>
          <w:szCs w:val="20"/>
          <w:color w:val="auto"/>
        </w:rPr>
        <w:t>” has the meaning set forth in the definition of “Consolidated Interest Coverage Ratio.”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Transfer Restricted Notes</w:t>
      </w:r>
      <w:r>
        <w:rPr>
          <w:rFonts w:ascii="Times New Roman" w:cs="Times New Roman" w:eastAsia="Times New Roman" w:hAnsi="Times New Roman"/>
          <w:sz w:val="20"/>
          <w:szCs w:val="20"/>
          <w:color w:val="auto"/>
        </w:rPr>
        <w:t>” means Notes that bear or are required to bear the Restricted Notes Legend.</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Treasury Rate</w:t>
      </w:r>
      <w:r>
        <w:rPr>
          <w:rFonts w:ascii="Times New Roman" w:cs="Times New Roman" w:eastAsia="Times New Roman" w:hAnsi="Times New Roman"/>
          <w:sz w:val="20"/>
          <w:szCs w:val="20"/>
          <w:color w:val="auto"/>
        </w:rPr>
        <w:t>” means, as of any redemption date, the yield to maturity at the time of computation of United States Treasury securities with a constant maturity (as compiled and published in the most recent Federal Reserve Statistical Release H.15 which has become publicly available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09"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least two Business Days prior to the redemption date (or, if such Statistical Release is no longer published, any publicly available source or similar market data)) most nearly equal to the period from the redemption date to June 15, 2029;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the period from the redemption date to June 15, 2029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redemption date to June 15, 2029 is less than one year, the weekly average yield on actually traded United States Treasury securities adjusted to a constant maturity of one year shall be used.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United States</w:t>
      </w:r>
      <w:r>
        <w:rPr>
          <w:rFonts w:ascii="Times New Roman" w:cs="Times New Roman" w:eastAsia="Times New Roman" w:hAnsi="Times New Roman"/>
          <w:sz w:val="20"/>
          <w:szCs w:val="20"/>
          <w:color w:val="auto"/>
        </w:rPr>
        <w:t>” or “U.S.” means the United States of America.</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Unrestricted Subsidiary</w:t>
      </w:r>
      <w:r>
        <w:rPr>
          <w:rFonts w:ascii="Times New Roman" w:cs="Times New Roman" w:eastAsia="Times New Roman" w:hAnsi="Times New Roman"/>
          <w:sz w:val="20"/>
          <w:szCs w:val="20"/>
          <w:color w:val="auto"/>
        </w:rPr>
        <w:t xml:space="preserve">” means (a) any Subsidiary that at the time of determination shall be designated an Unrestricted Subsidiary by the Board of Directors of the Issuer in accordance with </w:t>
      </w:r>
      <w:r>
        <w:rPr>
          <w:rFonts w:ascii="Times New Roman" w:cs="Times New Roman" w:eastAsia="Times New Roman" w:hAnsi="Times New Roman"/>
          <w:sz w:val="20"/>
          <w:szCs w:val="20"/>
          <w:u w:val="single" w:color="auto"/>
          <w:color w:val="auto"/>
        </w:rPr>
        <w:t>Section 4.16</w:t>
      </w:r>
      <w:r>
        <w:rPr>
          <w:rFonts w:ascii="Times New Roman" w:cs="Times New Roman" w:eastAsia="Times New Roman" w:hAnsi="Times New Roman"/>
          <w:sz w:val="20"/>
          <w:szCs w:val="20"/>
          <w:color w:val="auto"/>
        </w:rPr>
        <w:t xml:space="preserve"> and (b) any Subsidiary of an Unrestricted Subsidiary.</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U.S. Government Obligations</w:t>
      </w:r>
      <w:r>
        <w:rPr>
          <w:rFonts w:ascii="Times New Roman" w:cs="Times New Roman" w:eastAsia="Times New Roman" w:hAnsi="Times New Roman"/>
          <w:sz w:val="20"/>
          <w:szCs w:val="20"/>
          <w:color w:val="auto"/>
        </w:rPr>
        <w:t>” means direct non-callable obligations of, or guaranteed by, the United States for the payment of which guarantee or obligations the full faith and credit of the United States is pledged.</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Voting Stock</w:t>
      </w:r>
      <w:r>
        <w:rPr>
          <w:rFonts w:ascii="Times New Roman" w:cs="Times New Roman" w:eastAsia="Times New Roman" w:hAnsi="Times New Roman"/>
          <w:sz w:val="20"/>
          <w:szCs w:val="20"/>
          <w:color w:val="auto"/>
        </w:rPr>
        <w:t>” with respect to any Person, means securities of any class of Equity Interests of such Person entitling the holders thereof (whether at all times or only so long as no senior class of stock, shares or other relevant equity interest has voting power by reason of any contingency) to vote in the election of members of the Board of Directors of such Person.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Weighted Average Life to Maturity</w:t>
      </w:r>
      <w:r>
        <w:rPr>
          <w:rFonts w:ascii="Times New Roman" w:cs="Times New Roman" w:eastAsia="Times New Roman" w:hAnsi="Times New Roman"/>
          <w:sz w:val="19"/>
          <w:szCs w:val="19"/>
          <w:color w:val="auto"/>
        </w:rPr>
        <w:t>” when applied to any Indebtedness at any date, means the number of years obtained by dividing</w:t>
      </w:r>
    </w:p>
    <w:p>
      <w:pPr>
        <w:spacing w:after="0" w:line="44" w:lineRule="exact"/>
        <w:rPr>
          <w:sz w:val="20"/>
          <w:szCs w:val="20"/>
          <w:color w:val="auto"/>
        </w:rPr>
      </w:pPr>
    </w:p>
    <w:p>
      <w:pPr>
        <w:jc w:val="both"/>
        <w:ind w:firstLine="8"/>
        <w:spacing w:after="0" w:line="248" w:lineRule="auto"/>
        <w:tabs>
          <w:tab w:leader="none" w:pos="28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 elapse between such date and the making of such payment by (2) the then outstanding principal amount of such Indebtedness.</w:t>
      </w:r>
    </w:p>
    <w:p>
      <w:pPr>
        <w:spacing w:after="0" w:line="191"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Wholly-Owned Subsidiary</w:t>
      </w:r>
      <w:r>
        <w:rPr>
          <w:rFonts w:ascii="Times New Roman" w:cs="Times New Roman" w:eastAsia="Times New Roman" w:hAnsi="Times New Roman"/>
          <w:sz w:val="20"/>
          <w:szCs w:val="20"/>
          <w:color w:val="auto"/>
        </w:rPr>
        <w:t>” means a Restricted Subsidiary, all of the Equity Interests of which (other than directors’ qualifying shares) are owned by the Issuer or another Wholly-Owned Subsidiary.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1.2.  Other Definitions.</w:t>
            </w:r>
          </w:p>
        </w:tc>
        <w:tc>
          <w:tcPr>
            <w:tcW w:w="5220" w:type="dxa"/>
            <w:vAlign w:val="bottom"/>
          </w:tcPr>
          <w:p>
            <w:pPr>
              <w:spacing w:after="0"/>
              <w:rPr>
                <w:sz w:val="19"/>
                <w:szCs w:val="19"/>
                <w:color w:val="auto"/>
              </w:rPr>
            </w:pPr>
          </w:p>
        </w:tc>
      </w:tr>
      <w:tr>
        <w:trPr>
          <w:trHeight w:val="314"/>
        </w:trPr>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Term</w:t>
            </w:r>
          </w:p>
        </w:tc>
        <w:tc>
          <w:tcPr>
            <w:tcW w:w="1380" w:type="dxa"/>
            <w:vAlign w:val="bottom"/>
            <w:tcBorders>
              <w:top w:val="single" w:sz="8" w:color="auto"/>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20"/>
                <w:szCs w:val="20"/>
                <w:b w:val="1"/>
                <w:bCs w:val="1"/>
                <w:color w:val="auto"/>
              </w:rPr>
              <w:t>Defined in Section</w:t>
            </w:r>
          </w:p>
        </w:tc>
      </w:tr>
      <w:tr>
        <w:trPr>
          <w:trHeight w:val="244"/>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“acceleration declaration”</w:t>
            </w:r>
          </w:p>
        </w:tc>
        <w:tc>
          <w:tcPr>
            <w:tcW w:w="5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56"/>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“Act”</w:t>
            </w:r>
          </w:p>
        </w:tc>
        <w:tc>
          <w:tcPr>
            <w:tcW w:w="5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11.13</w:t>
            </w:r>
          </w:p>
        </w:tc>
      </w:tr>
      <w:tr>
        <w:trPr>
          <w:trHeight w:val="257"/>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“Additional Amounts”</w:t>
            </w:r>
          </w:p>
        </w:tc>
        <w:tc>
          <w:tcPr>
            <w:tcW w:w="5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2.17(b)</w:t>
            </w:r>
          </w:p>
        </w:tc>
      </w:tr>
      <w:tr>
        <w:trPr>
          <w:trHeight w:val="256"/>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“Affiliate Transaction”</w:t>
            </w:r>
          </w:p>
        </w:tc>
        <w:tc>
          <w:tcPr>
            <w:tcW w:w="5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4.11(a)</w:t>
            </w:r>
          </w:p>
        </w:tc>
      </w:tr>
      <w:tr>
        <w:trPr>
          <w:trHeight w:val="257"/>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“Alternate Offer”</w:t>
            </w:r>
          </w:p>
        </w:tc>
        <w:tc>
          <w:tcPr>
            <w:tcW w:w="5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4.13(b)</w:t>
            </w:r>
          </w:p>
        </w:tc>
      </w:tr>
      <w:tr>
        <w:trPr>
          <w:trHeight w:val="256"/>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“Applicable Premium Deficit”</w:t>
            </w:r>
          </w:p>
        </w:tc>
        <w:tc>
          <w:tcPr>
            <w:tcW w:w="5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7"/>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“Authorized Agent”</w:t>
            </w:r>
          </w:p>
        </w:tc>
        <w:tc>
          <w:tcPr>
            <w:tcW w:w="5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56"/>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“Change of Control Offer”</w:t>
            </w:r>
          </w:p>
        </w:tc>
        <w:tc>
          <w:tcPr>
            <w:tcW w:w="5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4.13(b)</w:t>
            </w:r>
          </w:p>
        </w:tc>
      </w:tr>
      <w:tr>
        <w:trPr>
          <w:trHeight w:val="257"/>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“Change of Control Payment Date”</w:t>
            </w:r>
          </w:p>
        </w:tc>
        <w:tc>
          <w:tcPr>
            <w:tcW w:w="5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4.13(b)</w:t>
            </w:r>
          </w:p>
        </w:tc>
      </w:tr>
      <w:tr>
        <w:trPr>
          <w:trHeight w:val="257"/>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“Change of Control Purchase Price”</w:t>
            </w:r>
          </w:p>
        </w:tc>
        <w:tc>
          <w:tcPr>
            <w:tcW w:w="5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4.13(a)</w:t>
            </w:r>
          </w:p>
        </w:tc>
      </w:tr>
      <w:tr>
        <w:trPr>
          <w:trHeight w:val="256"/>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“Covenant Defeasance”</w:t>
            </w:r>
          </w:p>
        </w:tc>
        <w:tc>
          <w:tcPr>
            <w:tcW w:w="5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6"/>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“Coverage Ratio Exception”</w:t>
            </w:r>
          </w:p>
        </w:tc>
        <w:tc>
          <w:tcPr>
            <w:tcW w:w="5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4.9(a)</w:t>
            </w:r>
          </w:p>
        </w:tc>
      </w:tr>
      <w:tr>
        <w:trPr>
          <w:trHeight w:val="256"/>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“Danish Companies Act”</w:t>
            </w:r>
          </w:p>
        </w:tc>
        <w:tc>
          <w:tcPr>
            <w:tcW w:w="5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10.7(b)(i)</w:t>
            </w:r>
          </w:p>
        </w:tc>
      </w:tr>
      <w:tr>
        <w:trPr>
          <w:trHeight w:val="257"/>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“Deposit Trustee”</w:t>
            </w:r>
          </w:p>
        </w:tc>
        <w:tc>
          <w:tcPr>
            <w:tcW w:w="5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8"/>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“Designation”</w:t>
            </w:r>
          </w:p>
        </w:tc>
        <w:tc>
          <w:tcPr>
            <w:tcW w:w="5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43" w:name="page44"/>
    <w:bookmarkEnd w:id="4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“Designation Amount”</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4.16(a)</w:t>
            </w:r>
          </w:p>
        </w:tc>
      </w:tr>
      <w:tr>
        <w:trPr>
          <w:trHeight w:val="256"/>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“Directing Holder”</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6.12(a)</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“EDGAR”</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4.3(a)</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“Event of Default”</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“Excess Proceeds”</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4.10(b)</w:t>
            </w:r>
          </w:p>
        </w:tc>
      </w:tr>
      <w:tr>
        <w:trPr>
          <w:trHeight w:val="256"/>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“Exchange”</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“FinSA”</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2.15(h)</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“IAI Global Note”</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2.1(b)</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“Initial Lien”</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4.12(a)</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“Initial Notes”</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Preamble</w:t>
            </w:r>
          </w:p>
        </w:tc>
      </w:tr>
      <w:tr>
        <w:trPr>
          <w:trHeight w:val="256"/>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“LCT Election”</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1.3(c)</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“LCT Test Date”</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1.3(c)</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“Legal Defeasance”</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“Net Proceeds Offer”</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4.10(c)</w:t>
            </w:r>
          </w:p>
        </w:tc>
      </w:tr>
      <w:tr>
        <w:trPr>
          <w:trHeight w:val="256"/>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“Net Proceeds Offer Amount”</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4.10(d)</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“Net Proceeds Offer Period”</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4.10(d)</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“Net Proceeds Purchase Date”</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4.10(d)</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“Noteholder Direction”</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6.12(a)</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“Permitted Indebtedness”</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4.9(b)</w:t>
            </w:r>
          </w:p>
        </w:tc>
      </w:tr>
      <w:tr>
        <w:trPr>
          <w:trHeight w:val="256"/>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“Position Representation”</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6.12(a)</w:t>
            </w:r>
          </w:p>
        </w:tc>
      </w:tr>
      <w:tr>
        <w:trPr>
          <w:trHeight w:val="256"/>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“QIBs”</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2.1(b)</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“Redesignation”</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4.16(b)</w:t>
            </w:r>
          </w:p>
        </w:tc>
      </w:tr>
      <w:tr>
        <w:trPr>
          <w:trHeight w:val="256"/>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“Registrar”</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“Regulation S”</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2.1(b)</w:t>
            </w:r>
          </w:p>
        </w:tc>
      </w:tr>
      <w:tr>
        <w:trPr>
          <w:trHeight w:val="256"/>
        </w:trPr>
        <w:tc>
          <w:tcPr>
            <w:tcW w:w="6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“Regulation S Global Note”</w:t>
            </w:r>
          </w:p>
        </w:tc>
        <w:tc>
          <w:tcPr>
            <w:tcW w:w="45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2.1(b)</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“Restricted Payments Builder Basket”</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4.7(a)</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“Rule 144A”</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2.1(b)</w:t>
            </w:r>
          </w:p>
        </w:tc>
      </w:tr>
      <w:tr>
        <w:trPr>
          <w:trHeight w:val="256"/>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“Rule 144A Global Note”</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2.1(b)</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“Successor”</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5.1(a)</w:t>
            </w:r>
          </w:p>
        </w:tc>
      </w:tr>
      <w:tr>
        <w:trPr>
          <w:trHeight w:val="256"/>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“Swiss Available Amounts”</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10.7(c)(i)</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“Swiss Guarantor”</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6"/>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“Swiss Restricted Obligations”</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10.7(c)(i)</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“Taxes”</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2.17(a)</w:t>
            </w:r>
          </w:p>
        </w:tc>
      </w:tr>
      <w:tr>
        <w:trPr>
          <w:trHeight w:val="256"/>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“Taxing Jurisdiction”</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2.17(b)</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“Termination Date”</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4.17(a)</w:t>
            </w:r>
          </w:p>
        </w:tc>
      </w:tr>
      <w:tr>
        <w:trPr>
          <w:trHeight w:val="257"/>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“Trustee”</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Preamble</w:t>
            </w:r>
          </w:p>
        </w:tc>
      </w:tr>
      <w:tr>
        <w:trPr>
          <w:trHeight w:val="258"/>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“Verification Covenant”</w:t>
            </w:r>
          </w:p>
        </w:tc>
        <w:tc>
          <w:tcPr>
            <w:tcW w:w="4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6.12(a)</w:t>
            </w:r>
          </w:p>
        </w:tc>
      </w:tr>
    </w:tbl>
    <w:p>
      <w:pPr>
        <w:spacing w:after="0" w:line="349" w:lineRule="exact"/>
        <w:rPr>
          <w:sz w:val="20"/>
          <w:szCs w:val="20"/>
          <w:color w:val="auto"/>
        </w:rPr>
      </w:pPr>
    </w:p>
    <w:p>
      <w:pPr>
        <w:ind w:left="640"/>
        <w:spacing w:after="0"/>
        <w:tabs>
          <w:tab w:leader="none" w:pos="176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u w:val="single" w:color="auto"/>
          <w:color w:val="auto"/>
        </w:rPr>
        <w:t>Rules of Construction</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1060" w:hanging="424"/>
        <w:spacing w:after="0"/>
        <w:tabs>
          <w:tab w:leader="none" w:pos="10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context otherwise requires:</w:t>
      </w:r>
    </w:p>
    <w:p>
      <w:pPr>
        <w:spacing w:after="0" w:line="207" w:lineRule="exact"/>
        <w:rPr>
          <w:rFonts w:ascii="Times New Roman" w:cs="Times New Roman" w:eastAsia="Times New Roman" w:hAnsi="Times New Roman"/>
          <w:sz w:val="20"/>
          <w:szCs w:val="20"/>
          <w:color w:val="auto"/>
        </w:rPr>
      </w:pPr>
    </w:p>
    <w:p>
      <w:pPr>
        <w:ind w:left="1720" w:hanging="436"/>
        <w:spacing w:after="0"/>
        <w:tabs>
          <w:tab w:leader="none" w:pos="172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term has the meaning assigned to it herein;</w:t>
      </w:r>
    </w:p>
    <w:p>
      <w:pPr>
        <w:spacing w:after="0" w:line="215" w:lineRule="exact"/>
        <w:rPr>
          <w:rFonts w:ascii="Times New Roman" w:cs="Times New Roman" w:eastAsia="Times New Roman" w:hAnsi="Times New Roman"/>
          <w:sz w:val="20"/>
          <w:szCs w:val="20"/>
          <w:color w:val="auto"/>
        </w:rPr>
      </w:pPr>
    </w:p>
    <w:p>
      <w:pPr>
        <w:ind w:left="1720" w:hanging="436"/>
        <w:spacing w:after="0"/>
        <w:tabs>
          <w:tab w:leader="none" w:pos="172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accounting term not otherwise defined herein has the meaning assigned to it in accordance with GAAP;</w:t>
      </w:r>
    </w:p>
    <w:p>
      <w:pPr>
        <w:spacing w:after="0" w:line="229" w:lineRule="exact"/>
        <w:rPr>
          <w:rFonts w:ascii="Times New Roman" w:cs="Times New Roman" w:eastAsia="Times New Roman" w:hAnsi="Times New Roman"/>
          <w:sz w:val="20"/>
          <w:szCs w:val="20"/>
          <w:color w:val="auto"/>
        </w:rPr>
      </w:pPr>
    </w:p>
    <w:p>
      <w:pPr>
        <w:ind w:left="1720" w:hanging="436"/>
        <w:spacing w:after="0"/>
        <w:tabs>
          <w:tab w:leader="none" w:pos="172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is not exclusive;</w:t>
      </w:r>
    </w:p>
    <w:p>
      <w:pPr>
        <w:spacing w:after="0" w:line="229" w:lineRule="exact"/>
        <w:rPr>
          <w:rFonts w:ascii="Times New Roman" w:cs="Times New Roman" w:eastAsia="Times New Roman" w:hAnsi="Times New Roman"/>
          <w:sz w:val="20"/>
          <w:szCs w:val="20"/>
          <w:color w:val="auto"/>
        </w:rPr>
      </w:pPr>
    </w:p>
    <w:p>
      <w:pPr>
        <w:ind w:left="1720" w:hanging="436"/>
        <w:spacing w:after="0"/>
        <w:tabs>
          <w:tab w:leader="none" w:pos="172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in the singular include the plural, and in the plural include the singular;</w:t>
      </w:r>
    </w:p>
    <w:p>
      <w:pPr>
        <w:spacing w:after="0" w:line="215" w:lineRule="exact"/>
        <w:rPr>
          <w:rFonts w:ascii="Times New Roman" w:cs="Times New Roman" w:eastAsia="Times New Roman" w:hAnsi="Times New Roman"/>
          <w:sz w:val="20"/>
          <w:szCs w:val="20"/>
          <w:color w:val="auto"/>
        </w:rPr>
      </w:pPr>
    </w:p>
    <w:p>
      <w:pPr>
        <w:ind w:left="640" w:firstLine="644"/>
        <w:spacing w:after="0" w:line="283" w:lineRule="auto"/>
        <w:tabs>
          <w:tab w:leader="none" w:pos="173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any reference to Section, Article or Exhibit refers to such Section, Article or Exhibit, as the case may be, of this Indenture;</w:t>
      </w:r>
    </w:p>
    <w:p>
      <w:pPr>
        <w:spacing w:after="0" w:line="146" w:lineRule="exact"/>
        <w:rPr>
          <w:rFonts w:ascii="Times New Roman" w:cs="Times New Roman" w:eastAsia="Times New Roman" w:hAnsi="Times New Roman"/>
          <w:sz w:val="20"/>
          <w:szCs w:val="20"/>
          <w:color w:val="auto"/>
        </w:rPr>
      </w:pPr>
    </w:p>
    <w:p>
      <w:pPr>
        <w:ind w:left="1720" w:hanging="436"/>
        <w:spacing w:after="0"/>
        <w:tabs>
          <w:tab w:leader="none" w:pos="172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apply to successive events and transactions;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20"/>
          </w:cols>
          <w:pgMar w:left="340" w:top="1440" w:right="339" w:bottom="240" w:gutter="0" w:footer="0" w:header="0"/>
        </w:sectPr>
      </w:pPr>
    </w:p>
    <w:bookmarkStart w:id="44" w:name="page45"/>
    <w:bookmarkEnd w:id="44"/>
    <w:p>
      <w:pPr>
        <w:ind w:left="660" w:firstLine="644"/>
        <w:spacing w:after="0" w:line="283" w:lineRule="auto"/>
        <w:tabs>
          <w:tab w:leader="none" w:pos="178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sections of or rules under the Securities Act or the Exchange Act shall be deemed to include substitute, replacement or successor sections or rules adopted by the SEC from time to time.</w:t>
      </w:r>
    </w:p>
    <w:p>
      <w:pPr>
        <w:spacing w:after="0" w:line="14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1.4.</w:t>
      </w:r>
      <w:r>
        <w:rPr>
          <w:sz w:val="20"/>
          <w:szCs w:val="20"/>
          <w:color w:val="auto"/>
        </w:rPr>
        <w:tab/>
      </w:r>
      <w:r>
        <w:rPr>
          <w:rFonts w:ascii="Times New Roman" w:cs="Times New Roman" w:eastAsia="Times New Roman" w:hAnsi="Times New Roman"/>
          <w:sz w:val="19"/>
          <w:szCs w:val="19"/>
          <w:u w:val="single" w:color="auto"/>
          <w:color w:val="auto"/>
        </w:rPr>
        <w:t>Limited Condition Transaction.</w:t>
      </w:r>
    </w:p>
    <w:p>
      <w:pPr>
        <w:spacing w:after="0" w:line="229" w:lineRule="exact"/>
        <w:rPr>
          <w:sz w:val="20"/>
          <w:szCs w:val="20"/>
          <w:color w:val="auto"/>
        </w:rPr>
      </w:pPr>
    </w:p>
    <w:p>
      <w:pPr>
        <w:jc w:val="both"/>
        <w:ind w:firstLine="656"/>
        <w:spacing w:after="0" w:line="250" w:lineRule="auto"/>
        <w:tabs>
          <w:tab w:leader="none" w:pos="120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Indenture, when (a) determining compliance with any provision of this Indenture which requires the calculation of the Consolidated Interest Coverage Ratio or the Consolidated Total Debt Ratio, (b) determining compliance with any provision of this Indenture which requires that no Default or Event of Default has occurred, is continuing or would result therefrom or (c) testing availability under baskets set forth in this Indenture (including baskets measured as a percentage of Consolidated Total Assets), in each case in connection with a Limited Condition Transaction, the date of determination of such ratio or other provisions, determination of whether any Default or Event of Default has occurred, is continuing or would result therefrom, determination of compliance with any representations or warranties or the availability under any baskets shall, at the option of the Issuer (the Issuer’s election to exercise such option in connection with any Limited Condition Transaction, an “</w:t>
      </w:r>
      <w:r>
        <w:rPr>
          <w:rFonts w:ascii="Times New Roman" w:cs="Times New Roman" w:eastAsia="Times New Roman" w:hAnsi="Times New Roman"/>
          <w:sz w:val="20"/>
          <w:szCs w:val="20"/>
          <w:i w:val="1"/>
          <w:iCs w:val="1"/>
          <w:color w:val="auto"/>
        </w:rPr>
        <w:t>LCT Election</w:t>
      </w:r>
      <w:r>
        <w:rPr>
          <w:rFonts w:ascii="Times New Roman" w:cs="Times New Roman" w:eastAsia="Times New Roman" w:hAnsi="Times New Roman"/>
          <w:sz w:val="20"/>
          <w:szCs w:val="20"/>
          <w:color w:val="auto"/>
        </w:rPr>
        <w:t>,” which LCT Election may be in respect of one or more of clauses (a), (b) and (c) above), be deemed to be the date the definitive agreements (or other relevant definitive documentation) for such Limited Condition Transaction are entered into (the “</w:t>
      </w:r>
      <w:r>
        <w:rPr>
          <w:rFonts w:ascii="Times New Roman" w:cs="Times New Roman" w:eastAsia="Times New Roman" w:hAnsi="Times New Roman"/>
          <w:sz w:val="20"/>
          <w:szCs w:val="20"/>
          <w:i w:val="1"/>
          <w:iCs w:val="1"/>
          <w:color w:val="auto"/>
        </w:rPr>
        <w:t>LCT Test Date</w:t>
      </w:r>
      <w:r>
        <w:rPr>
          <w:rFonts w:ascii="Times New Roman" w:cs="Times New Roman" w:eastAsia="Times New Roman" w:hAnsi="Times New Roman"/>
          <w:sz w:val="20"/>
          <w:szCs w:val="20"/>
          <w:color w:val="auto"/>
        </w:rPr>
        <w:t>”).</w:t>
      </w:r>
    </w:p>
    <w:p>
      <w:pPr>
        <w:spacing w:after="0" w:line="196" w:lineRule="exact"/>
        <w:rPr>
          <w:rFonts w:ascii="Times New Roman" w:cs="Times New Roman" w:eastAsia="Times New Roman" w:hAnsi="Times New Roman"/>
          <w:sz w:val="20"/>
          <w:szCs w:val="20"/>
          <w:color w:val="auto"/>
        </w:rPr>
      </w:pPr>
    </w:p>
    <w:p>
      <w:pPr>
        <w:jc w:val="both"/>
        <w:ind w:firstLine="656"/>
        <w:spacing w:after="0" w:line="251" w:lineRule="auto"/>
        <w:tabs>
          <w:tab w:leader="none" w:pos="108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on a pro forma basis after giving effect to such Limited Condition Transaction and the other transactions to be entered into in connection therewith (including any incurrence or issuance of Indebtedness, Disqualified Equity Interests or Preferred Stock and the use of proceeds thereof), with such ratios and other provisions calculated as if such Limited Condition Transaction or other transactions had occurred at the beginning of the most recently ended period prior to the LCT Test Date for which annual or quarterly consolidated financial statements of the Issuer are available (as determined in good faith by the Issuer), the Issuer could have taken such action on the relevant LCT Test Date in compliance with the applicable ratios or other provisions, such provisions shall be deemed to have been complied with, unless an Event of Default pursuant to clauses (1), (2) and (7) (solely with respect to the Issuer) under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shall be continuing on the date such Limited Condition Transaction is consummated.</w:t>
      </w:r>
    </w:p>
    <w:p>
      <w:pPr>
        <w:spacing w:after="0" w:line="181" w:lineRule="exact"/>
        <w:rPr>
          <w:rFonts w:ascii="Times New Roman" w:cs="Times New Roman" w:eastAsia="Times New Roman" w:hAnsi="Times New Roman"/>
          <w:sz w:val="20"/>
          <w:szCs w:val="20"/>
          <w:color w:val="auto"/>
        </w:rPr>
      </w:pPr>
    </w:p>
    <w:p>
      <w:pPr>
        <w:jc w:val="both"/>
        <w:ind w:firstLine="656"/>
        <w:spacing w:after="0" w:line="250" w:lineRule="auto"/>
        <w:tabs>
          <w:tab w:leader="none" w:pos="10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avoidance of doubt, (i) if, following the LCT Test Date, any of such ratios or other provisions are exceeded or breached as a result of fluctuations in such ratio (including due to fluctuations in any components of such ratio (including due to fluctuations of the target of any Limited Condition Transaction)) or other provisions at or prior to the consummation of the relevant Limited Condition Transaction, such ratios and other provisions will not be deemed to have been exceeded or failed to have been satisfied as a result of such fluctuations solely for purposes of determining whether the Limited Condition Transaction is permitted hereunder and (ii) such ratios and compliance with such conditions shall not be tested at the time of consummation of such Limited Condition Transaction, unless on such date an Event of Default pursuant to clauses (1), (2) and (7) (solely with respect to the Issuer) under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shall be continuing. If the Issuer has made an LCT Election for any Limited Condition Transaction, then in connection with any subsequent calculation of any ratio, basket availability or compliance with any other provision hereunder on or following the relevant LCT Test Date and prior to the earliest of the date on which such Limited Condition Transaction is consummated, the date that the definitive agreement for such Limited Condition Transaction is terminated or expires without consummation of such Limited Condition Transaction, any such ratio, basket or compliance with any other provision hereunder shall be calculated on a pro forma basis assuming such Limited Condition Transaction and other transactions in connection therewith (including any incurrence or issuance of Indebtedness, Disqualified Equity Interests or preferred stock, and the use of proceeds thereof) had been consummated on the LCT Test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13" w:right="339" w:bottom="1440" w:gutter="0" w:footer="0" w:header="0"/>
        </w:sectPr>
      </w:pPr>
    </w:p>
    <w:bookmarkStart w:id="45" w:name="page46"/>
    <w:bookmarkEnd w:id="45"/>
    <w:p>
      <w:pPr>
        <w:jc w:val="both"/>
        <w:ind w:firstLine="656"/>
        <w:spacing w:after="0" w:line="261" w:lineRule="auto"/>
        <w:tabs>
          <w:tab w:leader="none" w:pos="11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Issuer may at any time withdraw any LCT Election, in which case any Indebtedness and Liens incurred in reliance on such LCT Election in accordance with the foregoing outstanding at such time, if any, shall be deemed to be incurred on the date of such withdrawal.</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Certain Compliance Determinations</w:t>
      </w:r>
      <w:r>
        <w:rPr>
          <w:rFonts w:ascii="Times New Roman" w:cs="Times New Roman" w:eastAsia="Times New Roman" w:hAnsi="Times New Roman"/>
          <w:sz w:val="20"/>
          <w:szCs w:val="20"/>
          <w:color w:val="auto"/>
        </w:rPr>
        <w:t xml:space="preserve">. For all purposes under this Indenture, the definitions of “Consolidated Net Income” and “Consolidated Cash Flow” of the Issuer and any calculations derivative thereof will give effect, as applicable, to any operating costs, expenses, taxes, fees, gains or losses attributable to the business and operations of the Issuer and its subsidiaries that are recorded in the financial statements of any Parent Company but not recorded in the financial statements of the Issuer. For the avoidance of doubt, notwithstanding the satisfaction of the Issuer’s obligations pursuant to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with the information of any Parent Company, all calculations under this Indenture shall be made with respect to the Issuer and its subsidiaries.</w:t>
      </w:r>
    </w:p>
    <w:p>
      <w:pPr>
        <w:spacing w:after="0" w:line="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THE NOTES</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2.1. </w:t>
      </w:r>
      <w:r>
        <w:rPr>
          <w:rFonts w:ascii="Times New Roman" w:cs="Times New Roman" w:eastAsia="Times New Roman" w:hAnsi="Times New Roman"/>
          <w:sz w:val="20"/>
          <w:szCs w:val="20"/>
          <w:u w:val="single" w:color="auto"/>
          <w:color w:val="auto"/>
        </w:rPr>
        <w:t>Form and Dating</w:t>
      </w:r>
      <w:r>
        <w:rPr>
          <w:rFonts w:ascii="Times New Roman" w:cs="Times New Roman" w:eastAsia="Times New Roman" w:hAnsi="Times New Roman"/>
          <w:sz w:val="20"/>
          <w:szCs w:val="20"/>
          <w:color w:val="auto"/>
        </w:rPr>
        <w:t xml:space="preserve">. The Notes shall be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The Notes may have notations, legends or endorsements required by law, stock exchange rule or usage. Each Note shall be dated the date of its authentication. The Notes will be issued in registered form, without coupons, and in minimum denominations of $2,000 and integral multiples of $1,000 in excess thereof. The registered Holder will be treated as the owner of such Note for all purposes.</w:t>
      </w:r>
    </w:p>
    <w:p>
      <w:pPr>
        <w:spacing w:after="0" w:line="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terms and provisions contained in the Notes shall constitute, and are hereby expressly made, a part of this Indenture, and the Issuer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76" w:lineRule="exact"/>
        <w:rPr>
          <w:sz w:val="20"/>
          <w:szCs w:val="20"/>
          <w:color w:val="auto"/>
        </w:rPr>
      </w:pPr>
    </w:p>
    <w:p>
      <w:pPr>
        <w:jc w:val="both"/>
        <w:ind w:firstLine="656"/>
        <w:spacing w:after="0" w:line="261" w:lineRule="auto"/>
        <w:tabs>
          <w:tab w:leader="none" w:pos="119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Notes shall be issued initially in the form of one or more Global Notes, which shall be deposited on behalf of the purchasers of the Notes represented thereby with the Note Custodian, and registered in the name of the Depositary or a nominee of the Depositary, duly executed by the Issuer and authenticated by the Trustee as hereinafter provided.</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Each Global Note shall represent such of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redemptions and transfers of interests. Any endorsement of a Global Note to reflect the amount of any increase or decrease in the amount of outstanding Notes represented thereby shall be made by the Trustee or the Note Custodian, at the direction of the Trustee, in accordance with instructions given by the Holder thereof as required by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56"/>
        <w:spacing w:after="0" w:line="251" w:lineRule="auto"/>
        <w:tabs>
          <w:tab w:leader="none" w:pos="108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Notes are being issued by the Issuer only (i) to persons reasonably believed to be “qualified institutional buyers” (as defined in Rule 144A under the Securities Act (“</w:t>
      </w:r>
      <w:r>
        <w:rPr>
          <w:rFonts w:ascii="Times New Roman" w:cs="Times New Roman" w:eastAsia="Times New Roman" w:hAnsi="Times New Roman"/>
          <w:sz w:val="20"/>
          <w:szCs w:val="20"/>
          <w:i w:val="1"/>
          <w:iCs w:val="1"/>
          <w:color w:val="auto"/>
        </w:rPr>
        <w:t>Rule 144A</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QIBs</w:t>
      </w:r>
      <w:r>
        <w:rPr>
          <w:rFonts w:ascii="Times New Roman" w:cs="Times New Roman" w:eastAsia="Times New Roman" w:hAnsi="Times New Roman"/>
          <w:sz w:val="20"/>
          <w:szCs w:val="20"/>
          <w:color w:val="auto"/>
        </w:rPr>
        <w:t>”) and (ii) in reliance on Regulation S under the Securities Act (“</w:t>
      </w:r>
      <w:r>
        <w:rPr>
          <w:rFonts w:ascii="Times New Roman" w:cs="Times New Roman" w:eastAsia="Times New Roman" w:hAnsi="Times New Roman"/>
          <w:sz w:val="20"/>
          <w:szCs w:val="20"/>
          <w:i w:val="1"/>
          <w:iCs w:val="1"/>
          <w:color w:val="auto"/>
        </w:rPr>
        <w:t>Regulation S</w:t>
      </w:r>
      <w:r>
        <w:rPr>
          <w:rFonts w:ascii="Times New Roman" w:cs="Times New Roman" w:eastAsia="Times New Roman" w:hAnsi="Times New Roman"/>
          <w:sz w:val="20"/>
          <w:szCs w:val="20"/>
          <w:color w:val="auto"/>
        </w:rPr>
        <w:t xml:space="preserve">”). After such initial issuance, Initial Notes that are Transfer Restricted Notes may be transferred to QIBs in reliance on Rule 144A, outside the United States pursuant to Regulation S, to IAIs or to the Issuer, in accordance with certain transfer restrictions. Initial Notes that are offered in reliance on Rule 144A shall be issued in the form of one or more permanent Global Notes substantially in the form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bear the Restricted Notes Legend and the Global Notes Legend (collectively, the “</w:t>
      </w:r>
      <w:r>
        <w:rPr>
          <w:rFonts w:ascii="Times New Roman" w:cs="Times New Roman" w:eastAsia="Times New Roman" w:hAnsi="Times New Roman"/>
          <w:sz w:val="20"/>
          <w:szCs w:val="20"/>
          <w:i w:val="1"/>
          <w:iCs w:val="1"/>
          <w:color w:val="auto"/>
        </w:rPr>
        <w:t>Rule 144A Global Note</w:t>
      </w:r>
      <w:r>
        <w:rPr>
          <w:rFonts w:ascii="Times New Roman" w:cs="Times New Roman" w:eastAsia="Times New Roman" w:hAnsi="Times New Roman"/>
          <w:sz w:val="20"/>
          <w:szCs w:val="20"/>
          <w:color w:val="auto"/>
        </w:rPr>
        <w:t>”), deposited with the Note Custodian, duly executed by the Issuer and authenticated by the Trustee as hereinafter provided. Initial Notes that are offered in offshore transactions in reliance on Regulation S shall be initially issued in the form of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13" w:right="339" w:bottom="1440" w:gutter="0" w:footer="0" w:header="0"/>
        </w:sectPr>
      </w:pPr>
    </w:p>
    <w:bookmarkStart w:id="46" w:name="page47"/>
    <w:bookmarkEnd w:id="46"/>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permanent Global Notes substantially in the form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bearing the Regulation S Legend and the Global Notes Legend (collectively, the “</w:t>
      </w:r>
      <w:r>
        <w:rPr>
          <w:rFonts w:ascii="Times New Roman" w:cs="Times New Roman" w:eastAsia="Times New Roman" w:hAnsi="Times New Roman"/>
          <w:sz w:val="20"/>
          <w:szCs w:val="20"/>
          <w:i w:val="1"/>
          <w:iCs w:val="1"/>
          <w:color w:val="auto"/>
        </w:rPr>
        <w:t>Regulation S Global Note</w:t>
      </w:r>
      <w:r>
        <w:rPr>
          <w:rFonts w:ascii="Times New Roman" w:cs="Times New Roman" w:eastAsia="Times New Roman" w:hAnsi="Times New Roman"/>
          <w:sz w:val="20"/>
          <w:szCs w:val="20"/>
          <w:color w:val="auto"/>
        </w:rPr>
        <w:t xml:space="preserve">”), deposited with the Note Custodian, duly executed by the Issuer and authenticated by the Trustee as hereinafter provided. One or more Global Notes substantially in the form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bear the Restricted Notes Legend and the Global Notes Legend (collectively, the “</w:t>
      </w:r>
      <w:r>
        <w:rPr>
          <w:rFonts w:ascii="Times New Roman" w:cs="Times New Roman" w:eastAsia="Times New Roman" w:hAnsi="Times New Roman"/>
          <w:sz w:val="20"/>
          <w:szCs w:val="20"/>
          <w:i w:val="1"/>
          <w:iCs w:val="1"/>
          <w:color w:val="auto"/>
        </w:rPr>
        <w:t>IAI Global Note</w:t>
      </w:r>
      <w:r>
        <w:rPr>
          <w:rFonts w:ascii="Times New Roman" w:cs="Times New Roman" w:eastAsia="Times New Roman" w:hAnsi="Times New Roman"/>
          <w:sz w:val="20"/>
          <w:szCs w:val="20"/>
          <w:color w:val="auto"/>
        </w:rPr>
        <w:t xml:space="preserve">”) shall also be issued on the Issue Date and deposited with the Depositary to accommodate transfers of beneficial interests in the Notes to IAIs subsequent to the initial distribution. To the extent CUSIP numbers are issued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the Rule 144A Global Note, the Regulation S Global Note and the IAI Global Note shall each be issued with separate CUSIP numbers. The aggregate principal amount of each Global Note may from time to time be increased or decreased by adjustments made on the records of the Note Custodian, at the direction of the Trustee, in accordance with the instructions given by the Holder thereof as required by </w:t>
      </w:r>
      <w:r>
        <w:rPr>
          <w:rFonts w:ascii="Times New Roman" w:cs="Times New Roman" w:eastAsia="Times New Roman" w:hAnsi="Times New Roman"/>
          <w:sz w:val="20"/>
          <w:szCs w:val="20"/>
          <w:u w:val="single" w:color="auto"/>
          <w:color w:val="auto"/>
        </w:rPr>
        <w:t>Section 2.6(b)</w:t>
      </w:r>
      <w:r>
        <w:rPr>
          <w:rFonts w:ascii="Times New Roman" w:cs="Times New Roman" w:eastAsia="Times New Roman" w:hAnsi="Times New Roman"/>
          <w:sz w:val="20"/>
          <w:szCs w:val="20"/>
          <w:color w:val="auto"/>
        </w:rPr>
        <w:t xml:space="preserve"> hereof. Transfers of Notes among QIBs and to or by purchasers pursuant to Regulation S shall be represented by appropriate increases and decreases to the respective amounts of the appropriate Global Notes, as more fully provided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u w:val="single" w:color="auto"/>
          <w:color w:val="auto"/>
        </w:rPr>
        <w:t xml:space="preserve">Section 2.1(b) </w:t>
      </w:r>
      <w:r>
        <w:rPr>
          <w:rFonts w:ascii="Times New Roman" w:cs="Times New Roman" w:eastAsia="Times New Roman" w:hAnsi="Times New Roman"/>
          <w:sz w:val="19"/>
          <w:szCs w:val="19"/>
          <w:color w:val="auto"/>
        </w:rPr>
        <w:t>shall apply only to Global Notes deposited with or on behalf of the Depositary.</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The Issuer shall execute and the Trustee shall, in accordance with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authenticate and deliver the Global Notes that (i) shall be registered in the name of the Depositary or the nominee of the Depositary and (ii) shall be delivered by the Trustee to the Depositary or pursuant to the Depositary’s instructions or held by the Note Custodian for the Depositary.</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2.2. </w:t>
      </w:r>
      <w:r>
        <w:rPr>
          <w:rFonts w:ascii="Times New Roman" w:cs="Times New Roman" w:eastAsia="Times New Roman" w:hAnsi="Times New Roman"/>
          <w:sz w:val="20"/>
          <w:szCs w:val="20"/>
          <w:u w:val="single" w:color="auto"/>
          <w:color w:val="auto"/>
        </w:rPr>
        <w:t>Execution and Authentication</w:t>
      </w:r>
      <w:r>
        <w:rPr>
          <w:rFonts w:ascii="Times New Roman" w:cs="Times New Roman" w:eastAsia="Times New Roman" w:hAnsi="Times New Roman"/>
          <w:sz w:val="20"/>
          <w:szCs w:val="20"/>
          <w:color w:val="auto"/>
        </w:rPr>
        <w:t>. An Officer shall sign the Notes for the Issuer by manual, facsimile or electronic signature.</w:t>
      </w: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If an Officer whose signature is on a Note no longer holds that office at the time a Note is authenticated, the Note shall nevertheless be valid.</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 Note shall not be valid until authenticated by the manual, facsimile or electronic signature of a Responsible Officer of the Trustee.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signature of a Responsible Officer of the Trustee shall be conclusive evidence that the Note has been authenticated under this Indenture.</w:t>
      </w:r>
    </w:p>
    <w:p>
      <w:pPr>
        <w:spacing w:after="0" w:line="21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Trustee shall, upon receipt of a written order of the Issuer signed by one Officer directing the Trustee to authenticate the Notes and certifying that all conditions precedent to the issuance of the Notes contained herein have been complied with and receipt of an Opinion of Counsel, authenticate Notes for original issue in the aggregate principal amount stated in such written order.</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Trustee may appoint an authenticating agent reasonably acceptable to the Issuer to authenticate Notes. Unless limited by the terms of such appointment, an authenticating agent may authenticate Notes whenever the Trustee may do so. Each reference in this Indenture to authentication by the Trustee includes authentication by such agent or agents. An authenticating agent has the same rights as an Agent to deal with Holders or the Issuer or an Affiliate of the Issuer.</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2.3. </w:t>
      </w:r>
      <w:r>
        <w:rPr>
          <w:rFonts w:ascii="Times New Roman" w:cs="Times New Roman" w:eastAsia="Times New Roman" w:hAnsi="Times New Roman"/>
          <w:sz w:val="20"/>
          <w:szCs w:val="20"/>
          <w:u w:val="single" w:color="auto"/>
          <w:color w:val="auto"/>
        </w:rPr>
        <w:t>Registrar; Paying Agent</w:t>
      </w:r>
      <w:r>
        <w:rPr>
          <w:rFonts w:ascii="Times New Roman" w:cs="Times New Roman" w:eastAsia="Times New Roman" w:hAnsi="Times New Roman"/>
          <w:sz w:val="20"/>
          <w:szCs w:val="20"/>
          <w:color w:val="auto"/>
        </w:rPr>
        <w:t>. The Issuer shall maintain (i) an office or agency where Notes may be presented for registration of transfer or for exchange (“</w:t>
      </w:r>
      <w:r>
        <w:rPr>
          <w:rFonts w:ascii="Times New Roman" w:cs="Times New Roman" w:eastAsia="Times New Roman" w:hAnsi="Times New Roman"/>
          <w:sz w:val="20"/>
          <w:szCs w:val="20"/>
          <w:i w:val="1"/>
          <w:iCs w:val="1"/>
          <w:color w:val="auto"/>
        </w:rPr>
        <w:t>Registrar</w:t>
      </w:r>
      <w:r>
        <w:rPr>
          <w:rFonts w:ascii="Times New Roman" w:cs="Times New Roman" w:eastAsia="Times New Roman" w:hAnsi="Times New Roman"/>
          <w:sz w:val="20"/>
          <w:szCs w:val="20"/>
          <w:color w:val="auto"/>
        </w:rPr>
        <w:t>”) and (ii) an office or agency where Notes may be presented for payment to a Paying Agent. The Registrar shall keep a register of the Notes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and/or any Restricted Subsidiary may act as Paying Agent or 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13" w:right="339" w:bottom="1440" w:gutter="0" w:footer="0" w:header="0"/>
        </w:sectPr>
      </w:pPr>
    </w:p>
    <w:bookmarkStart w:id="47" w:name="page48"/>
    <w:bookmarkEnd w:id="47"/>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The Issuer shall notify the Trustee in writing, and the Trustee shall notify the Holders, of the name and address of any Agent not a party to this Indenture. The Issuer shall enter into an appropriate agency agreement with any Agent not a party to this Indenture. If the Issuer fails to appoint or maintain a Registrar or Paying Agent, or fails to give the foregoing notice, the Trustee shall act as such, and shall be entitled to appropriate compensation in accordance with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Issuer initially appoints the Trustee to act as the Registrar and Paying Agent, at its Corporate Trust Office and its address at 66 Hudson Boulevard East, 5th Floor, New York, NY 10001.</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Issuer initially appoints DTC to act as the Depositary with respect to the Global Notes.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2.4. </w:t>
      </w:r>
      <w:r>
        <w:rPr>
          <w:rFonts w:ascii="Times New Roman" w:cs="Times New Roman" w:eastAsia="Times New Roman" w:hAnsi="Times New Roman"/>
          <w:sz w:val="20"/>
          <w:szCs w:val="20"/>
          <w:u w:val="single" w:color="auto"/>
          <w:color w:val="auto"/>
        </w:rPr>
        <w:t>Paying Agent to Hold Money in Trust</w:t>
      </w:r>
      <w:r>
        <w:rPr>
          <w:rFonts w:ascii="Times New Roman" w:cs="Times New Roman" w:eastAsia="Times New Roman" w:hAnsi="Times New Roman"/>
          <w:sz w:val="20"/>
          <w:szCs w:val="20"/>
          <w:color w:val="auto"/>
        </w:rPr>
        <w:t xml:space="preserve">. The Issuer shall require each Paying Agent other than the Trustee to agree in writing that the Paying Agent shall hold in trust for the benefit of the Holders or the Trustee all money held by the Paying Agent for the payment of principal or premium, if any, or interest on the Notes, and shall notify the Trustee in writing of any Default by the Issuer in making any such payment. While any such Default continues, the Trustee may require a Paying Agent to pay to the Trustee all money held by it in trust for the benefit of the Holders or the Trustee. The Issuer at any time may require a Paying Agent to pay all money held by it in trust for the benefit of the Holders or the Trustee to the Trustee. Upon payment over to the Trustee, the Paying Agent (if other than the Issuer or any of its Subsidiaries) shall have no further liability for such money. If the Issuer or any of its Subsidiaries acts as Paying Agent, it shall segregate and hold in a separate trust fund for the benefit of the Holders all money held by it as Paying Agent. Upon the occurrence of any of the events specified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the Trustee shall serve as Paying Agent for the Notes.</w:t>
      </w:r>
    </w:p>
    <w:p>
      <w:pPr>
        <w:spacing w:after="0" w:line="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2.5. </w:t>
      </w:r>
      <w:r>
        <w:rPr>
          <w:rFonts w:ascii="Times New Roman" w:cs="Times New Roman" w:eastAsia="Times New Roman" w:hAnsi="Times New Roman"/>
          <w:sz w:val="20"/>
          <w:szCs w:val="20"/>
          <w:u w:val="single" w:color="auto"/>
          <w:color w:val="auto"/>
        </w:rPr>
        <w:t>Holder Lists</w:t>
      </w:r>
      <w:r>
        <w:rPr>
          <w:rFonts w:ascii="Times New Roman" w:cs="Times New Roman" w:eastAsia="Times New Roman" w:hAnsi="Times New Roman"/>
          <w:sz w:val="20"/>
          <w:szCs w:val="20"/>
          <w:color w:val="auto"/>
        </w:rPr>
        <w:t>. The Trustee shall preserve in as current a form as is reasonably practicable the most recent list available to it of the names and addresses of all Holders. If the Trustee is not the Registrar, the Issuer shall furnish to the Trustee at least seven Business Days before each interest payment date and at such other times as the Trustee may request in writing, a list in such form and as of such date as the Trustee may reasonably require of the names and addresses of the Holders.</w:t>
      </w:r>
    </w:p>
    <w:p>
      <w:pPr>
        <w:spacing w:after="0" w:line="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2.6.</w:t>
      </w:r>
      <w:r>
        <w:rPr>
          <w:sz w:val="20"/>
          <w:szCs w:val="20"/>
          <w:color w:val="auto"/>
        </w:rPr>
        <w:tab/>
      </w:r>
      <w:r>
        <w:rPr>
          <w:rFonts w:ascii="Times New Roman" w:cs="Times New Roman" w:eastAsia="Times New Roman" w:hAnsi="Times New Roman"/>
          <w:sz w:val="19"/>
          <w:szCs w:val="19"/>
          <w:u w:val="single" w:color="auto"/>
          <w:color w:val="auto"/>
        </w:rPr>
        <w:t>Book-Entry Provisions for Global Notes</w:t>
      </w:r>
      <w:r>
        <w:rPr>
          <w:rFonts w:ascii="Times New Roman" w:cs="Times New Roman" w:eastAsia="Times New Roman" w:hAnsi="Times New Roman"/>
          <w:sz w:val="19"/>
          <w:szCs w:val="19"/>
          <w:color w:val="auto"/>
        </w:rPr>
        <w:t>.</w:t>
      </w:r>
    </w:p>
    <w:p>
      <w:pPr>
        <w:spacing w:after="0" w:line="6" w:lineRule="exact"/>
        <w:rPr>
          <w:sz w:val="20"/>
          <w:szCs w:val="20"/>
          <w:color w:val="auto"/>
        </w:rPr>
      </w:pPr>
    </w:p>
    <w:p>
      <w:pPr>
        <w:jc w:val="both"/>
        <w:ind w:firstLine="656"/>
        <w:spacing w:after="0" w:line="256" w:lineRule="auto"/>
        <w:tabs>
          <w:tab w:leader="none" w:pos="108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Global Note shall (i) be deposited with the Trustee as custodian for DTC, (ii) be registered in the name of Cede &amp; Co., as nominee of DTC, and (iii) bear the Global Note legends as required by </w:t>
      </w:r>
      <w:r>
        <w:rPr>
          <w:rFonts w:ascii="Times New Roman" w:cs="Times New Roman" w:eastAsia="Times New Roman" w:hAnsi="Times New Roman"/>
          <w:sz w:val="20"/>
          <w:szCs w:val="20"/>
          <w:u w:val="single" w:color="auto"/>
          <w:color w:val="auto"/>
        </w:rPr>
        <w:t>Section 2.6(e)</w:t>
      </w:r>
      <w:r>
        <w:rPr>
          <w:rFonts w:ascii="Times New Roman" w:cs="Times New Roman" w:eastAsia="Times New Roman" w:hAnsi="Times New Roman"/>
          <w:sz w:val="20"/>
          <w:szCs w:val="20"/>
          <w:color w:val="auto"/>
        </w:rPr>
        <w:t>. Ownership of beneficial interest in each Global Note shall be limited to Participants in the Depositary or persons who hold interests through Participants.</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Members of, or Participants in, the Depositary shall have no rights under this Indenture with respect to any Global Note held on their behalf by the Depositary, or the Note Custodian, or under such Global Note, and the Depositary may be treated by the Issuer, and the Trustee or any Agent and any of their respective agents, as the absolute owner of such Global Note for all purposes whatsoever. Notwithstanding the foregoing, nothing herein shall prevent the Issuer, the Trustee or any Agent or their respective agents from giving effect to any written certification, proxy or other authorization furnished by the Depositary or impair, as between the Depositary and its Participants, the operation of customary practices governing the exercise of the rights of an owner of a beneficial interest in any Global Note.</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Neither the Trustee nor any Agent shall have any responsibility or obligation to any Holder that is a member of (or a Participant in) the Depositary or any other Person with respect to the accuracy of the records of the Depositary (or its nominee) or of any member or Participant thereof, with respect to any ownership interest in the Notes or with respect to the delivery of any notice (including any notice of redemption) or the payment of any amount or delivery of any Notes (or other security or property) under or with respect to the Notes. The Trustee and any Agent may rely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13" w:right="339" w:bottom="1440" w:gutter="0" w:footer="0" w:header="0"/>
        </w:sectPr>
      </w:pPr>
    </w:p>
    <w:bookmarkStart w:id="48" w:name="page49"/>
    <w:bookmarkEnd w:id="48"/>
    <w:p>
      <w:pPr>
        <w:spacing w:after="0" w:line="283" w:lineRule="auto"/>
        <w:rPr>
          <w:sz w:val="20"/>
          <w:szCs w:val="20"/>
          <w:color w:val="auto"/>
        </w:rPr>
      </w:pPr>
      <w:r>
        <w:rPr>
          <w:rFonts w:ascii="Times New Roman" w:cs="Times New Roman" w:eastAsia="Times New Roman" w:hAnsi="Times New Roman"/>
          <w:sz w:val="20"/>
          <w:szCs w:val="20"/>
          <w:color w:val="auto"/>
        </w:rPr>
        <w:t>shall be fully protected in relying) upon information furnished by the Depositary with respect to its members, Participants and any Beneficial Owners in the Notes.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Neither the Trustee nor any Agent shall have any responsibility for any actions taken or not taken by the Depositary.</w:t>
      </w:r>
    </w:p>
    <w:p>
      <w:pPr>
        <w:spacing w:after="0" w:line="229" w:lineRule="exact"/>
        <w:rPr>
          <w:sz w:val="20"/>
          <w:szCs w:val="20"/>
          <w:color w:val="auto"/>
        </w:rPr>
      </w:pPr>
    </w:p>
    <w:p>
      <w:pPr>
        <w:jc w:val="both"/>
        <w:ind w:firstLine="656"/>
        <w:spacing w:after="0" w:line="251" w:lineRule="auto"/>
        <w:tabs>
          <w:tab w:leader="none" w:pos="114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Transfers of a Global Note shall be limited to transfers of such Global Note in whole, but not in part, to the Depositary, its successors or their respective nominees. Interests of Beneficial Owners in a Global Note may be transferred 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the rules and procedures of the Depositary. In addition, certificated Notes shall be transferred to Beneficial Owners in exchange for their beneficial interests only if (i) the Depositary notifies the Issuer that it is unwilling or unable to continue as Depositary for the Global Notes or the Depositary ceases to be a “clearing agency” registered under the Exchange Act and, in each case, a successor depositary is not appointed by the Issuer within 90 days of such notice, (ii) an Event of Default of which a Responsible Officer of the Trustee has actual notice has occurred and is continuing and the Registrar has received a request from any Holder of a Global Note to issue such certificated Notes or (iii) the Issuer, in its sole discretion, notifies the Trustee that it elects to cause the issuance of certificated Notes.</w:t>
      </w:r>
    </w:p>
    <w:p>
      <w:pPr>
        <w:spacing w:after="0" w:line="195" w:lineRule="exact"/>
        <w:rPr>
          <w:rFonts w:ascii="Times New Roman" w:cs="Times New Roman" w:eastAsia="Times New Roman" w:hAnsi="Times New Roman"/>
          <w:sz w:val="20"/>
          <w:szCs w:val="20"/>
          <w:color w:val="auto"/>
        </w:rPr>
      </w:pPr>
    </w:p>
    <w:p>
      <w:pPr>
        <w:jc w:val="both"/>
        <w:ind w:right="20" w:firstLine="656"/>
        <w:spacing w:after="0" w:line="254" w:lineRule="auto"/>
        <w:tabs>
          <w:tab w:leader="none" w:pos="106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the transfer of an entire Global Note to Beneficial Owners pursuant to </w:t>
      </w:r>
      <w:r>
        <w:rPr>
          <w:rFonts w:ascii="Times New Roman" w:cs="Times New Roman" w:eastAsia="Times New Roman" w:hAnsi="Times New Roman"/>
          <w:sz w:val="20"/>
          <w:szCs w:val="20"/>
          <w:u w:val="single" w:color="auto"/>
          <w:color w:val="auto"/>
        </w:rPr>
        <w:t>Section 2.6(b)</w:t>
      </w:r>
      <w:r>
        <w:rPr>
          <w:rFonts w:ascii="Times New Roman" w:cs="Times New Roman" w:eastAsia="Times New Roman" w:hAnsi="Times New Roman"/>
          <w:sz w:val="20"/>
          <w:szCs w:val="20"/>
          <w:color w:val="auto"/>
        </w:rPr>
        <w:t>, such Global Note shall be deemed to be surrendered to the Trustee for cancellation, and the Issuer shall execute, and the Trustee shall authenticate and deliver to each Beneficial Owner identified by the Depositary in exchange for its beneficial interest in such Global Note an equal aggregate principal amount of certificated Notes of authorized denominations.</w:t>
      </w:r>
    </w:p>
    <w:p>
      <w:pPr>
        <w:spacing w:after="0" w:line="187" w:lineRule="exact"/>
        <w:rPr>
          <w:rFonts w:ascii="Times New Roman" w:cs="Times New Roman" w:eastAsia="Times New Roman" w:hAnsi="Times New Roman"/>
          <w:sz w:val="20"/>
          <w:szCs w:val="20"/>
          <w:color w:val="auto"/>
        </w:rPr>
      </w:pPr>
    </w:p>
    <w:p>
      <w:pPr>
        <w:ind w:firstLine="656"/>
        <w:spacing w:after="0" w:line="283" w:lineRule="auto"/>
        <w:tabs>
          <w:tab w:leader="none" w:pos="117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registered Holder of a Global Note may grant proxies and otherwise authorize any Person, including Participants and Persons that may hold interests through Participants, to take any action which a Holder is entitled to take under this Indenture or the Notes.</w:t>
      </w:r>
    </w:p>
    <w:p>
      <w:pPr>
        <w:spacing w:after="0" w:line="146"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Global Note shall bear the Global Note Legend on the face thereof.</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08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such time as all beneficial interests in Global Notes have been exchanged for certificated Notes, redeemed, repurchased or cancelled, all Global Notes shall be returned to or retained and cancelled by the Trustee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At any time prior to such cancellation, if any beneficial interest in a Global Note is exchanged for certificated Notes, redeemed, repurchased or cancelled, the principal amount of Notes represented by such Global Note shall be reduced accordingly and an endorsement shall be made on such Global Note, by the Trustee or the Note Custodian, at the direction of the Trustee, to reflect such reduction.</w:t>
      </w:r>
    </w:p>
    <w:p>
      <w:pPr>
        <w:spacing w:after="0" w:line="19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Provisions Relating to Transfers and Exchanges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60" w:firstLine="644"/>
        <w:spacing w:after="0" w:line="283" w:lineRule="auto"/>
        <w:tabs>
          <w:tab w:leader="none" w:pos="180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permit registrations of transfers and exchanges, the Issuer shall execute and the Trustee shall authenticate Global Notes and certificated Notes at the Registrar’s request.</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02"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service charge shall be made to a Holder for any registration of transfer or exchange, but the Issuer may require payment of a sum sufficient to cover any stamp or transfer tax or similar governmental charge payable in connection therewith (other than any such stamp or transfer taxes or similar governmental charge payable upon exchange or transfer pursuant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9.4</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57"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Global Notes and certificated Notes issued upon any registration of transfer or exchange of Global Notes or certificated Notes shall be the valid obligations of the Issuer, evidencing the same debt, and entitled to the same benefits under this Indenture,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13"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20"/>
          <w:szCs w:val="20"/>
          <w:color w:val="auto"/>
        </w:rPr>
        <w:t>Global Notes (or interests therein) or certificated Notes surrendered upon such registration of transfer or exchange.</w:t>
      </w:r>
    </w:p>
    <w:p>
      <w:pPr>
        <w:spacing w:after="0" w:line="229" w:lineRule="exact"/>
        <w:rPr>
          <w:sz w:val="20"/>
          <w:szCs w:val="20"/>
          <w:color w:val="auto"/>
        </w:rPr>
      </w:pPr>
    </w:p>
    <w:p>
      <w:pPr>
        <w:jc w:val="both"/>
        <w:ind w:left="660" w:firstLine="644"/>
        <w:spacing w:after="0" w:line="253" w:lineRule="auto"/>
        <w:tabs>
          <w:tab w:leader="none" w:pos="1759"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Issuer, the Trustee or the Registrar is required (A) to issue, to register the transfer of or to exchange Notes during a period beginning at the opening of 15 days before the day of any selection of Notes for redemption and ending at the close of business on the day of such selection, (B) to register the transfer of or to exchange any Note so selected for redemption in whole or in part, except the unredeemed portion of any Note being redeemed in part, or (C) to register the transfer of or to exchange a Note between a record date and the next succeeding interest payment date.</w:t>
      </w:r>
    </w:p>
    <w:p>
      <w:pPr>
        <w:spacing w:after="0" w:line="191"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5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01"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shall authenticate Global Notes and certificated Notes in accordance with the provisions of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Except as provided in </w:t>
      </w:r>
      <w:r>
        <w:rPr>
          <w:rFonts w:ascii="Times New Roman" w:cs="Times New Roman" w:eastAsia="Times New Roman" w:hAnsi="Times New Roman"/>
          <w:sz w:val="20"/>
          <w:szCs w:val="20"/>
          <w:u w:val="single" w:color="auto"/>
          <w:color w:val="auto"/>
        </w:rPr>
        <w:t>Section 2.6(b)</w:t>
      </w:r>
      <w:r>
        <w:rPr>
          <w:rFonts w:ascii="Times New Roman" w:cs="Times New Roman" w:eastAsia="Times New Roman" w:hAnsi="Times New Roman"/>
          <w:sz w:val="20"/>
          <w:szCs w:val="20"/>
          <w:color w:val="auto"/>
        </w:rPr>
        <w:t>, neither the Trustee nor the Registrar shall authenticate or deliver any certificated Note in exchange for a Global Note.</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3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Holder agrees to indemnify the Issuer and the Trustee against any liability that may result from the transfer, exchange or assignment of such Holder’s Note in violation of any provision of this Indenture and/or applicable United States federal or state securities law.</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769"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Trustee nor any Agent shall have any obligation or duty to monitor, determine or inquire as to compliance with any restrictions on transfer imposed under this Indenture or under applicable law with respect to any transfer of any interest in any Note (including any transfers between or among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90"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37"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proposed exchange of a certificated Note for a Global Note, the Issuer or the Depositary shall be required to provide or cause to be provided to the Trustee all information necessary to allow the Trustee to comply with any applicable tax reporting obligations, including without limitation any cost basis reporting obligations under Section 6045 of the Code. The Trustee may rely on information provided to it and shall have no responsibility to verify or ensure the accuracy of such information.</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2.7. </w:t>
      </w:r>
      <w:r>
        <w:rPr>
          <w:rFonts w:ascii="Times New Roman" w:cs="Times New Roman" w:eastAsia="Times New Roman" w:hAnsi="Times New Roman"/>
          <w:sz w:val="20"/>
          <w:szCs w:val="20"/>
          <w:u w:val="single" w:color="auto"/>
          <w:color w:val="auto"/>
        </w:rPr>
        <w:t>Replacement Notes</w:t>
      </w:r>
      <w:r>
        <w:rPr>
          <w:rFonts w:ascii="Times New Roman" w:cs="Times New Roman" w:eastAsia="Times New Roman" w:hAnsi="Times New Roman"/>
          <w:sz w:val="20"/>
          <w:szCs w:val="20"/>
          <w:color w:val="auto"/>
        </w:rPr>
        <w:t>. If any mutilated Note is surrendered to the Trustee, or the Issuer and the Trustee receive evidence to their satisfaction of the destruction, loss or theft of any Note, the Issuer shall issue and the Trustee, upon the written order of the Issuer signed by an Officer of the Issuer, shall authenticate a replacement Note if the Trustee’s requirements are met. An indemnity bond must be supplied by the Holder that is sufficient in the judgment of the Trustee and the Issuer to protect the Issuer, the Trustee, any Agent and any authenticating agent from any loss that any of them may suffer if a Note is replaced. The Issuer, the Trustee and the Agents may charge for their expenses in replacing a Note.</w:t>
      </w:r>
    </w:p>
    <w:p>
      <w:pPr>
        <w:spacing w:after="0" w:line="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Every replacement Note is an additional obligation of the Issuer and shall be entitled to all of the benefits of this Indenture equally and proportionately with all other Notes duly issued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13" w:right="339" w:bottom="1440" w:gutter="0" w:footer="0" w:header="0"/>
        </w:sectPr>
      </w:pPr>
    </w:p>
    <w:bookmarkStart w:id="50" w:name="page51"/>
    <w:bookmarkEnd w:id="50"/>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2.8. </w:t>
      </w:r>
      <w:r>
        <w:rPr>
          <w:rFonts w:ascii="Times New Roman" w:cs="Times New Roman" w:eastAsia="Times New Roman" w:hAnsi="Times New Roman"/>
          <w:sz w:val="20"/>
          <w:szCs w:val="20"/>
          <w:u w:val="single" w:color="auto"/>
          <w:color w:val="auto"/>
        </w:rPr>
        <w:t>Outstanding Notes</w:t>
      </w:r>
      <w:r>
        <w:rPr>
          <w:rFonts w:ascii="Times New Roman" w:cs="Times New Roman" w:eastAsia="Times New Roman" w:hAnsi="Times New Roman"/>
          <w:sz w:val="20"/>
          <w:szCs w:val="20"/>
          <w:color w:val="auto"/>
        </w:rPr>
        <w:t xml:space="preserve">. The Notes outstanding at any time are all the Notes authenticated by the Trustee except for those cancelled by it, those delivered to it for cancellation, those reductions in the interest in a Global Note effected by the Trustee in accordance with the provisions hereof, and those described in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as not outstanding. Except as set forth in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a Note does not cease to be outstanding because the Issuer or an Affiliate of the Issuer holds the Note.</w:t>
      </w:r>
    </w:p>
    <w:p>
      <w:pPr>
        <w:spacing w:after="0" w:line="1"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20"/>
          <w:szCs w:val="20"/>
          <w:color w:val="auto"/>
        </w:rPr>
        <w:t xml:space="preserve">If a Note is replaced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it ceases to be outstanding unless the Trustee receives proof satisfactory to it that the replaced Note is held by a protected purchaser.</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the Paying Agent (other than the Issuer, a Subsidiary or an Affiliate of any thereof) holds, on any payment date, money sufficient to pay the amounts under the Notes payable on that date, then on and after that date such Notes shall be deemed to be no longer outstanding and shall cease to accrue interest.</w:t>
      </w:r>
    </w:p>
    <w:p>
      <w:pPr>
        <w:spacing w:after="0" w:line="1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2.9. </w:t>
      </w:r>
      <w:r>
        <w:rPr>
          <w:rFonts w:ascii="Times New Roman" w:cs="Times New Roman" w:eastAsia="Times New Roman" w:hAnsi="Times New Roman"/>
          <w:sz w:val="20"/>
          <w:szCs w:val="20"/>
          <w:u w:val="single" w:color="auto"/>
          <w:color w:val="auto"/>
        </w:rPr>
        <w:t>Treasury Notes</w:t>
      </w:r>
      <w:r>
        <w:rPr>
          <w:rFonts w:ascii="Times New Roman" w:cs="Times New Roman" w:eastAsia="Times New Roman" w:hAnsi="Times New Roman"/>
          <w:sz w:val="20"/>
          <w:szCs w:val="20"/>
          <w:color w:val="auto"/>
        </w:rPr>
        <w:t>. In determining whether the Holders of the required aggregate principal amount of Notes have concurred in any direction, waiver or consent, Notes owned by the Issuer or by any Affiliate of the Issuer shall be considered as though not outstanding, except that for the purposes of determining whether the Trustee shall be protected in relying on any such direction, waiver or consent, only Notes of which a Responsible Officer of the Trustee has written notice as being so owned shall be so disregarded. Notwithstanding the foregoing, Notes that are to be acquired by the Issuer or an Affiliate of the Issuer pursuant to an exchange offer, tender offer or other agreement shall not be deemed to be owned by such entity until legal title to such Notes passes to such entity.</w:t>
      </w:r>
    </w:p>
    <w:p>
      <w:pPr>
        <w:spacing w:after="0" w:line="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2.10.</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2.11. </w:t>
      </w:r>
      <w:r>
        <w:rPr>
          <w:rFonts w:ascii="Times New Roman" w:cs="Times New Roman" w:eastAsia="Times New Roman" w:hAnsi="Times New Roman"/>
          <w:sz w:val="20"/>
          <w:szCs w:val="20"/>
          <w:u w:val="single" w:color="auto"/>
          <w:color w:val="auto"/>
        </w:rPr>
        <w:t>Cancellation</w:t>
      </w:r>
      <w:r>
        <w:rPr>
          <w:rFonts w:ascii="Times New Roman" w:cs="Times New Roman" w:eastAsia="Times New Roman" w:hAnsi="Times New Roman"/>
          <w:sz w:val="20"/>
          <w:szCs w:val="20"/>
          <w:color w:val="auto"/>
        </w:rPr>
        <w:t xml:space="preserve">. The Issuer at any time may deliver to the Trustee for cancellation any Notes previously authenticated and delivered hereunder or which the Issuer may have acquired in any manner whatsoever, and all Notes so delivered shall be promptly cancelled by the Trustee. All Notes surrendered for registration of transfer, exchange or payment, if surrendered to any Person other than the Trustee, shall be delivered to the Trustee. The Trustee and no one else shall cancel all Notes surrendered for registration of transfer, exchange, payment, replacement or cancellation. Subject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the Issuer may not issue new Notes to replace Notes that it has redeemed or paid or that have been delivered to the Trustee for cancellation. All cancelled Notes held by the Trustee shall be disposed of in accordance with its retention policy then in effect, and certification of their disposal delivered to the Issuer upon its written request therefor.</w:t>
      </w:r>
    </w:p>
    <w:p>
      <w:pPr>
        <w:spacing w:after="0" w:line="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2.12. </w:t>
      </w:r>
      <w:r>
        <w:rPr>
          <w:rFonts w:ascii="Times New Roman" w:cs="Times New Roman" w:eastAsia="Times New Roman" w:hAnsi="Times New Roman"/>
          <w:sz w:val="20"/>
          <w:szCs w:val="20"/>
          <w:u w:val="single" w:color="auto"/>
          <w:color w:val="auto"/>
        </w:rPr>
        <w:t>Defaulted Interest</w:t>
      </w:r>
      <w:r>
        <w:rPr>
          <w:rFonts w:ascii="Times New Roman" w:cs="Times New Roman" w:eastAsia="Times New Roman" w:hAnsi="Times New Roman"/>
          <w:sz w:val="20"/>
          <w:szCs w:val="20"/>
          <w:color w:val="auto"/>
        </w:rPr>
        <w:t xml:space="preserve">. If the Issuer defaults in a payment of interest on the Notes, it shall pay the defaulted interest in any lawful manner plus, to the extent lawful, interest payable on the defaulted interest, to the Persons who are Holders on a subsequent special record date, which date shall be the earliest practicable date but in all events at least five Business Days prior to the payment date, in each case at the rate provided in the Notes and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The Issuer shall fix or cause to be fixed each such special record date and payment date and shall promptly thereafter notify the Trustee of any such date. At least 15 days before the special record date, the Issuer (or, at the request of the Issuer, the Trustee, in the name and at the expense of the Issuer) shall mail or cause to be mailed to Holders a notice that states the special record date, the related payment date and the amount of such interest to be paid. The Trustee will have no duty whatsoever to determine whether any defaulted interest is payable or the amount thereof. Notwithstanding the foregoing, if the Issuer pays the defaulted interest prior to the date that is 30 days after the date of default in payment of interest, no special record date will be set and payment will be made to the Holders as of the original record date.</w:t>
      </w:r>
    </w:p>
    <w:p>
      <w:pPr>
        <w:spacing w:after="0" w:line="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2.13. </w:t>
      </w:r>
      <w:r>
        <w:rPr>
          <w:rFonts w:ascii="Times New Roman" w:cs="Times New Roman" w:eastAsia="Times New Roman" w:hAnsi="Times New Roman"/>
          <w:sz w:val="20"/>
          <w:szCs w:val="20"/>
          <w:u w:val="single" w:color="auto"/>
          <w:color w:val="auto"/>
        </w:rPr>
        <w:t>Computation of Interest</w:t>
      </w:r>
      <w:r>
        <w:rPr>
          <w:rFonts w:ascii="Times New Roman" w:cs="Times New Roman" w:eastAsia="Times New Roman" w:hAnsi="Times New Roman"/>
          <w:sz w:val="20"/>
          <w:szCs w:val="20"/>
          <w:color w:val="auto"/>
        </w:rPr>
        <w:t>. Interest, if any, on the Notes shall be computed on the basis of a 360-day year comprised of twelve 30-day months.</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2.14. </w:t>
      </w:r>
      <w:r>
        <w:rPr>
          <w:rFonts w:ascii="Times New Roman" w:cs="Times New Roman" w:eastAsia="Times New Roman" w:hAnsi="Times New Roman"/>
          <w:sz w:val="20"/>
          <w:szCs w:val="20"/>
          <w:u w:val="single" w:color="auto"/>
          <w:color w:val="auto"/>
        </w:rPr>
        <w:t>CUSIP Number</w:t>
      </w:r>
      <w:r>
        <w:rPr>
          <w:rFonts w:ascii="Times New Roman" w:cs="Times New Roman" w:eastAsia="Times New Roman" w:hAnsi="Times New Roman"/>
          <w:sz w:val="20"/>
          <w:szCs w:val="20"/>
          <w:color w:val="auto"/>
        </w:rPr>
        <w:t xml:space="preserve">. The Issuer in issuing the Notes may use a “CUSIP” number, and if it does so, the Trustee shall use the CUSIP number in notices of redemption or exchange as a convenience to Holders;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notice may state that no representation is made as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13" w:right="339" w:bottom="1440" w:gutter="0" w:footer="0" w:header="0"/>
        </w:sectPr>
      </w:pPr>
    </w:p>
    <w:bookmarkStart w:id="51" w:name="page52"/>
    <w:bookmarkEnd w:id="51"/>
    <w:p>
      <w:pPr>
        <w:jc w:val="both"/>
        <w:spacing w:after="0" w:line="254" w:lineRule="auto"/>
        <w:rPr>
          <w:sz w:val="20"/>
          <w:szCs w:val="20"/>
          <w:color w:val="auto"/>
        </w:rPr>
      </w:pPr>
      <w:r>
        <w:rPr>
          <w:rFonts w:ascii="Times New Roman" w:cs="Times New Roman" w:eastAsia="Times New Roman" w:hAnsi="Times New Roman"/>
          <w:sz w:val="20"/>
          <w:szCs w:val="20"/>
          <w:color w:val="auto"/>
        </w:rPr>
        <w:t>the correctness or accuracy of the CUSIP number printed in the notice or on the Notes and that reliance may be placed only on the other identification numbers printed on the Notes, and any such redemption or exchange shall not be affected by any defect in or omission of such numbers. The Issuer shall promptly notify the Trustee in writing of any change in any CUSIP number.</w:t>
      </w:r>
    </w:p>
    <w:p>
      <w:pPr>
        <w:spacing w:after="0" w:line="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2.15. </w:t>
      </w:r>
      <w:r>
        <w:rPr>
          <w:rFonts w:ascii="Times New Roman" w:cs="Times New Roman" w:eastAsia="Times New Roman" w:hAnsi="Times New Roman"/>
          <w:sz w:val="20"/>
          <w:szCs w:val="20"/>
          <w:u w:val="single" w:color="auto"/>
          <w:color w:val="auto"/>
        </w:rPr>
        <w:t>Special Transfer Provisions</w:t>
      </w:r>
      <w:r>
        <w:rPr>
          <w:rFonts w:ascii="Times New Roman" w:cs="Times New Roman" w:eastAsia="Times New Roman" w:hAnsi="Times New Roman"/>
          <w:sz w:val="20"/>
          <w:szCs w:val="20"/>
          <w:color w:val="auto"/>
        </w:rPr>
        <w:t>. Each Note issued pursuant to an exemption from registration under the Securities Act (other than in reliance on Regulation S) will constitute a Transfer Restricted Note and be required to bear the Restricted Notes Legend until the date that is six months after the later of the date of original issue and the last date on which the Issuer or any affiliate (within the meaning of Rule 405 under the Securities Act) of the Issuer was the owner of such Notes (or any predecessor thereto), unless and until such Transfer Restricted Note is transferred or exchanged pursuant to an effective registration statement under the Securities Act.</w:t>
      </w:r>
    </w:p>
    <w:p>
      <w:pPr>
        <w:spacing w:after="0" w:line="5" w:lineRule="exact"/>
        <w:rPr>
          <w:sz w:val="20"/>
          <w:szCs w:val="20"/>
          <w:color w:val="auto"/>
        </w:rPr>
      </w:pPr>
    </w:p>
    <w:p>
      <w:pPr>
        <w:ind w:right="20" w:firstLine="656"/>
        <w:spacing w:after="0" w:line="253" w:lineRule="auto"/>
        <w:tabs>
          <w:tab w:leader="none" w:pos="114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Transfers to QIBs</w:t>
      </w:r>
      <w:r>
        <w:rPr>
          <w:rFonts w:ascii="Times New Roman" w:cs="Times New Roman" w:eastAsia="Times New Roman" w:hAnsi="Times New Roman"/>
          <w:sz w:val="20"/>
          <w:szCs w:val="20"/>
          <w:color w:val="auto"/>
        </w:rPr>
        <w:t>. The following provisions shall apply with respect to the registration of any proposed transfer of a Note issued in reliance on Regulation S to a QIB:</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22"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Registrar shall register the transfer of a Note issued in reliance on Regulation S by a Holder to a QIB if such transfer is being made by a proposed transferor who has provided the Registrar with (a) an appropriately completed certificate of transfer in the form attached to the Note and (b) a certificate substantially in the form set forth in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from the proposed transferor;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letter required by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only be required prior to the expiration of the Restricted Period.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22"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proposed transferee is a Participant and the Note to be transferred consists of an interest in the Regulation S Global Note, upon receipt by the Registrar of (x) the items required by </w:t>
      </w:r>
      <w:r>
        <w:rPr>
          <w:rFonts w:ascii="Times New Roman" w:cs="Times New Roman" w:eastAsia="Times New Roman" w:hAnsi="Times New Roman"/>
          <w:sz w:val="20"/>
          <w:szCs w:val="20"/>
          <w:u w:val="single" w:color="auto"/>
          <w:color w:val="auto"/>
        </w:rPr>
        <w:t>paragraph 2.15(a)(1)</w:t>
      </w:r>
      <w:r>
        <w:rPr>
          <w:rFonts w:ascii="Times New Roman" w:cs="Times New Roman" w:eastAsia="Times New Roman" w:hAnsi="Times New Roman"/>
          <w:sz w:val="20"/>
          <w:szCs w:val="20"/>
          <w:color w:val="auto"/>
        </w:rPr>
        <w:t xml:space="preserve"> above and (y) instructions given in accordance with the Depositary’s and the Registrar’s procedures therefor, the Registrar shall reflect on its books and records the date and an increase in the principal amount of the Rule 144A Global Note in an amount equal to the principal amount of the beneficial interest in the Regulation S Global Note to be so transferred, and the Registrar shall reflect on its books and records the date and a corresponding decrease in the principal amount of such Regulation S Global Note in an amount equal to the principal amount of the beneficial interest in such Regulation S Global Note to be so transferred.</w:t>
      </w:r>
    </w:p>
    <w:p>
      <w:pPr>
        <w:spacing w:after="0" w:line="179" w:lineRule="exact"/>
        <w:rPr>
          <w:rFonts w:ascii="Times New Roman" w:cs="Times New Roman" w:eastAsia="Times New Roman" w:hAnsi="Times New Roman"/>
          <w:sz w:val="20"/>
          <w:szCs w:val="20"/>
          <w:color w:val="auto"/>
        </w:rPr>
      </w:pPr>
    </w:p>
    <w:p>
      <w:pPr>
        <w:ind w:right="20" w:firstLine="656"/>
        <w:spacing w:after="0" w:line="283" w:lineRule="auto"/>
        <w:tabs>
          <w:tab w:leader="none" w:pos="107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Transfers Pursuant to Regulation S</w:t>
      </w:r>
      <w:r>
        <w:rPr>
          <w:rFonts w:ascii="Times New Roman" w:cs="Times New Roman" w:eastAsia="Times New Roman" w:hAnsi="Times New Roman"/>
          <w:sz w:val="20"/>
          <w:szCs w:val="20"/>
          <w:color w:val="auto"/>
        </w:rPr>
        <w:t>. The following provisions shall apply with respect to registration of any proposed transfer of a Transfer Restricted Note pursuant to Regulation S:</w:t>
      </w:r>
    </w:p>
    <w:p>
      <w:pPr>
        <w:spacing w:after="0" w:line="159" w:lineRule="exact"/>
        <w:rPr>
          <w:rFonts w:ascii="Times New Roman" w:cs="Times New Roman" w:eastAsia="Times New Roman" w:hAnsi="Times New Roman"/>
          <w:sz w:val="20"/>
          <w:szCs w:val="20"/>
          <w:color w:val="auto"/>
        </w:rPr>
      </w:pPr>
    </w:p>
    <w:p>
      <w:pPr>
        <w:jc w:val="both"/>
        <w:ind w:left="660" w:right="20" w:firstLine="644"/>
        <w:spacing w:after="0" w:line="261" w:lineRule="auto"/>
        <w:tabs>
          <w:tab w:leader="none" w:pos="1777"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Registrar shall register any proposed transfer of a Transfer Restricted Note by a Holder pursuant to Regulation S upon receipt of (a) an appropriately completed certificate of transfer in the form attached to the Note and (b) a certificate substantially in the form set forth in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hereto from the proposed transferor.</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41"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proposed transferee is a Participant and the Transfer Restricted Note to be transferred consists of an interest in the Rule 144A Global Note or the IAI Global Note upon receipt by the Registrar of (x) the letter, if any, required by </w:t>
      </w:r>
      <w:r>
        <w:rPr>
          <w:rFonts w:ascii="Times New Roman" w:cs="Times New Roman" w:eastAsia="Times New Roman" w:hAnsi="Times New Roman"/>
          <w:sz w:val="20"/>
          <w:szCs w:val="20"/>
          <w:u w:val="single" w:color="auto"/>
          <w:color w:val="auto"/>
        </w:rPr>
        <w:t>paragraph 2.15(b)(1)</w:t>
      </w:r>
      <w:r>
        <w:rPr>
          <w:rFonts w:ascii="Times New Roman" w:cs="Times New Roman" w:eastAsia="Times New Roman" w:hAnsi="Times New Roman"/>
          <w:sz w:val="20"/>
          <w:szCs w:val="20"/>
          <w:color w:val="auto"/>
        </w:rPr>
        <w:t xml:space="preserve"> above and (y) instructions in accordance with the Depositary’s and the Registrar’s procedures therefor, the Registrar shall reflect on its books and records the date and an increase in the principal amount of the Regulation S Global Note in an amount equal to the principal amount of the beneficial interest in the Rule 144A Global Note or the IAI Global Note to be transferred, and the Registrar shall reflect on its books and records the date and a corresponding decrease in the principal amount of the Rule 144A Global Note or the IAI Global Note in an amount equal to the principal amount of the beneficial interest in such Rule 144A Global Note or the IAI Global Note to be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13" w:right="339" w:bottom="1440" w:gutter="0" w:footer="0" w:header="0"/>
        </w:sectPr>
      </w:pPr>
    </w:p>
    <w:bookmarkStart w:id="52" w:name="page53"/>
    <w:bookmarkEnd w:id="52"/>
    <w:p>
      <w:pPr>
        <w:ind w:firstLine="656"/>
        <w:spacing w:after="0" w:line="283" w:lineRule="auto"/>
        <w:tabs>
          <w:tab w:leader="none" w:pos="106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Transfers to IAIs</w:t>
      </w:r>
      <w:r>
        <w:rPr>
          <w:rFonts w:ascii="Times New Roman" w:cs="Times New Roman" w:eastAsia="Times New Roman" w:hAnsi="Times New Roman"/>
          <w:sz w:val="20"/>
          <w:szCs w:val="20"/>
          <w:color w:val="auto"/>
        </w:rPr>
        <w:t>. The following provisions shall apply with respect to the registration of any proposed transfer of a Note issued in reliance on Rule 144A or Regulation S to an IAI:</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33"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Registrar shall register the transfer of a Note issued in reliance on Rule 144A or Regulation S by a Holder to an IAI if such transfer is being made by a proposed transferor who has provided the Registrar with (a) an appropriately completed certificate of transfer in the form attached to the Note and (b) a certificate substantially in the form set forth in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from the proposed transferor.</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752"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proposed transferee is a Participant and the Note to be transferred consists of an interest in the Rule 144A Global Note or the Regulation S Global Note, upon receipt by the Registrar of (x) the items required by </w:t>
      </w:r>
      <w:r>
        <w:rPr>
          <w:rFonts w:ascii="Times New Roman" w:cs="Times New Roman" w:eastAsia="Times New Roman" w:hAnsi="Times New Roman"/>
          <w:sz w:val="20"/>
          <w:szCs w:val="20"/>
          <w:u w:val="single" w:color="auto"/>
          <w:color w:val="auto"/>
        </w:rPr>
        <w:t>paragraph 2.15(c)(1)</w:t>
      </w:r>
      <w:r>
        <w:rPr>
          <w:rFonts w:ascii="Times New Roman" w:cs="Times New Roman" w:eastAsia="Times New Roman" w:hAnsi="Times New Roman"/>
          <w:sz w:val="20"/>
          <w:szCs w:val="20"/>
          <w:color w:val="auto"/>
        </w:rPr>
        <w:t xml:space="preserve"> above and (y) instructions given in accordance with the Depositary’s and the Registrar’s procedures therefor, the Registrar shall reflect on its books and records the date and an increase in the principal amount of the IAI Global Note in an amount equal to the principal amount of the beneficial interest in the Rule 144A Global Note or the Regulation S Global Note to be so transferred, and the Registrar shall reflect on its books and records the date and a corresponding decrease in the principal amount of such 144A Global Note or the Regulation S Global Note in an amount equal to the principal amount of the beneficial interest in such 144A Global Note or Regulation S Global Note to be so transferred.</w:t>
      </w:r>
    </w:p>
    <w:p>
      <w:pPr>
        <w:spacing w:after="0" w:line="181" w:lineRule="exact"/>
        <w:rPr>
          <w:rFonts w:ascii="Times New Roman" w:cs="Times New Roman" w:eastAsia="Times New Roman" w:hAnsi="Times New Roman"/>
          <w:sz w:val="20"/>
          <w:szCs w:val="20"/>
          <w:color w:val="auto"/>
        </w:rPr>
      </w:pPr>
    </w:p>
    <w:p>
      <w:pPr>
        <w:jc w:val="both"/>
        <w:ind w:firstLine="656"/>
        <w:spacing w:after="0" w:line="257" w:lineRule="auto"/>
        <w:tabs>
          <w:tab w:leader="none" w:pos="11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 Global Note is exchanged for Notes in certificated, registered form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such Notes may be exchanged only in accordance with such procedures as are substantially consistent with the provisions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above (including the certification requirements intended to ensure that such transfers comply with Rule 144A, Regulation S or other applicable exemption, as the case may be) and such other procedures as may from time to time be adopted by the Issuer and notified to the Trustee in writing.</w:t>
      </w:r>
    </w:p>
    <w:p>
      <w:pPr>
        <w:spacing w:after="0" w:line="172" w:lineRule="exact"/>
        <w:rPr>
          <w:rFonts w:ascii="Times New Roman" w:cs="Times New Roman" w:eastAsia="Times New Roman" w:hAnsi="Times New Roman"/>
          <w:sz w:val="20"/>
          <w:szCs w:val="20"/>
          <w:color w:val="auto"/>
        </w:rPr>
      </w:pPr>
    </w:p>
    <w:p>
      <w:pPr>
        <w:jc w:val="both"/>
        <w:ind w:firstLine="656"/>
        <w:spacing w:after="0" w:line="257" w:lineRule="auto"/>
        <w:tabs>
          <w:tab w:leader="none" w:pos="1119"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Notes Legend</w:t>
      </w:r>
      <w:r>
        <w:rPr>
          <w:rFonts w:ascii="Times New Roman" w:cs="Times New Roman" w:eastAsia="Times New Roman" w:hAnsi="Times New Roman"/>
          <w:sz w:val="20"/>
          <w:szCs w:val="20"/>
          <w:color w:val="auto"/>
        </w:rPr>
        <w:t>. Upon the transfer, exchange or replacement of Notes not bearing the Restricted Notes Legend, the Registrar shall deliver Notes that do not bear the Restricted Notes Legend. Upon the transfer, exchange or replacement of Notes bearing the Restricted Notes Legend, the Registrar shall deliver only Notes that bear the Restricted Notes Legend unless there is delivered to the Registrar an Opinion of Counsel reasonably satisfactory to the Issuer to the effect that neither such legend nor the related restrictions on transfer are required in order to maintain compliance with the provisions of the Securities Act.</w:t>
      </w:r>
    </w:p>
    <w:p>
      <w:pPr>
        <w:spacing w:after="0" w:line="172" w:lineRule="exact"/>
        <w:rPr>
          <w:rFonts w:ascii="Times New Roman" w:cs="Times New Roman" w:eastAsia="Times New Roman" w:hAnsi="Times New Roman"/>
          <w:sz w:val="20"/>
          <w:szCs w:val="20"/>
          <w:color w:val="auto"/>
        </w:rPr>
      </w:pPr>
    </w:p>
    <w:p>
      <w:pPr>
        <w:jc w:val="both"/>
        <w:ind w:firstLine="656"/>
        <w:spacing w:after="0" w:line="257" w:lineRule="auto"/>
        <w:tabs>
          <w:tab w:leader="none" w:pos="1071"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Regulation S Legend</w:t>
      </w:r>
      <w:r>
        <w:rPr>
          <w:rFonts w:ascii="Times New Roman" w:cs="Times New Roman" w:eastAsia="Times New Roman" w:hAnsi="Times New Roman"/>
          <w:sz w:val="20"/>
          <w:szCs w:val="20"/>
          <w:color w:val="auto"/>
        </w:rPr>
        <w:t>. Upon the transfer, exchange or replacement of Notes not bearing the Regulation S Legend, the Registrar shall deliver Notes that do not bear the Regulation S Legend. Upon the transfer, exchange or replacement of Notes bearing the Regulation S Legend, the Registrar shall deliver only Notes that bear the Regulation S Legend unless there is delivered to the Registrar an Opinion of Counsel reasonably satisfactory to the Issuer to the effect that neither such legend nor the related restrictions on transfer are required in order to maintain compliance with the provisions of the Securities Act.</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3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By its acceptance of any Note bearing the Restricted Notes Legend or the Regulation S Legend, as applicable, each Holder of such a Note acknowledges the restrictions on transfer of such Note set forth in this Indenture and in the Restricted Notes Legend or the Regulation S Legend, as applicable, and agrees that it shall transfer such Note only as provided in this Indenture. A transfer of a beneficial interest in a Global Note that does not involve an exchange of such interest for a certificated Note or a beneficial interest in another Global Note shall be subject to compliance with applicable law and the applicable procedures of the Depositary but is not subject to any procedure required by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13" w:right="339" w:bottom="1440" w:gutter="0" w:footer="0" w:header="0"/>
        </w:sectPr>
      </w:pPr>
    </w:p>
    <w:bookmarkStart w:id="53" w:name="page54"/>
    <w:bookmarkEnd w:id="53"/>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 connection with any proposed transfer pursuant to Regulation S or pursuant to any other available exemption from the registration requirements of the Securities Act (other than pursuant to Rule 144A), the Issuer may require the delivery of an Opinion of Counsel, other certifications or other information satisfactory to the Issuer.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The Registrar shall retain copies of all letters, notices and other written communications received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56"/>
        <w:spacing w:after="0" w:line="268" w:lineRule="auto"/>
        <w:tabs>
          <w:tab w:leader="none" w:pos="110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Swiss Transfer Restrictions</w:t>
      </w:r>
      <w:r>
        <w:rPr>
          <w:rFonts w:ascii="Times New Roman" w:cs="Times New Roman" w:eastAsia="Times New Roman" w:hAnsi="Times New Roman"/>
          <w:sz w:val="20"/>
          <w:szCs w:val="20"/>
          <w:color w:val="auto"/>
        </w:rPr>
        <w:t>. The Notes shall not be transferred, publicly offered, sold or advertised, directly or indirectly, in or into Switzerland within the meaning of the Swiss Financial Services Act (the “</w:t>
      </w:r>
      <w:r>
        <w:rPr>
          <w:rFonts w:ascii="Times New Roman" w:cs="Times New Roman" w:eastAsia="Times New Roman" w:hAnsi="Times New Roman"/>
          <w:sz w:val="20"/>
          <w:szCs w:val="20"/>
          <w:i w:val="1"/>
          <w:iCs w:val="1"/>
          <w:color w:val="auto"/>
        </w:rPr>
        <w:t>FinSA</w:t>
      </w:r>
      <w:r>
        <w:rPr>
          <w:rFonts w:ascii="Times New Roman" w:cs="Times New Roman" w:eastAsia="Times New Roman" w:hAnsi="Times New Roman"/>
          <w:sz w:val="20"/>
          <w:szCs w:val="20"/>
          <w:color w:val="auto"/>
        </w:rPr>
        <w:t>”) except to any investor that qualifies as a professional client within the meaning of the FinSA.</w:t>
      </w:r>
    </w:p>
    <w:p>
      <w:pPr>
        <w:spacing w:after="0" w:line="16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2.16. </w:t>
      </w:r>
      <w:r>
        <w:rPr>
          <w:rFonts w:ascii="Times New Roman" w:cs="Times New Roman" w:eastAsia="Times New Roman" w:hAnsi="Times New Roman"/>
          <w:sz w:val="20"/>
          <w:szCs w:val="20"/>
          <w:u w:val="single" w:color="auto"/>
          <w:color w:val="auto"/>
        </w:rPr>
        <w:t>Issuance of Additional Notes</w:t>
      </w:r>
      <w:r>
        <w:rPr>
          <w:rFonts w:ascii="Times New Roman" w:cs="Times New Roman" w:eastAsia="Times New Roman" w:hAnsi="Times New Roman"/>
          <w:sz w:val="20"/>
          <w:szCs w:val="20"/>
          <w:color w:val="auto"/>
        </w:rPr>
        <w:t xml:space="preserve">. The Issuer shall be entitled to issue Additional Notes in an unlimited aggregate principal amount under this Indenture that shall have identical terms as the Initial Notes, other than with respect to the date of issuance, issue price, first interest payment date applicable thereto, first date from which interest will accrue and transfer restrictions;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issuance is not prohibited by the terms of this Indenture, including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if any Additional Notes are not fungible with the then outstanding Notes for U.S. federal income tax purposes, such Additional Notes shall have a separate CUSIP number from the Initial Notes. The Initial Notes and any Additional Notes shall be treated as a single class for all purposes under this Indenture.</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 respect to any Additional Notes, the Issuer shall set forth in an Officers’ Certificate, a copy of which shall be delivered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Trustee, the following information:</w:t>
      </w:r>
    </w:p>
    <w:p>
      <w:pPr>
        <w:spacing w:after="0" w:line="207" w:lineRule="exact"/>
        <w:rPr>
          <w:sz w:val="20"/>
          <w:szCs w:val="20"/>
          <w:color w:val="auto"/>
        </w:rPr>
      </w:pPr>
    </w:p>
    <w:p>
      <w:pPr>
        <w:ind w:left="1740" w:hanging="436"/>
        <w:spacing w:after="0"/>
        <w:tabs>
          <w:tab w:leader="none" w:pos="17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such Additional Notes to be authenticated and delivered pursuant to this Indenture;</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82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 price, the issue date, the CUSIP number of such Additional Notes, the first interest payment date and the amount of interest payable on such first interest payment date applicable thereto and the first date from which interest shall accrue;</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Additional Notes shall be Transfer Restricted Notes; and</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such issuance is not prohibited by this Indenture.</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The Trustee shall, upon receipt of the Officers’ Certificate and Opinion of Counsel, authenticate the Additional Notes in accordance with the provisions of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of this Indenture.</w:t>
      </w:r>
    </w:p>
    <w:p>
      <w:pPr>
        <w:spacing w:after="0" w:line="17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2.17.</w:t>
      </w:r>
      <w:r>
        <w:rPr>
          <w:sz w:val="20"/>
          <w:szCs w:val="20"/>
          <w:color w:val="auto"/>
        </w:rPr>
        <w:tab/>
      </w:r>
      <w:r>
        <w:rPr>
          <w:rFonts w:ascii="Times New Roman" w:cs="Times New Roman" w:eastAsia="Times New Roman" w:hAnsi="Times New Roman"/>
          <w:sz w:val="19"/>
          <w:szCs w:val="19"/>
          <w:u w:val="single" w:color="auto"/>
          <w:color w:val="auto"/>
        </w:rPr>
        <w:t>Additional Amounts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48" w:lineRule="auto"/>
        <w:tabs>
          <w:tab w:leader="none" w:pos="1071"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made by or on behalf of the Issuer or any Guarantor, as applicable, on, or in respect of, the Notes or a Guarantee shall be made free and clear of and without withholding or deduction for, or on account of, any present or future income, stamp or other tax, duty, levy, impost, assessment or other similar charges in the nature of a tax, including related penalties and interest (collectively, “</w:t>
      </w:r>
      <w:r>
        <w:rPr>
          <w:rFonts w:ascii="Times New Roman" w:cs="Times New Roman" w:eastAsia="Times New Roman" w:hAnsi="Times New Roman"/>
          <w:sz w:val="20"/>
          <w:szCs w:val="20"/>
          <w:i w:val="1"/>
          <w:iCs w:val="1"/>
          <w:color w:val="auto"/>
        </w:rPr>
        <w:t>Taxes</w:t>
      </w:r>
      <w:r>
        <w:rPr>
          <w:rFonts w:ascii="Times New Roman" w:cs="Times New Roman" w:eastAsia="Times New Roman" w:hAnsi="Times New Roman"/>
          <w:sz w:val="20"/>
          <w:szCs w:val="20"/>
          <w:color w:val="auto"/>
        </w:rPr>
        <w:t>”), unless the Issuer, any Guarantor or the Paying Agent is required to withhold or deduct such amounts by law.</w:t>
      </w:r>
    </w:p>
    <w:p>
      <w:pPr>
        <w:spacing w:after="0" w:line="195" w:lineRule="exact"/>
        <w:rPr>
          <w:rFonts w:ascii="Times New Roman" w:cs="Times New Roman" w:eastAsia="Times New Roman" w:hAnsi="Times New Roman"/>
          <w:sz w:val="20"/>
          <w:szCs w:val="20"/>
          <w:color w:val="auto"/>
        </w:rPr>
      </w:pPr>
    </w:p>
    <w:p>
      <w:pPr>
        <w:jc w:val="both"/>
        <w:ind w:firstLine="656"/>
        <w:spacing w:after="0" w:line="253" w:lineRule="auto"/>
        <w:tabs>
          <w:tab w:leader="none" w:pos="116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Issuer, any Guarantor or the Paying Agent is required to withhold or deduct any amount for or on account of Taxes imposed or levied by or on behalf of the government of the United Kingdom or any other jurisdiction (other than the United States) in which the Issuer or any Guarantor is organized, formed or incorporated or resident for tax purposes or from or through which payments by or on behalf of the Issuer or any Guarantor are made, or any political subdivision or territory thereof (or, in each case, any authority or agency therein or thereof having the power to tax) (each,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13" w:right="339" w:bottom="1440" w:gutter="0" w:footer="0" w:header="0"/>
        </w:sectPr>
      </w:pPr>
    </w:p>
    <w:bookmarkStart w:id="54" w:name="page55"/>
    <w:bookmarkEnd w:id="54"/>
    <w:p>
      <w:pPr>
        <w:jc w:val="both"/>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Taxing Jurisdiction</w:t>
      </w:r>
      <w:r>
        <w:rPr>
          <w:rFonts w:ascii="Times New Roman" w:cs="Times New Roman" w:eastAsia="Times New Roman" w:hAnsi="Times New Roman"/>
          <w:sz w:val="19"/>
          <w:szCs w:val="19"/>
          <w:color w:val="auto"/>
        </w:rPr>
        <w:t>”), from any payment made with respect to the Notes or a Guarantee, the Issuer or such Guarantor shall pay such additional amounts (“</w:t>
      </w:r>
      <w:r>
        <w:rPr>
          <w:rFonts w:ascii="Times New Roman" w:cs="Times New Roman" w:eastAsia="Times New Roman" w:hAnsi="Times New Roman"/>
          <w:sz w:val="19"/>
          <w:szCs w:val="19"/>
          <w:i w:val="1"/>
          <w:iCs w:val="1"/>
          <w:color w:val="auto"/>
        </w:rPr>
        <w:t>Additional Amounts</w:t>
      </w:r>
      <w:r>
        <w:rPr>
          <w:rFonts w:ascii="Times New Roman" w:cs="Times New Roman" w:eastAsia="Times New Roman" w:hAnsi="Times New Roman"/>
          <w:sz w:val="19"/>
          <w:szCs w:val="19"/>
          <w:color w:val="auto"/>
        </w:rPr>
        <w:t>”) as may be necessary so that the net amount received by each Holder and beneficial owner (including Additional Amounts) after such withholding or deduction (including any withholding or deduction from such Additional Amounts) shall not be less than the amount the Holder or beneficial owner would have received in respect of such payment on the Notes or the Guarantee if such Taxes had not been withheld or deducted; provided that no Additional Amounts shall be payable with respect to Taxes:</w:t>
      </w:r>
    </w:p>
    <w:p>
      <w:pPr>
        <w:spacing w:after="0" w:line="175" w:lineRule="exact"/>
        <w:rPr>
          <w:sz w:val="20"/>
          <w:szCs w:val="20"/>
          <w:color w:val="auto"/>
        </w:rPr>
      </w:pPr>
    </w:p>
    <w:p>
      <w:pPr>
        <w:jc w:val="both"/>
        <w:ind w:left="660" w:firstLine="644"/>
        <w:spacing w:after="0" w:line="251" w:lineRule="auto"/>
        <w:tabs>
          <w:tab w:leader="none" w:pos="178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would not have been imposed or levied but for the existence of any present or former connection (other than the mere acquisition, ownership or holding of, or the receipt of payment or the exercise or enforcement of rights in respect of, the Notes or the Guarantees) between the Holder or beneficial owner of the Notes (or between a fiduciary, settlor, beneficiary, partner, member or shareholder of, or possessor of power over, the relevant Holder or beneficial owner, if such Holder or beneficial owner is an estate, nominee, trust, partnership, limited liability company or corporation) and a Taxing Jurisdiction, including, without limitation, such Holder or beneficial owner being or having been a citizen or resident thereof or treated as a resident thereof or domiciled therein or a national thereof or being or having been present or engaged in trade or business therein or having or having had a permanent establishment therein;</w:t>
      </w:r>
    </w:p>
    <w:p>
      <w:pPr>
        <w:spacing w:after="0" w:line="19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are estate, inheritance, gift, sales, excise, transfer, personal property, wealth or similar Taxes;</w:t>
      </w:r>
    </w:p>
    <w:p>
      <w:pPr>
        <w:spacing w:after="0" w:line="215" w:lineRule="exact"/>
        <w:rPr>
          <w:rFonts w:ascii="Times New Roman" w:cs="Times New Roman" w:eastAsia="Times New Roman" w:hAnsi="Times New Roman"/>
          <w:sz w:val="20"/>
          <w:szCs w:val="20"/>
          <w:color w:val="auto"/>
        </w:rPr>
      </w:pPr>
    </w:p>
    <w:p>
      <w:pPr>
        <w:ind w:left="660" w:firstLine="644"/>
        <w:spacing w:after="0" w:line="283" w:lineRule="auto"/>
        <w:tabs>
          <w:tab w:leader="none" w:pos="18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payable other than by deduction or withholding from payments of principal and premium, if any, or interest on the Notes or the Guarantee;</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78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would not have been imposed but for the failure of the applicable recipient of such payment to comply with any reasonable certification, identification, information, documentation or other reporting requirement to the extent: (a) such compliance is required by applicable law or official administrative practice or an applicable treaty as a precondition to exemption from, or reduction in, the rate of deduction or withholding of such Taxes (including, without limitation, a certification that the Holder or beneficial owner is not resident in a Taxing Jurisdiction); and (b) at least 30 days before the first payment date with respect to which such Additional Amounts would otherwise have been payable, the Issuer or Guarantor has notified such recipient in writing that such recipient is required to comply with such requirement;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6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would not have been imposed but for the presentation of a Note (where presentation is required) for payment on a date more than 30 days after the date on which such payment became due and payable or the date on which payment thereof was duly provided for, whichever occurred later;</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74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are imposed or withheld pursuant to Sections 1471 through 1474 of the Code, as of the Issue Date (or any amended or successor version of such sections that is not materially more onerous to comply with), any regulations promulgated thereunder or official interpretations thereof, any similar law, regulation, rule or practice adopted pursuant to or implementing an intergovernmental agreement between a non-U.S. jurisdiction and the United States with respect to the foregoing, or any agreements entered into pursuant to Section 1471(b)(1) of the Code; or</w:t>
      </w:r>
    </w:p>
    <w:p>
      <w:pPr>
        <w:spacing w:after="0" w:line="172"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combination of the foregoing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09" w:right="339" w:bottom="1440" w:gutter="0" w:footer="0" w:header="0"/>
        </w:sectPr>
      </w:pPr>
    </w:p>
    <w:bookmarkStart w:id="55" w:name="page56"/>
    <w:bookmarkEnd w:id="55"/>
    <w:p>
      <w:pPr>
        <w:jc w:val="both"/>
        <w:ind w:firstLine="656"/>
        <w:spacing w:after="0" w:line="258" w:lineRule="auto"/>
        <w:tabs>
          <w:tab w:leader="none" w:pos="107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in this Indenture or the Notes to the payment of the principal of or premium, if any, or interest on the Notes shall be deemed to include Additional Amounts to the extent that, in that context, Additional Amounts are, were or would be payable in respect thereof. The obligations of the Issuer and any Guarantor to pay Additional Amounts if and when due shall survive the termination of this Indenture and the payment of all other amounts in respect of the Notes and the Guarantees.</w:t>
      </w:r>
    </w:p>
    <w:p>
      <w:pPr>
        <w:spacing w:after="0" w:line="172" w:lineRule="exact"/>
        <w:rPr>
          <w:rFonts w:ascii="Times New Roman" w:cs="Times New Roman" w:eastAsia="Times New Roman" w:hAnsi="Times New Roman"/>
          <w:sz w:val="20"/>
          <w:szCs w:val="20"/>
          <w:color w:val="auto"/>
        </w:rPr>
      </w:pPr>
    </w:p>
    <w:p>
      <w:pPr>
        <w:jc w:val="both"/>
        <w:ind w:firstLine="656"/>
        <w:spacing w:after="0" w:line="257" w:lineRule="auto"/>
        <w:tabs>
          <w:tab w:leader="none" w:pos="121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or Guarantor, as the case may be, shall provide the Trustee with the official acknowledgment of the Taxing Jurisdiction (or, if such acknowledgment is not obtained by the Issuer or Guarantor despite it having used all reasonable efforts to do so, other reasonable documentation) evidencing any payment of any Taxes in respect of which the Issuer or Guarantor has paid any Additional Amounts. Copies of such documentation shall be made available by the Trustee to the Holders or beneficial owners of the Notes or the Paying Agent, as applicable, upon written request therefor.</w:t>
      </w:r>
    </w:p>
    <w:p>
      <w:pPr>
        <w:spacing w:after="0" w:line="172" w:lineRule="exact"/>
        <w:rPr>
          <w:rFonts w:ascii="Times New Roman" w:cs="Times New Roman" w:eastAsia="Times New Roman" w:hAnsi="Times New Roman"/>
          <w:sz w:val="20"/>
          <w:szCs w:val="20"/>
          <w:color w:val="auto"/>
        </w:rPr>
      </w:pPr>
    </w:p>
    <w:p>
      <w:pPr>
        <w:jc w:val="both"/>
        <w:ind w:firstLine="656"/>
        <w:spacing w:after="0" w:line="252" w:lineRule="auto"/>
        <w:tabs>
          <w:tab w:leader="none" w:pos="108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pay any stamp, issue, excise, property, registration, court, documentary or other similar taxes and duties (other than, in each case, any such amounts imposed on or measured by net wealth of a holder), including interest, penalties and other liabilities related thereto, imposed by a Taxing Jurisdiction in respect of the creation, issue, delivery, enforcement, registration and offering of the Notes, the initial sale of the Notes by the initial purchasers thereof, or the execution of the Notes, this Indenture or any other related document or instrument, in each case save for any such taxes or duties which arise or are increased as a result of any document being voluntarily registered or voluntarily presented in any court in any jurisdiction by a Holder, beneficial owner or initial purchaser of the Notes (provided that for these purposes any such registration or presentation which, in the reasonable determination of a Holder, beneficial owner or initial purchaser of the Notes (as relevant), is reasonably required to protect its legal or economic interests shall not be regarded as having been voluntarily registered or voluntarily presented), and the Issuer shall indemnify the Holders and beneficial owners of the Notes from and against any such amounts paid by such Holders or beneficial owners.</w:t>
      </w:r>
    </w:p>
    <w:p>
      <w:pPr>
        <w:spacing w:after="0" w:line="177"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avoidance of doubt, the obligations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will apply to any successor to the Issuer or any Guarantor.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REDEMPTION AND PREPAYMENT</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3.1. </w:t>
      </w:r>
      <w:r>
        <w:rPr>
          <w:rFonts w:ascii="Times New Roman" w:cs="Times New Roman" w:eastAsia="Times New Roman" w:hAnsi="Times New Roman"/>
          <w:sz w:val="20"/>
          <w:szCs w:val="20"/>
          <w:u w:val="single" w:color="auto"/>
          <w:color w:val="auto"/>
        </w:rPr>
        <w:t>Notices to Trustee</w:t>
      </w:r>
      <w:r>
        <w:rPr>
          <w:rFonts w:ascii="Times New Roman" w:cs="Times New Roman" w:eastAsia="Times New Roman" w:hAnsi="Times New Roman"/>
          <w:sz w:val="20"/>
          <w:szCs w:val="20"/>
          <w:color w:val="auto"/>
        </w:rPr>
        <w:t xml:space="preserve">. If the Issuer elects to redeem Notes pursuant to the optional redemption provisions of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it shall furnish to the Trustee, at least two Business Days (or such shorter period as is acceptable to the Trustee) before sending a notice of such redemption, an Officers’ Certificate setting forth the (i) section of this Indenture pursuant to which the redemption shall occur, (ii) redemption date and (iii) principal amount of Notes to be redeemed.</w:t>
      </w:r>
    </w:p>
    <w:p>
      <w:pPr>
        <w:spacing w:after="0" w:line="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Section 3.2. </w:t>
      </w:r>
      <w:r>
        <w:rPr>
          <w:rFonts w:ascii="Times New Roman" w:cs="Times New Roman" w:eastAsia="Times New Roman" w:hAnsi="Times New Roman"/>
          <w:sz w:val="20"/>
          <w:szCs w:val="20"/>
          <w:u w:val="single" w:color="auto"/>
          <w:color w:val="auto"/>
        </w:rPr>
        <w:t>Selection of Notes to Be Redeemed</w:t>
      </w:r>
      <w:r>
        <w:rPr>
          <w:rFonts w:ascii="Times New Roman" w:cs="Times New Roman" w:eastAsia="Times New Roman" w:hAnsi="Times New Roman"/>
          <w:sz w:val="20"/>
          <w:szCs w:val="20"/>
          <w:color w:val="auto"/>
        </w:rPr>
        <w:t xml:space="preserve">. In the event that less than all of the Notes are to be redeemed at any time, the Trustee shall, upon the prior written request of the Issuer, select the Notes to be redeemed among the Holders on a pro rata basis (except that any Notes represented by a Global Note will be redeemed by such method the Depositary may require);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that no Notes of $2,000 in original principal amount or less shall be selected for redemption in part.</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On and after the redemption date, unless the Issuer defaults in the payment of the redemption price, interest will cease to accrue on Notes or portions of them called for redemption so long as the Issuer has deposited with the Paying Agent funds in satisfaction of the applicable redemption price pursuant to this Indenture (including accrued and unpaid interest on the Notes to be redeemed). The Trustee shall promptly notify the Issuer in writing of the Notes selected for redemption.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13" w:right="339" w:bottom="1440" w:gutter="0" w:footer="0" w:header="0"/>
        </w:sectPr>
      </w:pPr>
    </w:p>
    <w:bookmarkStart w:id="56" w:name="page57"/>
    <w:bookmarkEnd w:id="56"/>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may select for redemption portions (equal to $1,000 or any integral multiples of $1,000 thereof) of the principal of the Notes that have minimum denominations larger than $2,000.</w:t>
      </w:r>
    </w:p>
    <w:p>
      <w:pPr>
        <w:spacing w:after="0" w:line="14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3.3. </w:t>
      </w:r>
      <w:r>
        <w:rPr>
          <w:rFonts w:ascii="Times New Roman" w:cs="Times New Roman" w:eastAsia="Times New Roman" w:hAnsi="Times New Roman"/>
          <w:sz w:val="20"/>
          <w:szCs w:val="20"/>
          <w:u w:val="single" w:color="auto"/>
          <w:color w:val="auto"/>
        </w:rPr>
        <w:t>Notice of Optional Redemption</w:t>
      </w:r>
      <w:r>
        <w:rPr>
          <w:rFonts w:ascii="Times New Roman" w:cs="Times New Roman" w:eastAsia="Times New Roman" w:hAnsi="Times New Roman"/>
          <w:sz w:val="20"/>
          <w:szCs w:val="20"/>
          <w:color w:val="auto"/>
        </w:rPr>
        <w:t xml:space="preserve">. The Issuer shall deliver or cause to be delivered in accordance with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a notice of optional redemption to each Holder whose Notes are to be redeemed (with a copy to the Trustee), at least 10 days but not more than 60 days before a redemption date (except that notices may be delivered more than 60 days before a redemption date if the notice is issued in connection with a defeasance or discharge of this Indenture pursuant to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Any notice of redemption may, at the Issuer’s discretion, be subject to one or more conditions precedent. If such redemption is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was mailed or delivered, including by electronic transmission) as any or all such conditions are satisfied (or waived by the Issuer in its sole discretion), or that such redemption may not occur and such notice may be rescinded in the event that any or all such conditions are not satisfied (or waived by the Issuer in its sole discretion) by the redemption date, or by the redemption date as so delayed, or that such notice may be rescinded at any time in the Issuer’s discretion if as determined in good faith by the Issuer, any or all of such conditions will not be satisfied. The Issuer shall provide the Trustee with written notice of the satisfaction or waiver of such conditions precedent, the delay of such redemption or the rescission of such notice of redemption in the same manner that the related notice of redemption was given to the Trustee, and the Trustee shall send a copy of such notice to the Trustee to the Holders in the same manner that the related notice of redemption was given to such Holders. In addition, the Issuer may provide in such notice that payment of the redemption price and performance of the Issuer’s obligations with respect to such redemption may be performed by another Person. In no event will the Trustee be responsible for monitoring or charged with knowledge of, the maximum aggregate amount of Notes eligible under this Indenture to be redeemed.</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notice shall identify the Notes to be redeemed (including “CUSIP” numbers and corresponding “ISINs,” if applicable) and shall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w:t>
      </w:r>
    </w:p>
    <w:p>
      <w:pPr>
        <w:spacing w:after="0" w:line="200" w:lineRule="exact"/>
        <w:rPr>
          <w:sz w:val="20"/>
          <w:szCs w:val="20"/>
          <w:color w:val="auto"/>
        </w:rPr>
      </w:pPr>
    </w:p>
    <w:p>
      <w:pPr>
        <w:ind w:left="1740" w:hanging="436"/>
        <w:spacing w:after="0"/>
        <w:tabs>
          <w:tab w:leader="none" w:pos="17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date;</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price (or the method by which it is to be determined);</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7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 (or appropriate adjustments to the amount and beneficial interests in a Global Note will be made, as appropriate);</w:t>
      </w:r>
    </w:p>
    <w:p>
      <w:pPr>
        <w:spacing w:after="0" w:line="18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Paying Agent;</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Notes called for redemption must be surrendered to the Paying Agent to collect the redemption price;</w:t>
      </w:r>
    </w:p>
    <w:p>
      <w:pPr>
        <w:spacing w:after="0" w:line="215"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81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unless the Issuer defaults in making such redemption payment, interest, if any, on Notes called for redemption ceases to accrue on and after the redemption date;</w:t>
      </w:r>
    </w:p>
    <w:p>
      <w:pPr>
        <w:spacing w:after="0" w:line="14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paragraph of the Notes and/or Section of this Indenture pursuant to which the Notes called for redemption are being</w:t>
      </w:r>
    </w:p>
    <w:p>
      <w:pPr>
        <w:spacing w:after="0" w:line="39"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redeemed;</w:t>
      </w:r>
    </w:p>
    <w:p>
      <w:pPr>
        <w:spacing w:after="0" w:line="213" w:lineRule="exact"/>
        <w:rPr>
          <w:rFonts w:ascii="Times New Roman" w:cs="Times New Roman" w:eastAsia="Times New Roman" w:hAnsi="Times New Roman"/>
          <w:sz w:val="19"/>
          <w:szCs w:val="19"/>
          <w:color w:val="auto"/>
        </w:rPr>
      </w:pPr>
    </w:p>
    <w:p>
      <w:pPr>
        <w:ind w:left="660" w:firstLine="644"/>
        <w:spacing w:after="0" w:line="269" w:lineRule="auto"/>
        <w:tabs>
          <w:tab w:leader="none" w:pos="178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no representation is made as to the correctness or accuracy of the CUSIP number, if any, listed in such notice or printed on the Notes;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13" w:right="339" w:bottom="1440" w:gutter="0" w:footer="0" w:header="0"/>
        </w:sectPr>
      </w:pPr>
    </w:p>
    <w:bookmarkStart w:id="57" w:name="page58"/>
    <w:bookmarkEnd w:id="57"/>
    <w:p>
      <w:pPr>
        <w:ind w:left="1300"/>
        <w:spacing w:after="0"/>
        <w:tabs>
          <w:tab w:leader="none" w:pos="1720" w:val="left"/>
        </w:tabs>
        <w:rPr>
          <w:sz w:val="20"/>
          <w:szCs w:val="20"/>
          <w:color w:val="auto"/>
        </w:rPr>
      </w:pPr>
      <w:r>
        <w:rPr>
          <w:rFonts w:ascii="Times New Roman" w:cs="Times New Roman" w:eastAsia="Times New Roman" w:hAnsi="Times New Roman"/>
          <w:sz w:val="20"/>
          <w:szCs w:val="20"/>
          <w:color w:val="auto"/>
        </w:rPr>
        <w:t>(9)</w:t>
      </w:r>
      <w:r>
        <w:rPr>
          <w:sz w:val="20"/>
          <w:szCs w:val="20"/>
          <w:color w:val="auto"/>
        </w:rPr>
        <w:tab/>
      </w:r>
      <w:r>
        <w:rPr>
          <w:rFonts w:ascii="Times New Roman" w:cs="Times New Roman" w:eastAsia="Times New Roman" w:hAnsi="Times New Roman"/>
          <w:sz w:val="19"/>
          <w:szCs w:val="19"/>
          <w:color w:val="auto"/>
        </w:rPr>
        <w:t>any conditions precedent to such redemption.</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 xml:space="preserve">At the Issuer’s written request, the Trustee shall give the notice of redemption in the Issuer’s name and at the Issuer’s expense;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the Issuer shall have delivered to the Trustee, at least three Business Days prior to the date of the giving of the notice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redemption (or such shorter period as is acceptable to the Trustee), an Officers’ Certificate requesting that the Trustee give such notice and setting forth the information to be stated in the notice as provided in the preceding paragraph. The notice sent in the manner herein provided shall be deemed to have been duly given whether or not the Holder receives such notice. In any case, failure to give such notice or any defect in the notice to the Holder of any Note shall not affect the validity of the proceeding for the redemption of any other Note.</w:t>
      </w:r>
    </w:p>
    <w:p>
      <w:pPr>
        <w:spacing w:after="0" w:line="1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3.4. </w:t>
      </w:r>
      <w:r>
        <w:rPr>
          <w:rFonts w:ascii="Times New Roman" w:cs="Times New Roman" w:eastAsia="Times New Roman" w:hAnsi="Times New Roman"/>
          <w:sz w:val="20"/>
          <w:szCs w:val="20"/>
          <w:u w:val="single" w:color="auto"/>
          <w:color w:val="auto"/>
        </w:rPr>
        <w:t>Effect of Notice of Redemption</w:t>
      </w:r>
      <w:r>
        <w:rPr>
          <w:rFonts w:ascii="Times New Roman" w:cs="Times New Roman" w:eastAsia="Times New Roman" w:hAnsi="Times New Roman"/>
          <w:sz w:val="20"/>
          <w:szCs w:val="20"/>
          <w:color w:val="auto"/>
        </w:rPr>
        <w:t xml:space="preserve">. Once notice of redemption is delivered in accordance with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Notes called for redemption become due and payable on the redemption date at the applicable redemption price, subject to satisfaction of any conditions specified in the notice of redemption and as further contemplated by the first paragraph of </w:t>
      </w:r>
      <w:r>
        <w:rPr>
          <w:rFonts w:ascii="Times New Roman" w:cs="Times New Roman" w:eastAsia="Times New Roman" w:hAnsi="Times New Roman"/>
          <w:sz w:val="20"/>
          <w:szCs w:val="20"/>
          <w:u w:val="single" w:color="auto"/>
          <w:color w:val="auto"/>
        </w:rPr>
        <w:t>Section 3.3.</w:t>
      </w:r>
    </w:p>
    <w:p>
      <w:pPr>
        <w:spacing w:after="0" w:line="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9"/>
          <w:szCs w:val="19"/>
          <w:color w:val="auto"/>
        </w:rPr>
        <w:t xml:space="preserve">Section 3.5. </w:t>
      </w:r>
      <w:r>
        <w:rPr>
          <w:rFonts w:ascii="Times New Roman" w:cs="Times New Roman" w:eastAsia="Times New Roman" w:hAnsi="Times New Roman"/>
          <w:sz w:val="19"/>
          <w:szCs w:val="19"/>
          <w:u w:val="single" w:color="auto"/>
          <w:color w:val="auto"/>
        </w:rPr>
        <w:t>Deposit of Redemption Price</w:t>
      </w:r>
      <w:r>
        <w:rPr>
          <w:rFonts w:ascii="Times New Roman" w:cs="Times New Roman" w:eastAsia="Times New Roman" w:hAnsi="Times New Roman"/>
          <w:sz w:val="19"/>
          <w:szCs w:val="19"/>
          <w:color w:val="auto"/>
        </w:rPr>
        <w:t>. On or before 11:00 a.m. (New York City time) on the redemption date, the Issuer shall deposit with the Trustee or with the Paying Agent (other than the Issuer or an Affiliate of the Issuer) money sufficient to pay the redemption price on all Notes to be redeemed on that date. The Trustee or the Paying Agent shall promptly return to the Issuer any money deposited with the Trustee or the Paying Agent by the Issuer in excess of the amounts necessary to pay the redemption price of all Notes to be redeemed.</w:t>
      </w:r>
    </w:p>
    <w:p>
      <w:pPr>
        <w:spacing w:after="0" w:line="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If Notes called for redemption are paid or if the Issuer has deposited with the Trustee or Paying Agent money sufficient to pay the redemption price of, and unpaid and accrued interest, if any, on, all Notes to be redeemed, on and after the redemption date, and interest, if any, shall cease to accrue on the Notes or the portions of Notes called for redemption (regardless of whether certificates for such securities are actually surrendered). If a Note is redeemed on or after an interest record date but on or prior to the related interest payment date, then any accrued and unpaid interest, if any, shall be paid to the Person in whose name such Note was registered at the close of business on such record date. If any Note called for redemption shall not be so paid upon surrender for redemption because of the failure of the Issuer to comply with the preceding paragraph, and interest, if any, shall be paid on the unpaid principal from the redemption date until such principal is paid, and to the extent lawful on any interest, if any, not paid on such unpaid principal, in each case, at the rate provided in the Notes and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3.6. </w:t>
      </w:r>
      <w:r>
        <w:rPr>
          <w:rFonts w:ascii="Times New Roman" w:cs="Times New Roman" w:eastAsia="Times New Roman" w:hAnsi="Times New Roman"/>
          <w:sz w:val="20"/>
          <w:szCs w:val="20"/>
          <w:u w:val="single" w:color="auto"/>
          <w:color w:val="auto"/>
        </w:rPr>
        <w:t>Notes Redeemed in Part</w:t>
      </w:r>
      <w:r>
        <w:rPr>
          <w:rFonts w:ascii="Times New Roman" w:cs="Times New Roman" w:eastAsia="Times New Roman" w:hAnsi="Times New Roman"/>
          <w:sz w:val="20"/>
          <w:szCs w:val="20"/>
          <w:color w:val="auto"/>
        </w:rPr>
        <w:t xml:space="preserve">. Upon surrender and cancellation of a Note that is redeemed in part, the Issuer shall issue and, upon the written request of an Officer of the Issuer, the Trustee shall authenticate for the Holder at the expense of the Issuer a new Note equal in principal amount to the unredeemed portion of the Note surrendered and canceled;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such new Note will be in a principal amount of $2,000 or integral multiples of $1,000 in excess thereof.</w:t>
      </w:r>
    </w:p>
    <w:p>
      <w:pPr>
        <w:spacing w:after="0" w:line="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3.7.</w:t>
      </w:r>
      <w:r>
        <w:rPr>
          <w:sz w:val="20"/>
          <w:szCs w:val="20"/>
          <w:color w:val="auto"/>
        </w:rPr>
        <w:tab/>
      </w:r>
      <w:r>
        <w:rPr>
          <w:rFonts w:ascii="Times New Roman" w:cs="Times New Roman" w:eastAsia="Times New Roman" w:hAnsi="Times New Roman"/>
          <w:sz w:val="19"/>
          <w:szCs w:val="19"/>
          <w:u w:val="single" w:color="auto"/>
          <w:color w:val="auto"/>
        </w:rPr>
        <w:t>Optional Redemption</w:t>
      </w:r>
      <w:r>
        <w:rPr>
          <w:rFonts w:ascii="Times New Roman" w:cs="Times New Roman" w:eastAsia="Times New Roman" w:hAnsi="Times New Roman"/>
          <w:sz w:val="19"/>
          <w:szCs w:val="19"/>
          <w:color w:val="auto"/>
        </w:rPr>
        <w:t>.</w:t>
      </w:r>
    </w:p>
    <w:p>
      <w:pPr>
        <w:spacing w:after="0" w:line="13" w:lineRule="exact"/>
        <w:rPr>
          <w:sz w:val="20"/>
          <w:szCs w:val="20"/>
          <w:color w:val="auto"/>
        </w:rPr>
      </w:pPr>
    </w:p>
    <w:p>
      <w:pPr>
        <w:jc w:val="both"/>
        <w:ind w:firstLine="656"/>
        <w:spacing w:after="0" w:line="266" w:lineRule="auto"/>
        <w:tabs>
          <w:tab w:leader="none" w:pos="1111"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Notes may be redeemed, in whole or in part, at any time or from time to time prior to June 15, 2029 at the option of the Issuer, upon notice as provided in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 at a redemption price equal to 100.0% of the principal amount of the Notes redeemed plus the Applicable Premium, and accrued and unpaid interest thereon, if any, to, but excluding, the redemption date (subject to the right of Holders of record on the relevant record date to receive interest due on the relevant interest payment date that is on or prior to the redemption date). The Issuer will calculate the Treasury Rate and Applicable Premium and, prior to the redemption date, provide an Officers’ Certificate to the Trustee setting forth the Treasury Rate and the Applicable Premium and showing the calculation of each in reasonable detail.</w:t>
      </w:r>
    </w:p>
    <w:p>
      <w:pPr>
        <w:spacing w:after="0" w:line="165" w:lineRule="exact"/>
        <w:rPr>
          <w:rFonts w:ascii="Times New Roman" w:cs="Times New Roman" w:eastAsia="Times New Roman" w:hAnsi="Times New Roman"/>
          <w:sz w:val="19"/>
          <w:szCs w:val="19"/>
          <w:color w:val="auto"/>
        </w:rPr>
      </w:pPr>
    </w:p>
    <w:p>
      <w:pPr>
        <w:ind w:firstLine="656"/>
        <w:spacing w:after="0" w:line="283" w:lineRule="auto"/>
        <w:tabs>
          <w:tab w:leader="none" w:pos="108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or from time to time on or after June 15, 2029, the Issuer, at its option, may redeem the Notes, in whole or in part, upon notice as provided in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at the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13" w:right="339" w:bottom="1440" w:gutter="0" w:footer="0" w:header="0"/>
        </w:sectPr>
      </w:pPr>
    </w:p>
    <w:bookmarkStart w:id="58" w:name="page59"/>
    <w:bookmarkEnd w:id="58"/>
    <w:p>
      <w:pPr>
        <w:jc w:val="both"/>
        <w:spacing w:after="0" w:line="258" w:lineRule="auto"/>
        <w:rPr>
          <w:sz w:val="20"/>
          <w:szCs w:val="20"/>
          <w:color w:val="auto"/>
        </w:rPr>
      </w:pPr>
      <w:r>
        <w:rPr>
          <w:rFonts w:ascii="Times New Roman" w:cs="Times New Roman" w:eastAsia="Times New Roman" w:hAnsi="Times New Roman"/>
          <w:sz w:val="20"/>
          <w:szCs w:val="20"/>
          <w:color w:val="auto"/>
        </w:rPr>
        <w:t>prices (expressed as percentages of principal amount of the Notes to be redeemed) set forth below, together with accrued and unpaid interest thereon, if any, to, but excluding, the applicable redemption date (subject to the right of Holders of record on the relevant record date to receive interest due on the relevant interest payment date that is on or prior to the redemption date), if redeemed during the 12-month period beginning on June 15 of the years indicated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Year</w:t>
            </w:r>
          </w:p>
        </w:tc>
        <w:tc>
          <w:tcPr>
            <w:tcW w:w="5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Redemption Price</w:t>
            </w:r>
          </w:p>
        </w:tc>
      </w:tr>
      <w:tr>
        <w:trPr>
          <w:trHeight w:val="244"/>
        </w:trPr>
        <w:tc>
          <w:tcPr>
            <w:tcW w:w="5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2029</w:t>
            </w:r>
          </w:p>
        </w:tc>
        <w:tc>
          <w:tcPr>
            <w:tcW w:w="5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103.125 %</w:t>
            </w:r>
          </w:p>
        </w:tc>
      </w:tr>
      <w:tr>
        <w:trPr>
          <w:trHeight w:val="257"/>
        </w:trPr>
        <w:tc>
          <w:tcPr>
            <w:tcW w:w="5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2030</w:t>
            </w:r>
          </w:p>
        </w:tc>
        <w:tc>
          <w:tcPr>
            <w:tcW w:w="5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101.563 %</w:t>
            </w:r>
          </w:p>
        </w:tc>
      </w:tr>
      <w:tr>
        <w:trPr>
          <w:trHeight w:val="258"/>
        </w:trPr>
        <w:tc>
          <w:tcPr>
            <w:tcW w:w="5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2031 and thereafter</w:t>
            </w:r>
          </w:p>
        </w:tc>
        <w:tc>
          <w:tcPr>
            <w:tcW w:w="5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100.000 %</w:t>
            </w:r>
          </w:p>
        </w:tc>
      </w:tr>
    </w:tbl>
    <w:p>
      <w:pPr>
        <w:spacing w:after="0" w:line="295" w:lineRule="exact"/>
        <w:rPr>
          <w:sz w:val="20"/>
          <w:szCs w:val="20"/>
          <w:color w:val="auto"/>
        </w:rPr>
      </w:pPr>
    </w:p>
    <w:p>
      <w:pPr>
        <w:jc w:val="both"/>
        <w:ind w:firstLine="656"/>
        <w:spacing w:after="0" w:line="253" w:lineRule="auto"/>
        <w:tabs>
          <w:tab w:leader="none" w:pos="106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or from time to time prior to June 15, 2029, the Issuer, at its option, may, on any one or more occasions, redeem up to 40.0% of the principal amount of the outstanding Notes issued under this Indenture, upon notice as provided in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in an amount not greater than the net cash proceeds of one or more Qualified Equity Offerings at a redemption price equal to 106.250% of the principal amount of the Notes to be redeemed, plus accrued and unpaid interest, if any, to, but excluding, the date of redemption (subject to the right of Holders of record on the relevant record date to receive interest due on the relevant interest payment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9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3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60.0% of the aggregate principal amount of Notes originally issued under this Indenture on the Issue Date (excluding Notes held by the Issuer and its Subsidiaries) remains outstanding immediately after giving effect to any such redemption (unless all such Notes are redeemed substantially concurrently); and</w:t>
      </w:r>
    </w:p>
    <w:p>
      <w:pPr>
        <w:spacing w:after="0" w:line="18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occurs not more than 180 days after the date of the closing of any such Qualified Equity Offering.</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Issuer may redeem Notes as provided in </w:t>
      </w:r>
      <w:r>
        <w:rPr>
          <w:rFonts w:ascii="Times New Roman" w:cs="Times New Roman" w:eastAsia="Times New Roman" w:hAnsi="Times New Roman"/>
          <w:sz w:val="20"/>
          <w:szCs w:val="20"/>
          <w:u w:val="single" w:color="auto"/>
          <w:color w:val="auto"/>
        </w:rPr>
        <w:t>Section 4.13(h)</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firstLine="656"/>
        <w:spacing w:after="0" w:line="283" w:lineRule="auto"/>
        <w:tabs>
          <w:tab w:leader="none" w:pos="113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may acquire Notes by means other than a redemption, whether pursuant to a tender offer, open market purchase, negotiated transaction or otherwise, in accordance with applicable securities laws.</w:t>
      </w:r>
    </w:p>
    <w:p>
      <w:pPr>
        <w:spacing w:after="0" w:line="14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3.8.</w:t>
      </w:r>
      <w:r>
        <w:rPr>
          <w:sz w:val="20"/>
          <w:szCs w:val="20"/>
          <w:color w:val="auto"/>
        </w:rPr>
        <w:tab/>
      </w:r>
      <w:r>
        <w:rPr>
          <w:rFonts w:ascii="Times New Roman" w:cs="Times New Roman" w:eastAsia="Times New Roman" w:hAnsi="Times New Roman"/>
          <w:sz w:val="19"/>
          <w:szCs w:val="19"/>
          <w:u w:val="single" w:color="auto"/>
          <w:color w:val="auto"/>
        </w:rPr>
        <w:t>Optional Tax Redemption</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53" w:lineRule="auto"/>
        <w:tabs>
          <w:tab w:leader="none" w:pos="116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(or an applicable Successor) may redeem the Notes in whole, but not in part, at its option at any time prior to maturity, upon the giving of not less than 30 nor more than 90 days’ notice of tax redemption to the Holders, at a redemption price equal to the principal amount of the Notes plus accrued and unpaid interest, if any, to, but excluding, the redemption date, if:</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8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a result of any change in or amendment to the laws, or any regulations, protocols or rulings (including a holding, judgment or order by a governmental agency or court of competent jurisdiction) promulgated thereunder, of a Taxing Jurisdiction or, in the event of the assumption of its obligations under the Notes by a Successor not organized under the laws of a Taxing Jurisdiction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the jurisdiction in which such Successor is organized or resident for tax purposes or any political subdivision or territory thereof (or, in each case, any authority or agency therein or thereof having the power to tax), or any change in the application or official interpretation of such laws, regulations, protocols or rulings (including a holding, judgment or order by a governmental agency or court of competent jurisdiction), or (in either case) any change in the application or official interpretation of, or any execution of or amendment to, any treaty or treaties (including protocols) affecting taxation to which any such jurisdiction is a party, which change, execution or amendment is announced and becomes effective on or after (i) the Issue Date or (ii) in the event of the assumption of the Issuer’s obligations under this Indenture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13" w:right="339" w:bottom="1440" w:gutter="0" w:footer="0" w:header="0"/>
        </w:sectPr>
      </w:pPr>
    </w:p>
    <w:bookmarkStart w:id="59" w:name="page60"/>
    <w:bookmarkEnd w:id="59"/>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 xml:space="preserve">Notes by a Successor not organized under the laws of a Taxing Jurisdiction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with respect to Taxes imposed by the jurisdiction in which such Successor is organized or resident for tax purposes or any political subdivision or territory thereof (or, in each case, any authority or agency therein or thereof having the power to tax), the date of the transaction resulting in such assumption, the Issuer or such Successor, as applicable, would be required to pay Additional Amounts with respect to the Notes on the next succeeding payment date with respect to the Notes, and</w:t>
      </w:r>
    </w:p>
    <w:p>
      <w:pPr>
        <w:spacing w:after="0" w:line="192" w:lineRule="exact"/>
        <w:rPr>
          <w:sz w:val="20"/>
          <w:szCs w:val="20"/>
          <w:color w:val="auto"/>
        </w:rPr>
      </w:pPr>
    </w:p>
    <w:p>
      <w:pPr>
        <w:jc w:val="both"/>
        <w:ind w:left="660" w:firstLine="644"/>
        <w:spacing w:after="0" w:line="261" w:lineRule="auto"/>
        <w:tabs>
          <w:tab w:leader="none" w:pos="1737"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such Additional Amounts cannot be avoided by the use of reasonable measures available to the Issuer or such Successor, as applicable; provided that changing the jurisdiction of the Issuer is not a reasonable measure for purposes of this section.</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16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notice of any such redemption may be given earlier than 90 days prior to the earliest date on which the Issuer or such Successor, as applicable, would be obligated to pay any Additional Amounts.</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9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Issuer or such Successor shall also pay to each Holder, or make available for payment to each such Holder, on the redemption date, any Additional Amounts resulting from the payment of such redemption price by it. Prior to the delivery of any notice of redemption, the Issuer or such Successor shall deliver to the Trustee (i) an Officers’ Certificate stating that the requirements referred to in </w:t>
      </w:r>
      <w:r>
        <w:rPr>
          <w:rFonts w:ascii="Times New Roman" w:cs="Times New Roman" w:eastAsia="Times New Roman" w:hAnsi="Times New Roman"/>
          <w:sz w:val="20"/>
          <w:szCs w:val="20"/>
          <w:u w:val="single" w:color="auto"/>
          <w:color w:val="auto"/>
        </w:rPr>
        <w:t>Section 3.8(a)</w:t>
      </w:r>
      <w:r>
        <w:rPr>
          <w:rFonts w:ascii="Times New Roman" w:cs="Times New Roman" w:eastAsia="Times New Roman" w:hAnsi="Times New Roman"/>
          <w:sz w:val="20"/>
          <w:szCs w:val="20"/>
          <w:color w:val="auto"/>
        </w:rPr>
        <w:t xml:space="preserve"> are satisfied, and (ii) an Opinion of Counsel to the effect that the Issuer or such Successor, as applicable, has or will become obliged to pay such Additional Amounts as a result of the change, amendment or execution described above, in each case to be held by the Trustee and made available for viewing at the offices of the Trustee on written request by any Holder. Delivery of any notice of redemption shall be conclusive and binding on the Holders of the Notes being redeemed.</w:t>
      </w:r>
    </w:p>
    <w:p>
      <w:pPr>
        <w:spacing w:after="0" w:line="17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redemption shall be irrevocable once an Officers’ Certificate has been delivered to the Trustee.</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3.9. </w:t>
      </w:r>
      <w:r>
        <w:rPr>
          <w:rFonts w:ascii="Times New Roman" w:cs="Times New Roman" w:eastAsia="Times New Roman" w:hAnsi="Times New Roman"/>
          <w:sz w:val="20"/>
          <w:szCs w:val="20"/>
          <w:u w:val="single" w:color="auto"/>
          <w:color w:val="auto"/>
        </w:rPr>
        <w:t>Certain Tender Offers</w:t>
      </w:r>
      <w:r>
        <w:rPr>
          <w:rFonts w:ascii="Times New Roman" w:cs="Times New Roman" w:eastAsia="Times New Roman" w:hAnsi="Times New Roman"/>
          <w:sz w:val="20"/>
          <w:szCs w:val="20"/>
          <w:color w:val="auto"/>
        </w:rPr>
        <w:t>. If Holders of not less than 90.0% in aggregate principal amount of the outstanding Notes validly tender and do not withdraw such Notes in such tender offer and the Issuer, or any third party approved in writing by the Issuer making such tender offer in lieu of the Issuer, purchases all of the Notes validly tendered and not withdrawn by such Holders, the Issuer or such third party shall have the right upon not less than 10 nor more than 60 days’ prior notice, given not more than 30 days following any such purchase date, to redeem (with respect to the Issuer) or purchase (with respect to a third party) all Notes that remain outstanding following such purchase at a price equal to the price paid to each other Holder in such tender offer plus, to the extent not included in the tender offer payment, accrued and unpaid interest, if any, thereon, to, but excluding, the redemption date or purchase date, subject to the right of Holders of record on the relevant record date to receive interest due on the relevant interest payment date falling on or prior to the redemption date or purchase date.</w:t>
      </w:r>
    </w:p>
    <w:p>
      <w:pPr>
        <w:spacing w:after="0" w:line="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1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200"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4.1.</w:t>
      </w:r>
      <w:r>
        <w:rPr>
          <w:sz w:val="20"/>
          <w:szCs w:val="20"/>
          <w:color w:val="auto"/>
        </w:rPr>
        <w:tab/>
      </w:r>
      <w:r>
        <w:rPr>
          <w:rFonts w:ascii="Times New Roman" w:cs="Times New Roman" w:eastAsia="Times New Roman" w:hAnsi="Times New Roman"/>
          <w:sz w:val="19"/>
          <w:szCs w:val="19"/>
          <w:u w:val="single" w:color="auto"/>
          <w:color w:val="auto"/>
        </w:rPr>
        <w:t>Payment of Notes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50" w:lineRule="auto"/>
        <w:tabs>
          <w:tab w:leader="none" w:pos="113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pay or cause to be paid the principal of, premium, if any, and interest on the Notes on the dates and in the manner provided in the Notes. Principal, premium, if any, and interest shall be considered paid for all purposes hereunder on the date the Trustee or the Paying Agent (if other than the Issuer or a Subsidiary thereof) holds, as of 11:00 a.m. (New York City time) on the relevant payment date, U.S. dollars deposited by the Issuer in immediately available funds and designated for and sufficient to pay all such principal, premium, if any, and interest then due. The Issuer shall pay interest (including post-petition interest in any proceeding under any Bankruptcy Law) on overdue principal at the rate equal to the then applicable interest rate on the Notes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13" w:right="339" w:bottom="1440" w:gutter="0" w:footer="0" w:header="0"/>
        </w:sectPr>
      </w:pPr>
    </w:p>
    <w:bookmarkStart w:id="60" w:name="page61"/>
    <w:bookmarkEnd w:id="60"/>
    <w:p>
      <w:pPr>
        <w:jc w:val="both"/>
        <w:spacing w:after="0" w:line="283" w:lineRule="auto"/>
        <w:rPr>
          <w:sz w:val="20"/>
          <w:szCs w:val="20"/>
          <w:color w:val="auto"/>
        </w:rPr>
      </w:pPr>
      <w:r>
        <w:rPr>
          <w:rFonts w:ascii="Times New Roman" w:cs="Times New Roman" w:eastAsia="Times New Roman" w:hAnsi="Times New Roman"/>
          <w:sz w:val="20"/>
          <w:szCs w:val="20"/>
          <w:color w:val="auto"/>
        </w:rPr>
        <w:t>extent lawful; it shall pay interest (including post-petition interest in any proceeding under any Bankruptcy Law) on overdue installments of interest (without regard to any applicable grace period), at the same rate to the extent lawful.</w:t>
      </w:r>
    </w:p>
    <w:p>
      <w:pPr>
        <w:spacing w:after="0" w:line="14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 xml:space="preserve">Section 4.2. </w:t>
      </w:r>
      <w:r>
        <w:rPr>
          <w:rFonts w:ascii="Times New Roman" w:cs="Times New Roman" w:eastAsia="Times New Roman" w:hAnsi="Times New Roman"/>
          <w:sz w:val="19"/>
          <w:szCs w:val="19"/>
          <w:u w:val="single" w:color="auto"/>
          <w:color w:val="auto"/>
        </w:rPr>
        <w:t>Maintenance of Office or Agency</w:t>
      </w:r>
      <w:r>
        <w:rPr>
          <w:rFonts w:ascii="Times New Roman" w:cs="Times New Roman" w:eastAsia="Times New Roman" w:hAnsi="Times New Roman"/>
          <w:sz w:val="19"/>
          <w:szCs w:val="19"/>
          <w:color w:val="auto"/>
        </w:rPr>
        <w:t>. The Issuer shall maintain an office or agency where Notes may be surrendered for registration of transfer or for exchange and where notices and demands to or upon the Issuer and Guarantors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spacing w:after="0" w:line="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Issuer may also from time to time designate one or more other offices or agencies where the Notes may be presented or surrendered for any or all such purposes and may from time to time rescind such designations. The Issuer shall give prompt written notice to the Trustee of any such designation or rescission and of any change in the location of any such other office or agency.</w:t>
      </w:r>
    </w:p>
    <w:p>
      <w:pPr>
        <w:spacing w:after="0" w:line="19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The Issuer hereby designates the Corporate Trust Office of the Trustee as one such office or agency of the Issuer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4.3.</w:t>
      </w:r>
      <w:r>
        <w:rPr>
          <w:sz w:val="20"/>
          <w:szCs w:val="20"/>
          <w:color w:val="auto"/>
        </w:rPr>
        <w:tab/>
      </w:r>
      <w:r>
        <w:rPr>
          <w:rFonts w:ascii="Times New Roman" w:cs="Times New Roman" w:eastAsia="Times New Roman" w:hAnsi="Times New Roman"/>
          <w:sz w:val="19"/>
          <w:szCs w:val="19"/>
          <w:u w:val="single" w:color="auto"/>
          <w:color w:val="auto"/>
        </w:rPr>
        <w:t>Provision of Financial Information</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53" w:lineRule="auto"/>
        <w:tabs>
          <w:tab w:leader="none" w:pos="116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required by the SEC, so long as any Notes are outstanding, the Issuer shall furnish to the Trustee and the Holders, or, to the extent permitted by the SEC, file electronically with the SEC through the SEC’s Electronic Data Gathering, Analysis and Retrieval System (“</w:t>
      </w:r>
      <w:r>
        <w:rPr>
          <w:rFonts w:ascii="Times New Roman" w:cs="Times New Roman" w:eastAsia="Times New Roman" w:hAnsi="Times New Roman"/>
          <w:sz w:val="20"/>
          <w:szCs w:val="20"/>
          <w:i w:val="1"/>
          <w:iCs w:val="1"/>
          <w:color w:val="auto"/>
        </w:rPr>
        <w:t>EDGAR</w:t>
      </w:r>
      <w:r>
        <w:rPr>
          <w:rFonts w:ascii="Times New Roman" w:cs="Times New Roman" w:eastAsia="Times New Roman" w:hAnsi="Times New Roman"/>
          <w:sz w:val="20"/>
          <w:szCs w:val="20"/>
          <w:color w:val="auto"/>
        </w:rPr>
        <w:t>”) (or any successor system) within the time periods specified in the SEC’s rules and regulations after giving effect to any applicable grace periods therein:</w:t>
      </w:r>
    </w:p>
    <w:p>
      <w:pPr>
        <w:spacing w:after="0" w:line="175" w:lineRule="exact"/>
        <w:rPr>
          <w:rFonts w:ascii="Times New Roman" w:cs="Times New Roman" w:eastAsia="Times New Roman" w:hAnsi="Times New Roman"/>
          <w:sz w:val="20"/>
          <w:szCs w:val="20"/>
          <w:color w:val="auto"/>
        </w:rPr>
      </w:pPr>
    </w:p>
    <w:p>
      <w:pPr>
        <w:ind w:left="660" w:firstLine="644"/>
        <w:spacing w:after="0" w:line="283" w:lineRule="auto"/>
        <w:tabs>
          <w:tab w:leader="none" w:pos="176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quarterly and annual reports that would be required to be filed with the SEC on Forms 10-Q and 10-K if the Issuer were required to file such reports; and</w:t>
      </w:r>
    </w:p>
    <w:p>
      <w:pPr>
        <w:spacing w:after="0" w:line="146" w:lineRule="exact"/>
        <w:rPr>
          <w:rFonts w:ascii="Times New Roman" w:cs="Times New Roman" w:eastAsia="Times New Roman" w:hAnsi="Times New Roman"/>
          <w:sz w:val="20"/>
          <w:szCs w:val="20"/>
          <w:color w:val="auto"/>
        </w:rPr>
      </w:pPr>
    </w:p>
    <w:p>
      <w:pPr>
        <w:ind w:left="1760" w:hanging="456"/>
        <w:spacing w:after="0"/>
        <w:tabs>
          <w:tab w:leader="none" w:pos="176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current reports that would be required to be filed with the SEC on Form 8-K if the Issuer were required to file such</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 the above information will not be required to contain (i) the separate financial information for Guarantors as contemplated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Rule 3-10 of Regulation S-X, (ii) any financial statements of unconsolidated subsidiaries or 50% or less owned persons as contemplated by Rule 3-09 of Regulation S-X, (iii) any information contemplated by Rule 3-16 of Regulation S-X, (iv) any schedules required by Regulation S-X, or (v) in each such case, any successor provisions and (b) such information shall not be required to comply with Regulation G under the Exchange Act or Item 10(e) of Regulation S-K with respect to any non-GAAP financial measures contained therein.</w:t>
      </w:r>
    </w:p>
    <w:p>
      <w:pPr>
        <w:spacing w:after="0" w:line="172" w:lineRule="exact"/>
        <w:rPr>
          <w:sz w:val="20"/>
          <w:szCs w:val="20"/>
          <w:color w:val="auto"/>
        </w:rPr>
      </w:pPr>
    </w:p>
    <w:p>
      <w:pPr>
        <w:jc w:val="both"/>
        <w:ind w:firstLine="656"/>
        <w:spacing w:after="0" w:line="253" w:lineRule="auto"/>
        <w:tabs>
          <w:tab w:leader="none" w:pos="116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Issuer is not subject to the requirements of Section 13 or 15(d) of the Exchange Act, then the Issuer may satisfy its obligations under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with respect to the information relating to the Issuer that would be required in </w:t>
      </w:r>
      <w:r>
        <w:rPr>
          <w:rFonts w:ascii="Times New Roman" w:cs="Times New Roman" w:eastAsia="Times New Roman" w:hAnsi="Times New Roman"/>
          <w:sz w:val="20"/>
          <w:szCs w:val="20"/>
          <w:u w:val="single" w:color="auto"/>
          <w:color w:val="auto"/>
        </w:rPr>
        <w:t>Section 4.3(a)</w:t>
      </w:r>
      <w:r>
        <w:rPr>
          <w:rFonts w:ascii="Times New Roman" w:cs="Times New Roman" w:eastAsia="Times New Roman" w:hAnsi="Times New Roman"/>
          <w:sz w:val="20"/>
          <w:szCs w:val="20"/>
          <w:color w:val="auto"/>
        </w:rPr>
        <w:t xml:space="preserve"> by furnishing such financial information relating to any Parent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financial information so furnished relates to any Parent Company, the same is accompanied by a reasonably detailed description, either on the face of the financial information or in the footnotes thereto and in “Management’s Discussion and Analysis of the Financial Condition and Results of Operations,” of the quantitative differences between the information relating to such Parent Company, on the one hand, and the information relating to the Issuer and the Restricted Subsidiaries on a standalone basis, on the other hand.</w:t>
      </w:r>
    </w:p>
    <w:p>
      <w:pPr>
        <w:spacing w:after="0" w:line="19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7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Issuer has designated any of its Subsidiaries as Unrestricted Subsidiaries, and such Unrestricted Subsidiaries, individually or taken together, would constitute a Significant Subsidiary, then the quarterly and annual financial information required by </w:t>
      </w:r>
      <w:r>
        <w:rPr>
          <w:rFonts w:ascii="Times New Roman" w:cs="Times New Roman" w:eastAsia="Times New Roman" w:hAnsi="Times New Roman"/>
          <w:sz w:val="20"/>
          <w:szCs w:val="20"/>
          <w:u w:val="single" w:color="auto"/>
          <w:color w:val="auto"/>
        </w:rPr>
        <w:t>Section 4.3(a)</w:t>
      </w:r>
      <w:r>
        <w:rPr>
          <w:rFonts w:ascii="Times New Roman" w:cs="Times New Roman" w:eastAsia="Times New Roman" w:hAnsi="Times New Roman"/>
          <w:sz w:val="20"/>
          <w:szCs w:val="20"/>
          <w:color w:val="auto"/>
        </w:rPr>
        <w:t xml:space="preserve"> will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13" w:right="339" w:bottom="1440" w:gutter="0" w:footer="0" w:header="0"/>
        </w:sectPr>
      </w:pPr>
    </w:p>
    <w:bookmarkStart w:id="61" w:name="page62"/>
    <w:bookmarkEnd w:id="61"/>
    <w:p>
      <w:pPr>
        <w:jc w:val="both"/>
        <w:spacing w:after="0" w:line="261" w:lineRule="auto"/>
        <w:rPr>
          <w:sz w:val="20"/>
          <w:szCs w:val="20"/>
          <w:color w:val="auto"/>
        </w:rPr>
      </w:pPr>
      <w:r>
        <w:rPr>
          <w:rFonts w:ascii="Times New Roman" w:cs="Times New Roman" w:eastAsia="Times New Roman" w:hAnsi="Times New Roman"/>
          <w:sz w:val="20"/>
          <w:szCs w:val="20"/>
          <w:color w:val="auto"/>
        </w:rPr>
        <w:t>a reasonably detailed presentation, either on the face of the financial statements or in the footnotes thereto, and in Management’s Discussion and Analysis of Financial Condition and Results of Operations, of the financial condition and results of operations of the Issuer and its Restricted Subsidiaries excluding the Unrestricted Subsidiaries.</w:t>
      </w:r>
    </w:p>
    <w:p>
      <w:pPr>
        <w:spacing w:after="0" w:line="181" w:lineRule="exact"/>
        <w:rPr>
          <w:sz w:val="20"/>
          <w:szCs w:val="20"/>
          <w:color w:val="auto"/>
        </w:rPr>
      </w:pPr>
    </w:p>
    <w:p>
      <w:pPr>
        <w:ind w:firstLine="656"/>
        <w:spacing w:after="0" w:line="269" w:lineRule="auto"/>
        <w:tabs>
          <w:tab w:leader="none" w:pos="110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any Notes are outstanding (unless restricted by law, including in connection with any proposed securities offering), the Issuer will also:</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45"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 later than 15 Business Days after filing or furnishing a copy of each, use its commercially reasonable efforts, consistent with its judgment as to what is prudent at the time, to participate in quarterly conference calls after the delivery of the reports referred to in </w:t>
      </w:r>
      <w:r>
        <w:rPr>
          <w:rFonts w:ascii="Times New Roman" w:cs="Times New Roman" w:eastAsia="Times New Roman" w:hAnsi="Times New Roman"/>
          <w:sz w:val="20"/>
          <w:szCs w:val="20"/>
          <w:u w:val="single" w:color="auto"/>
          <w:color w:val="auto"/>
        </w:rPr>
        <w:t>Section 4.3(a)(1)</w:t>
      </w:r>
      <w:r>
        <w:rPr>
          <w:rFonts w:ascii="Times New Roman" w:cs="Times New Roman" w:eastAsia="Times New Roman" w:hAnsi="Times New Roman"/>
          <w:sz w:val="20"/>
          <w:szCs w:val="20"/>
          <w:color w:val="auto"/>
        </w:rPr>
        <w:t xml:space="preserve"> with the SEC or the Trustee, hold a conference call to discuss the results of operations for the relevant reporting period (the Issuer may satisfy the requirements of this </w:t>
      </w:r>
      <w:r>
        <w:rPr>
          <w:rFonts w:ascii="Times New Roman" w:cs="Times New Roman" w:eastAsia="Times New Roman" w:hAnsi="Times New Roman"/>
          <w:sz w:val="20"/>
          <w:szCs w:val="20"/>
          <w:u w:val="single" w:color="auto"/>
          <w:color w:val="auto"/>
        </w:rPr>
        <w:t>clause (d)(1)</w:t>
      </w:r>
      <w:r>
        <w:rPr>
          <w:rFonts w:ascii="Times New Roman" w:cs="Times New Roman" w:eastAsia="Times New Roman" w:hAnsi="Times New Roman"/>
          <w:sz w:val="20"/>
          <w:szCs w:val="20"/>
          <w:color w:val="auto"/>
        </w:rPr>
        <w:t xml:space="preserve"> by holding the required conference call within the time period required by this </w:t>
      </w:r>
      <w:r>
        <w:rPr>
          <w:rFonts w:ascii="Times New Roman" w:cs="Times New Roman" w:eastAsia="Times New Roman" w:hAnsi="Times New Roman"/>
          <w:sz w:val="20"/>
          <w:szCs w:val="20"/>
          <w:u w:val="single" w:color="auto"/>
          <w:color w:val="auto"/>
        </w:rPr>
        <w:t>clause (d)(1)</w:t>
      </w:r>
      <w:r>
        <w:rPr>
          <w:rFonts w:ascii="Times New Roman" w:cs="Times New Roman" w:eastAsia="Times New Roman" w:hAnsi="Times New Roman"/>
          <w:sz w:val="20"/>
          <w:szCs w:val="20"/>
          <w:color w:val="auto"/>
        </w:rPr>
        <w:t xml:space="preserve"> as part of any earnings call of the Issuer or any Parent Company); and</w:t>
      </w:r>
    </w:p>
    <w:p>
      <w:pPr>
        <w:spacing w:after="0" w:line="191"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8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a press release or otherwise publicly announce no fewer than two Business Days prior to the date of any conference call required to be held in accordance with this paragraph, announcing the time and date of such conference call and either including all information necessary to access the call or directing Holders, prospective investors, broker-dealers and securities analysts to contact the appropriate person at the Issuer to obtain such information.</w:t>
      </w:r>
    </w:p>
    <w:p>
      <w:pPr>
        <w:spacing w:after="0" w:line="172" w:lineRule="exact"/>
        <w:rPr>
          <w:rFonts w:ascii="Times New Roman" w:cs="Times New Roman" w:eastAsia="Times New Roman" w:hAnsi="Times New Roman"/>
          <w:sz w:val="20"/>
          <w:szCs w:val="20"/>
          <w:color w:val="auto"/>
        </w:rPr>
      </w:pPr>
    </w:p>
    <w:p>
      <w:pPr>
        <w:jc w:val="both"/>
        <w:ind w:firstLine="656"/>
        <w:spacing w:after="0" w:line="257" w:lineRule="auto"/>
        <w:tabs>
          <w:tab w:leader="none" w:pos="112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the Issuer is not required to file any of the reports required by </w:t>
      </w:r>
      <w:r>
        <w:rPr>
          <w:rFonts w:ascii="Times New Roman" w:cs="Times New Roman" w:eastAsia="Times New Roman" w:hAnsi="Times New Roman"/>
          <w:sz w:val="20"/>
          <w:szCs w:val="20"/>
          <w:u w:val="single" w:color="auto"/>
          <w:color w:val="auto"/>
        </w:rPr>
        <w:t>Section 4.3(a)</w:t>
      </w:r>
      <w:r>
        <w:rPr>
          <w:rFonts w:ascii="Times New Roman" w:cs="Times New Roman" w:eastAsia="Times New Roman" w:hAnsi="Times New Roman"/>
          <w:sz w:val="20"/>
          <w:szCs w:val="20"/>
          <w:color w:val="auto"/>
        </w:rPr>
        <w:t xml:space="preserve"> with the SEC, the Issuer shall (i) maintain a public website on which the reports required by </w:t>
      </w:r>
      <w:r>
        <w:rPr>
          <w:rFonts w:ascii="Times New Roman" w:cs="Times New Roman" w:eastAsia="Times New Roman" w:hAnsi="Times New Roman"/>
          <w:sz w:val="20"/>
          <w:szCs w:val="20"/>
          <w:u w:val="single" w:color="auto"/>
          <w:color w:val="auto"/>
        </w:rPr>
        <w:t>Section 4.3(a)</w:t>
      </w:r>
      <w:r>
        <w:rPr>
          <w:rFonts w:ascii="Times New Roman" w:cs="Times New Roman" w:eastAsia="Times New Roman" w:hAnsi="Times New Roman"/>
          <w:sz w:val="20"/>
          <w:szCs w:val="20"/>
          <w:color w:val="auto"/>
        </w:rPr>
        <w:t xml:space="preserve"> are posted along with details regarding the times and dates of conference calls required above and information on how to obtain access to such conference calls, (ii) file such reports electronically with the SEC through EDGAR (or any successor system) or (iii) post such reports on Intralinks or any comparable password protected online data system, which may require a confidentiality acknowledgement.</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8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and all Defaults arising from a failure to furnish in a timely manner any information or notice required by this covenant shall be deemed cured (and the Issuer shall be deemed to be in compliance with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upon furnishing such information or notice as contemplated by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(but without regard to the date on which such information or notice is so furnished).</w:t>
      </w:r>
    </w:p>
    <w:p>
      <w:pPr>
        <w:spacing w:after="0" w:line="181" w:lineRule="exact"/>
        <w:rPr>
          <w:rFonts w:ascii="Times New Roman" w:cs="Times New Roman" w:eastAsia="Times New Roman" w:hAnsi="Times New Roman"/>
          <w:sz w:val="20"/>
          <w:szCs w:val="20"/>
          <w:color w:val="auto"/>
        </w:rPr>
      </w:pPr>
    </w:p>
    <w:p>
      <w:pPr>
        <w:ind w:firstLine="656"/>
        <w:spacing w:after="0" w:line="283" w:lineRule="auto"/>
        <w:tabs>
          <w:tab w:leader="none" w:pos="111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so long as any Notes remain outstanding, the Issuer shall furnish to the Holders and to securities analysts and prospective investors, upon their request, the information required to be delivered pursuant to Rule 144A(d)(4) under the Securities Act.</w:t>
      </w:r>
    </w:p>
    <w:p>
      <w:pPr>
        <w:spacing w:after="0" w:line="146" w:lineRule="exact"/>
        <w:rPr>
          <w:rFonts w:ascii="Times New Roman" w:cs="Times New Roman" w:eastAsia="Times New Roman" w:hAnsi="Times New Roman"/>
          <w:sz w:val="20"/>
          <w:szCs w:val="20"/>
          <w:color w:val="auto"/>
        </w:rPr>
      </w:pPr>
    </w:p>
    <w:p>
      <w:pPr>
        <w:jc w:val="both"/>
        <w:ind w:firstLine="656"/>
        <w:spacing w:after="0" w:line="251" w:lineRule="auto"/>
        <w:tabs>
          <w:tab w:leader="none" w:pos="108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such reports, information and documents to the Trustee is for informational purposes only, and the Trustee’s receipt thereof shall not constitute actual or constructive knowledge or notice of any information contained therein or determinable from information contained therein, including the Issuer’s, any Guarantor’s or any other person’s compliance with any of the covenants in this Indenture or the Notes (as to which the Trustee is entitled to rely exclusively on Officers’ Certificates). The Trustee will not be obligated to monitor or confirm, on a continuing basis or otherwise, the Issuer’s, any Guarantor’s or any other person’s compliance with any of the covenants described herein or to determine whether such reports, information or documents have been posted on any website or other online data system or filed with the SEC through EDGAR (or other applicable system), to examine such reports, information, documents to ensure compliance with the provisions of this Indenture, to ascertain the correctness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1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color w:val="auto"/>
        </w:rPr>
        <w:t>otherwise of the information or the statements contained therein, or to participate in any conference calls.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4.4. </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The Issuer shall deliver to the Trustee, within 90 days after the end of each fiscal year beginning with the fiscal year ending December 31, 2026, an Officers’ Certificate stating that a review of the activities of the Issuer and its Subsidiaries during the preceding fiscal year has been made under the supervision of the signing Officers with a view to determining whether each has kept, observed, performed and fulfilled its obligations under this Indenture, and further stating, as to each such Officer signing such certificate, that, to his or her knowledge, each entity has kept, observed, performed and fulfilled each and every covenant contained in this Indenture and is not in default in the performance or observance of any of the terms, provisions and conditions of this Indenture (or, if a Default or Event of Default shall have occurred, describing all such Defaults or Events of Default of which he or she may have knowledge and what action the Issuer is taking or proposes to take with respect thereto) and that, to his or her knowledge, no event has occurred and remains in existence by reason of which payments on account of the principal of, premium, if any, or interest, if any, on the Notes is prohibited or if such event has occurred, a description of the event and what action the Issuer is taking or proposes to take with respect thereto.</w:t>
      </w:r>
    </w:p>
    <w:p>
      <w:pPr>
        <w:spacing w:after="0" w:line="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Issuer shall, so long as any of the Notes are outstanding, deliver to the Trustee, within 30 days after upon any Officer becomes aware of any Default or Event of Default, an Officers’ Certificate specifying such Default or Event of Default and what action the Issuer is taking or proposes to take with respect thereto.</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4.5.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The Issuer shall pay, and shall cause each of its Subsidiaries to pay, prior to delinquency all material taxes, assessments and governmental levies, except such as are contested in good faith and by appropriate proceedings and with respect to which appropriate reserves have been taken in accordance with GAAP or where the failure to effect such payment is not adverse in any material respect to the Holders of the Notes.</w:t>
      </w:r>
    </w:p>
    <w:p>
      <w:pPr>
        <w:spacing w:after="0" w:line="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4.6. </w:t>
      </w:r>
      <w:r>
        <w:rPr>
          <w:rFonts w:ascii="Times New Roman" w:cs="Times New Roman" w:eastAsia="Times New Roman" w:hAnsi="Times New Roman"/>
          <w:sz w:val="20"/>
          <w:szCs w:val="20"/>
          <w:u w:val="single" w:color="auto"/>
          <w:color w:val="auto"/>
        </w:rPr>
        <w:t>Stay, Extension and Usury Laws</w:t>
      </w:r>
      <w:r>
        <w:rPr>
          <w:rFonts w:ascii="Times New Roman" w:cs="Times New Roman" w:eastAsia="Times New Roman" w:hAnsi="Times New Roman"/>
          <w:sz w:val="20"/>
          <w:szCs w:val="20"/>
          <w:color w:val="auto"/>
        </w:rPr>
        <w:t>. The Issuer and each of the Guarantors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4.7.</w:t>
      </w:r>
      <w:r>
        <w:rPr>
          <w:sz w:val="20"/>
          <w:szCs w:val="20"/>
          <w:color w:val="auto"/>
        </w:rPr>
        <w:tab/>
      </w:r>
      <w:r>
        <w:rPr>
          <w:rFonts w:ascii="Times New Roman" w:cs="Times New Roman" w:eastAsia="Times New Roman" w:hAnsi="Times New Roman"/>
          <w:sz w:val="19"/>
          <w:szCs w:val="19"/>
          <w:u w:val="single" w:color="auto"/>
          <w:color w:val="auto"/>
        </w:rPr>
        <w:t>Limitation on Restricted Payments</w:t>
      </w:r>
      <w:r>
        <w:rPr>
          <w:rFonts w:ascii="Times New Roman" w:cs="Times New Roman" w:eastAsia="Times New Roman" w:hAnsi="Times New Roman"/>
          <w:sz w:val="19"/>
          <w:szCs w:val="19"/>
          <w:color w:val="auto"/>
        </w:rPr>
        <w:t>.</w:t>
      </w:r>
    </w:p>
    <w:p>
      <w:pPr>
        <w:spacing w:after="0" w:line="6" w:lineRule="exact"/>
        <w:rPr>
          <w:sz w:val="20"/>
          <w:szCs w:val="20"/>
          <w:color w:val="auto"/>
        </w:rPr>
      </w:pPr>
    </w:p>
    <w:p>
      <w:pPr>
        <w:ind w:firstLine="656"/>
        <w:spacing w:after="0" w:line="260" w:lineRule="auto"/>
        <w:tabs>
          <w:tab w:leader="none" w:pos="108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not, and shall not permit any Restricted Subsidiary to, directly or indirectly, make any Restricted Payment if at the time of such Restricted Payment:</w:t>
      </w:r>
    </w:p>
    <w:p>
      <w:pPr>
        <w:spacing w:after="0" w:line="18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Payment Default or Event of Default shall have occurred and be continuing or shall occur as a consequence thereof;</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is not able to incur at least $1.00 of additional Indebtedness pursuant to the Coverage Ratio Exception; and</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98"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such Restricted Payment, when added to the aggregate amount of all other Restricted Payments made after July 1, 2026 (other than Restricted Payments made pursuant to </w:t>
      </w:r>
      <w:r>
        <w:rPr>
          <w:rFonts w:ascii="Times New Roman" w:cs="Times New Roman" w:eastAsia="Times New Roman" w:hAnsi="Times New Roman"/>
          <w:sz w:val="20"/>
          <w:szCs w:val="20"/>
          <w:u w:val="single" w:color="auto"/>
          <w:color w:val="auto"/>
        </w:rPr>
        <w:t>Sections 4.7(b)(2)</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4.7(b)(11)(A)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4.7(b)(12)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4.7(b)(13)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Restricted Payments made after July 1, 2026 pursuant to </w:t>
      </w:r>
      <w:r>
        <w:rPr>
          <w:rFonts w:ascii="Times New Roman" w:cs="Times New Roman" w:eastAsia="Times New Roman" w:hAnsi="Times New Roman"/>
          <w:sz w:val="20"/>
          <w:szCs w:val="20"/>
          <w:u w:val="single" w:color="auto"/>
          <w:color w:val="auto"/>
        </w:rPr>
        <w:t>Section 4.7(b)(11)(B)</w:t>
      </w:r>
      <w:r>
        <w:rPr>
          <w:rFonts w:ascii="Times New Roman" w:cs="Times New Roman" w:eastAsia="Times New Roman" w:hAnsi="Times New Roman"/>
          <w:sz w:val="20"/>
          <w:szCs w:val="20"/>
          <w:color w:val="auto"/>
        </w:rPr>
        <w:t xml:space="preserve"> shall not cause the amount calculated pursuant to </w:t>
      </w:r>
      <w:r>
        <w:rPr>
          <w:rFonts w:ascii="Times New Roman" w:cs="Times New Roman" w:eastAsia="Times New Roman" w:hAnsi="Times New Roman"/>
          <w:sz w:val="20"/>
          <w:szCs w:val="20"/>
          <w:u w:val="single" w:color="auto"/>
          <w:color w:val="auto"/>
        </w:rPr>
        <w:t>Section 4.7(a)(3)(A)</w:t>
      </w:r>
      <w:r>
        <w:rPr>
          <w:rFonts w:ascii="Times New Roman" w:cs="Times New Roman" w:eastAsia="Times New Roman" w:hAnsi="Times New Roman"/>
          <w:sz w:val="20"/>
          <w:szCs w:val="20"/>
          <w:color w:val="auto"/>
        </w:rPr>
        <w:t xml:space="preserve"> to be less than zero for any fiscal period), exceeds the sum (the “</w:t>
      </w:r>
      <w:r>
        <w:rPr>
          <w:rFonts w:ascii="Times New Roman" w:cs="Times New Roman" w:eastAsia="Times New Roman" w:hAnsi="Times New Roman"/>
          <w:sz w:val="20"/>
          <w:szCs w:val="20"/>
          <w:i w:val="1"/>
          <w:iCs w:val="1"/>
          <w:color w:val="auto"/>
        </w:rPr>
        <w:t>Restricted Payments Builder Basket</w:t>
      </w:r>
      <w:r>
        <w:rPr>
          <w:rFonts w:ascii="Times New Roman" w:cs="Times New Roman" w:eastAsia="Times New Roman" w:hAnsi="Times New Roman"/>
          <w:sz w:val="20"/>
          <w:szCs w:val="20"/>
          <w:color w:val="auto"/>
        </w:rPr>
        <w:t>”) of (without duplication):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13" w:right="339" w:bottom="1440" w:gutter="0" w:footer="0" w:header="0"/>
        </w:sectPr>
      </w:pPr>
    </w:p>
    <w:bookmarkStart w:id="63" w:name="page64"/>
    <w:bookmarkEnd w:id="63"/>
    <w:p>
      <w:pPr>
        <w:jc w:val="both"/>
        <w:ind w:left="4" w:firstLine="1292"/>
        <w:spacing w:after="0" w:line="258" w:lineRule="auto"/>
        <w:tabs>
          <w:tab w:leader="none" w:pos="1824"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 of Consolidated Net Income of the Issuer and the Restricted Subsidiaries for the period (taken as one accounting period) commencing on July 1, 2026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172" w:lineRule="exact"/>
        <w:rPr>
          <w:rFonts w:ascii="Times New Roman" w:cs="Times New Roman" w:eastAsia="Times New Roman" w:hAnsi="Times New Roman"/>
          <w:sz w:val="20"/>
          <w:szCs w:val="20"/>
          <w:color w:val="auto"/>
        </w:rPr>
      </w:pPr>
    </w:p>
    <w:p>
      <w:pPr>
        <w:jc w:val="both"/>
        <w:ind w:left="4" w:firstLine="1292"/>
        <w:spacing w:after="0" w:line="252" w:lineRule="auto"/>
        <w:tabs>
          <w:tab w:leader="none" w:pos="1768"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100.0% of (i) the aggregate net cash proceeds, or the Fair Market Value of any assets or Equity Interests of any Person engaged in a Permitted Business, in each case received by the Issuer or its Restricted Subsidiaries on or after July 1, 2026 as a contribution to the Issuer’s common equity capital or from the issue or sale of Qualified Equity Interests of the Issuer or from the issue or sale of convertible or exchangeable Disqualified Equity Interests of the Issuer or convertible or exchangeable debt securities of the Issuer that have been converted into or exchanged for such Qualified Equity Interests (other than Equity Interests or debt securities issued or sold to a Subsidiary of the Issuer or net cash proceeds received by the Issuer from Qualified Equity Offerings to the extent applied to redeem the Notes in accordance with the provisions set forth under </w:t>
      </w:r>
      <w:r>
        <w:rPr>
          <w:rFonts w:ascii="Times New Roman" w:cs="Times New Roman" w:eastAsia="Times New Roman" w:hAnsi="Times New Roman"/>
          <w:sz w:val="20"/>
          <w:szCs w:val="20"/>
          <w:u w:val="single" w:color="auto"/>
          <w:color w:val="auto"/>
        </w:rPr>
        <w:t>Section 3.7(c)</w:t>
      </w:r>
      <w:r>
        <w:rPr>
          <w:rFonts w:ascii="Times New Roman" w:cs="Times New Roman" w:eastAsia="Times New Roman" w:hAnsi="Times New Roman"/>
          <w:sz w:val="20"/>
          <w:szCs w:val="20"/>
          <w:color w:val="auto"/>
        </w:rPr>
        <w:t xml:space="preserve">), and (ii) the aggregate net cash proceeds, if any, received by the Issuer or any of its Restricted Subsidiaries upon any conversion or exchange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plus</w:t>
      </w:r>
    </w:p>
    <w:p>
      <w:pPr>
        <w:spacing w:after="0" w:line="189" w:lineRule="exact"/>
        <w:rPr>
          <w:rFonts w:ascii="Times New Roman" w:cs="Times New Roman" w:eastAsia="Times New Roman" w:hAnsi="Times New Roman"/>
          <w:sz w:val="20"/>
          <w:szCs w:val="20"/>
          <w:color w:val="auto"/>
        </w:rPr>
      </w:pPr>
    </w:p>
    <w:p>
      <w:pPr>
        <w:jc w:val="both"/>
        <w:ind w:left="4" w:firstLine="1292"/>
        <w:spacing w:after="0" w:line="258" w:lineRule="auto"/>
        <w:tabs>
          <w:tab w:leader="none" w:pos="1851"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disposition or repayment of or return on any Investment that was treated as a Restricted Payment made by the Issuer after July 1, 2026, an amount (to the extent not included in the computation of Consolidated Net Income) equal to 100.0% of the aggregate amount received by the Issuer or any Restricted Subsidiary in cash or other property (valued at the Fair Market Value thereof) as the return of capital with respect to such Investment, plus</w:t>
      </w:r>
    </w:p>
    <w:p>
      <w:pPr>
        <w:spacing w:after="0" w:line="172" w:lineRule="exact"/>
        <w:rPr>
          <w:rFonts w:ascii="Times New Roman" w:cs="Times New Roman" w:eastAsia="Times New Roman" w:hAnsi="Times New Roman"/>
          <w:sz w:val="20"/>
          <w:szCs w:val="20"/>
          <w:color w:val="auto"/>
        </w:rPr>
      </w:pPr>
    </w:p>
    <w:p>
      <w:pPr>
        <w:jc w:val="both"/>
        <w:ind w:left="4" w:firstLine="1292"/>
        <w:spacing w:after="0" w:line="253" w:lineRule="auto"/>
        <w:tabs>
          <w:tab w:leader="none" w:pos="1835" w:val="left"/>
        </w:tabs>
        <w:numPr>
          <w:ilvl w:val="2"/>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 Redesignation of an Unrestricted Subsidiary as a Restricted Subsidiary, an amount (to the extent not included in the computation of Consolidated Net Income) equal to the lesser of (i) the Fair Market Value of the Issuer’s proportionate interest in such Subsidiary immediately following such Redesignation, and (ii) the aggregate amount of the Issuer’s Investments in such Subsidiary to the extent such Investments reduced the Restricted Payments Builder Basket and were not previously repaid or otherwise reduced.</w:t>
      </w:r>
    </w:p>
    <w:p>
      <w:pPr>
        <w:spacing w:after="0" w:line="191" w:lineRule="exact"/>
        <w:rPr>
          <w:rFonts w:ascii="Times New Roman" w:cs="Times New Roman" w:eastAsia="Times New Roman" w:hAnsi="Times New Roman"/>
          <w:sz w:val="20"/>
          <w:szCs w:val="20"/>
          <w:color w:val="auto"/>
        </w:rPr>
      </w:pPr>
    </w:p>
    <w:p>
      <w:pPr>
        <w:ind w:left="424" w:hanging="424"/>
        <w:spacing w:after="0"/>
        <w:tabs>
          <w:tab w:leader="none" w:pos="42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w:t>
      </w:r>
      <w:r>
        <w:rPr>
          <w:rFonts w:ascii="Times New Roman" w:cs="Times New Roman" w:eastAsia="Times New Roman" w:hAnsi="Times New Roman"/>
          <w:sz w:val="20"/>
          <w:szCs w:val="20"/>
          <w:u w:val="single" w:color="auto"/>
          <w:color w:val="auto"/>
        </w:rPr>
        <w:t>Section 4.7(a)</w:t>
      </w:r>
      <w:r>
        <w:rPr>
          <w:rFonts w:ascii="Times New Roman" w:cs="Times New Roman" w:eastAsia="Times New Roman" w:hAnsi="Times New Roman"/>
          <w:sz w:val="20"/>
          <w:szCs w:val="20"/>
          <w:color w:val="auto"/>
        </w:rPr>
        <w:t xml:space="preserve"> shall not prohibit:</w:t>
      </w:r>
    </w:p>
    <w:p>
      <w:pPr>
        <w:spacing w:after="0" w:line="229"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11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any dividend or redemption payment or the making of any distribution within 60 days after the date of declaration thereof if, on the date of declaration, the dividend, redemption or distribution payment, as the case may be, would have complied with the provisions of this Indenture;</w:t>
      </w:r>
    </w:p>
    <w:p>
      <w:pPr>
        <w:spacing w:after="0" w:line="167" w:lineRule="exact"/>
        <w:rPr>
          <w:rFonts w:ascii="Times New Roman" w:cs="Times New Roman" w:eastAsia="Times New Roman" w:hAnsi="Times New Roman"/>
          <w:sz w:val="20"/>
          <w:szCs w:val="20"/>
          <w:color w:val="auto"/>
        </w:rPr>
      </w:pPr>
    </w:p>
    <w:p>
      <w:pPr>
        <w:ind w:left="4" w:firstLine="644"/>
        <w:spacing w:after="0" w:line="283" w:lineRule="auto"/>
        <w:tabs>
          <w:tab w:leader="none" w:pos="1105"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Payment made in exchange for, or out of the proceeds of, the substantially concurrent issuance and sale of Qualified Equity Interests;</w:t>
      </w:r>
    </w:p>
    <w:p>
      <w:pPr>
        <w:spacing w:after="0" w:line="159"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278"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 repurchase, redemption, defeasance or other acquisition or retirement for value of Subordinated Indebtedness of the Issuer or any Restricted Subsidiary in exchange for, or out of the proceeds of, the substantially concurrent incurrence of, Refinancing Indebtedness permitted to be incurred under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and the other terms of this Indenture;</w:t>
      </w:r>
    </w:p>
    <w:p>
      <w:pPr>
        <w:spacing w:after="0" w:line="167" w:lineRule="exact"/>
        <w:rPr>
          <w:rFonts w:ascii="Times New Roman" w:cs="Times New Roman" w:eastAsia="Times New Roman" w:hAnsi="Times New Roman"/>
          <w:sz w:val="20"/>
          <w:szCs w:val="20"/>
          <w:color w:val="auto"/>
        </w:rPr>
      </w:pPr>
    </w:p>
    <w:p>
      <w:pPr>
        <w:jc w:val="both"/>
        <w:ind w:left="4" w:right="20" w:firstLine="644"/>
        <w:spacing w:after="0" w:line="268" w:lineRule="auto"/>
        <w:tabs>
          <w:tab w:leader="none" w:pos="1278"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repurchase, redemption, defeasance or other acquisition or retirement for value of Subordinated Indebtedness of the Issuer or any Restricted Subsidiary (A) at a purchase price not greater than 101.0% of the principal amount of such Subordinated Indebtedness in the event of a Change of Control in accordance with provisions similar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0584"/>
          </w:cols>
          <w:pgMar w:left="976" w:top="1413" w:right="339" w:bottom="1440" w:gutter="0" w:footer="0" w:header="0"/>
        </w:sectPr>
      </w:pPr>
    </w:p>
    <w:bookmarkStart w:id="64" w:name="page65"/>
    <w:bookmarkEnd w:id="64"/>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or (B) at a purchase price not greater than 100.0% of the principal amount thereof in accordance with provisions similar to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prior to or simultaneously with such purchase, repurchase, redemption, defeasance or other acquisition or retirement, the Issuer has made the Change of Control Offer or Net Proceeds Offer, as applicable, as provided in such covenant with respect to the Notes and has completed the repurchase or redemption of all Notes validly tendered for payment in connection with such Change of Control Offer or Net Proceeds Offer;</w:t>
      </w:r>
    </w:p>
    <w:p>
      <w:pPr>
        <w:spacing w:after="0" w:line="192" w:lineRule="exact"/>
        <w:rPr>
          <w:sz w:val="20"/>
          <w:szCs w:val="20"/>
          <w:color w:val="auto"/>
        </w:rPr>
      </w:pPr>
    </w:p>
    <w:p>
      <w:pPr>
        <w:jc w:val="both"/>
        <w:ind w:firstLine="644"/>
        <w:spacing w:after="0" w:line="250" w:lineRule="auto"/>
        <w:tabs>
          <w:tab w:leader="none" w:pos="124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Payment Default or Event of Default has occurred and is continuing or would result therefrom, redemptions, repurchases or other acquisitions or retirements for value by the Issuer of, or distributions to any Parent Company to permit such Parent Company to redeem, repurchase, or otherwise acquire or retire for value, Equity Interests of the Issuer or any Parent Company held by officers, directors or employees or former officers, directors or employees (or their transferees, estates or beneficiaries under their estates), either (x) upon any such individual’s death, disability, retirement, severance or termination of employment or service or (y) pursuant to any equity subscription agreement, stock option agreement, stockholders’ agreement or similar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in any case, that the aggregate cash consideration paid for all such redemptions, repurchases or other acquisitions or retirements shall not exceed (A) $20.0 million during any calendar year (with unused amounts in any calendar year being carried forward to succeeding calendar years) plus (B) the amount of any net cash proceeds received by or contributed to the Issuer or any Parent Company (to the extent received by or contributed to the Issuer or any Restricted Subsidiary) from the issuance and sale after the Issue Date of Qualified Equity Interests to its officers, directors or employees that have not been applied to the payment of Restricted Payments pursuant to this </w:t>
      </w:r>
      <w:r>
        <w:rPr>
          <w:rFonts w:ascii="Times New Roman" w:cs="Times New Roman" w:eastAsia="Times New Roman" w:hAnsi="Times New Roman"/>
          <w:sz w:val="20"/>
          <w:szCs w:val="20"/>
          <w:u w:val="single" w:color="auto"/>
          <w:color w:val="auto"/>
        </w:rPr>
        <w:t>clause (5)</w:t>
      </w:r>
      <w:r>
        <w:rPr>
          <w:rFonts w:ascii="Times New Roman" w:cs="Times New Roman" w:eastAsia="Times New Roman" w:hAnsi="Times New Roman"/>
          <w:sz w:val="20"/>
          <w:szCs w:val="20"/>
          <w:color w:val="auto"/>
        </w:rPr>
        <w:t xml:space="preserve">, plus (C) the net cash proceeds of any “key-man” life insurance policies that have not been applied to the payment of Restricted Payments pursuant to this </w:t>
      </w:r>
      <w:r>
        <w:rPr>
          <w:rFonts w:ascii="Times New Roman" w:cs="Times New Roman" w:eastAsia="Times New Roman" w:hAnsi="Times New Roman"/>
          <w:sz w:val="20"/>
          <w:szCs w:val="20"/>
          <w:u w:val="single" w:color="auto"/>
          <w:color w:val="auto"/>
        </w:rPr>
        <w:t>clause (5)</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jc w:val="both"/>
        <w:ind w:firstLine="644"/>
        <w:spacing w:after="0" w:line="253" w:lineRule="auto"/>
        <w:tabs>
          <w:tab w:leader="none" w:pos="116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redemptions, repurchases or other acquisitions or retirements for value by the Issuer of, or distributions to any Parent Company to fund repurchases, redemptions or other acquisitions or retirements for value of, Equity Interests of any Parent Company or the Issuer deemed to occur upon the exercise of stock options, warrants, rights to acquire Equity Interests of the Issuer or any Parent Company or other convertible securities to the extent such Equity Interests represent a portion of the exercise or exchange price thereof and (B) any repurchase, redemptions or other acquisitions or retirements for value of Equity Interests of the Issuer made in lieu of withholding taxes in connection with any exercise or exchange of stock options, warrants or similar rights;</w:t>
      </w:r>
    </w:p>
    <w:p>
      <w:pPr>
        <w:spacing w:after="0" w:line="178" w:lineRule="exact"/>
        <w:rPr>
          <w:rFonts w:ascii="Times New Roman" w:cs="Times New Roman" w:eastAsia="Times New Roman" w:hAnsi="Times New Roman"/>
          <w:sz w:val="20"/>
          <w:szCs w:val="20"/>
          <w:color w:val="auto"/>
        </w:rPr>
      </w:pPr>
    </w:p>
    <w:p>
      <w:pPr>
        <w:jc w:val="both"/>
        <w:ind w:firstLine="644"/>
        <w:spacing w:after="0" w:line="258" w:lineRule="auto"/>
        <w:tabs>
          <w:tab w:leader="none" w:pos="109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Payment Default or Event of Default has occurred and is continuing or would result therefrom, dividends or distributions on Disqualified Equity Interests of the Issuer or any Restricted Subsidiary or on any Preferred Stock of any Restricted Subsidiary, in each case issued in compliance with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to the extent such dividends or distributions are included in the definition of Consolidated Interest Expense;</w:t>
      </w:r>
    </w:p>
    <w:p>
      <w:pPr>
        <w:spacing w:after="0" w:line="185"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cash in lieu of fractional Equity Interests of the Issuer;</w:t>
      </w:r>
    </w:p>
    <w:p>
      <w:pPr>
        <w:spacing w:after="0" w:line="215" w:lineRule="exact"/>
        <w:rPr>
          <w:rFonts w:ascii="Times New Roman" w:cs="Times New Roman" w:eastAsia="Times New Roman" w:hAnsi="Times New Roman"/>
          <w:sz w:val="20"/>
          <w:szCs w:val="20"/>
          <w:color w:val="auto"/>
        </w:rPr>
      </w:pPr>
    </w:p>
    <w:p>
      <w:pPr>
        <w:ind w:firstLine="644"/>
        <w:spacing w:after="0" w:line="283" w:lineRule="auto"/>
        <w:tabs>
          <w:tab w:leader="none" w:pos="128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payments or distributions to dissenting stockholders pursuant to applicable law in connection with a merger, consolidation or transfer of assets that complies with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firstLine="644"/>
        <w:spacing w:after="0" w:line="268" w:lineRule="auto"/>
        <w:tabs>
          <w:tab w:leader="none" w:pos="129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distributions by the Issuer to the holders of Equity Interests of the Issuer in accordance with a distribution reinvestment plan or dividend reinvestment plan to the extent such payments are applied to the purchase of Equity Interests directly from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0580"/>
          </w:cols>
          <w:pgMar w:left="980" w:top="1413" w:right="339" w:bottom="1440" w:gutter="0" w:footer="0" w:header="0"/>
        </w:sectPr>
      </w:pPr>
    </w:p>
    <w:bookmarkStart w:id="65" w:name="page66"/>
    <w:bookmarkEnd w:id="65"/>
    <w:p>
      <w:pPr>
        <w:jc w:val="both"/>
        <w:ind w:left="660" w:firstLine="644"/>
        <w:spacing w:after="0" w:line="253" w:lineRule="auto"/>
        <w:tabs>
          <w:tab w:leader="none" w:pos="191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Payment Default or Event of Default has occurred and is continuing or would result therefrom, (A) payment of other Restricted Payments from time to time in an aggregate amount since the Issue Date not to exceed the greater of (x) $375.0 million and (y) 5.0% of the Issuer’s Consolidated Total Assets determined at the time of such Restricted Payment and (B) payment of other Restricted Payments in an unlimited amount so long as after giving pro forma effect thereto the Consolidated Total Debt Ratio (calculated by excluding the $800 million aggregate principal amount of the Issuer’s additional 8.000% Senior Notes due 2030 issued on August 22, 2024) does not exceed 1.25 to 1.00;</w:t>
      </w:r>
    </w:p>
    <w:p>
      <w:pPr>
        <w:spacing w:after="0" w:line="192" w:lineRule="exact"/>
        <w:rPr>
          <w:rFonts w:ascii="Times New Roman" w:cs="Times New Roman" w:eastAsia="Times New Roman" w:hAnsi="Times New Roman"/>
          <w:sz w:val="20"/>
          <w:szCs w:val="20"/>
          <w:color w:val="auto"/>
        </w:rPr>
      </w:pPr>
    </w:p>
    <w:p>
      <w:pPr>
        <w:ind w:left="660" w:firstLine="644"/>
        <w:spacing w:after="0" w:line="269" w:lineRule="auto"/>
        <w:tabs>
          <w:tab w:leader="none" w:pos="188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repurchases or other retirements of Equity Interests not to exceed the greater of (x) $150.0 million or (y) 2.0% of Total Assets (measured at the time of such payment); or</w:t>
      </w:r>
    </w:p>
    <w:p>
      <w:pPr>
        <w:spacing w:after="0" w:line="172"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Payments to Parent.</w:t>
      </w:r>
    </w:p>
    <w:p>
      <w:pPr>
        <w:spacing w:after="0" w:line="200" w:lineRule="exact"/>
        <w:rPr>
          <w:sz w:val="20"/>
          <w:szCs w:val="20"/>
          <w:color w:val="auto"/>
        </w:rPr>
      </w:pPr>
    </w:p>
    <w:p>
      <w:pPr>
        <w:spacing w:after="0" w:line="25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no issuance and sale of Qualified Equity Interests used to make a payment pursuant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clauses (2)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(5)(B)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above shall increase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Restricted Payments Builder Basket to the extent of such payment.</w:t>
      </w:r>
    </w:p>
    <w:p>
      <w:pPr>
        <w:spacing w:after="0" w:line="156"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9"/>
          <w:szCs w:val="19"/>
          <w:color w:val="auto"/>
        </w:rPr>
        <w:t xml:space="preserve">For purposes of determining compliance with this </w:t>
      </w:r>
      <w:r>
        <w:rPr>
          <w:rFonts w:ascii="Times New Roman" w:cs="Times New Roman" w:eastAsia="Times New Roman" w:hAnsi="Times New Roman"/>
          <w:sz w:val="19"/>
          <w:szCs w:val="19"/>
          <w:u w:val="single" w:color="auto"/>
          <w:color w:val="auto"/>
        </w:rPr>
        <w:t>Section 4.7</w:t>
      </w:r>
      <w:r>
        <w:rPr>
          <w:rFonts w:ascii="Times New Roman" w:cs="Times New Roman" w:eastAsia="Times New Roman" w:hAnsi="Times New Roman"/>
          <w:sz w:val="19"/>
          <w:szCs w:val="19"/>
          <w:color w:val="auto"/>
        </w:rPr>
        <w:t xml:space="preserve">, in the event that any Restricted Payment or Investment (or a portion thereof) meets the criteria of more than one of the categories of Restricted Payments described in </w:t>
      </w:r>
      <w:r>
        <w:rPr>
          <w:rFonts w:ascii="Times New Roman" w:cs="Times New Roman" w:eastAsia="Times New Roman" w:hAnsi="Times New Roman"/>
          <w:sz w:val="19"/>
          <w:szCs w:val="19"/>
          <w:u w:val="single" w:color="auto"/>
          <w:color w:val="auto"/>
        </w:rPr>
        <w:t>Section 4.7(a)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Sections 4.7(b)(1)</w:t>
      </w:r>
      <w:r>
        <w:rPr>
          <w:rFonts w:ascii="Times New Roman" w:cs="Times New Roman" w:eastAsia="Times New Roman" w:hAnsi="Times New Roman"/>
          <w:sz w:val="19"/>
          <w:szCs w:val="19"/>
          <w:color w:val="auto"/>
        </w:rPr>
        <w:t xml:space="preserve"> through</w:t>
      </w:r>
    </w:p>
    <w:p>
      <w:pPr>
        <w:spacing w:after="0" w:line="2" w:lineRule="exact"/>
        <w:rPr>
          <w:sz w:val="20"/>
          <w:szCs w:val="20"/>
          <w:color w:val="auto"/>
        </w:rPr>
      </w:pPr>
    </w:p>
    <w:p>
      <w:pPr>
        <w:jc w:val="both"/>
        <w:ind w:firstLine="8"/>
        <w:spacing w:after="0" w:line="253" w:lineRule="auto"/>
        <w:tabs>
          <w:tab w:leader="none" w:pos="380" w:val="left"/>
        </w:tabs>
        <w:numPr>
          <w:ilvl w:val="0"/>
          <w:numId w:val="7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and/or one or more of the clauses contained in the definition of “Permitted Investments,” the Issuer will, in its sole discretion, be entitled to divide or classify (or later divide, classify or reclassify), in whole or in part, such Restricted Payment or Investment (or any portion thereof) among </w:t>
      </w:r>
      <w:r>
        <w:rPr>
          <w:rFonts w:ascii="Times New Roman" w:cs="Times New Roman" w:eastAsia="Times New Roman" w:hAnsi="Times New Roman"/>
          <w:sz w:val="20"/>
          <w:szCs w:val="20"/>
          <w:u w:val="single" w:color="auto"/>
          <w:color w:val="auto"/>
        </w:rPr>
        <w:t>Section 4.7(a)</w:t>
      </w:r>
      <w:r>
        <w:rPr>
          <w:rFonts w:ascii="Times New Roman" w:cs="Times New Roman" w:eastAsia="Times New Roman" w:hAnsi="Times New Roman"/>
          <w:sz w:val="20"/>
          <w:szCs w:val="20"/>
          <w:color w:val="auto"/>
        </w:rPr>
        <w:t xml:space="preserve"> and/or such </w:t>
      </w:r>
      <w:r>
        <w:rPr>
          <w:rFonts w:ascii="Times New Roman" w:cs="Times New Roman" w:eastAsia="Times New Roman" w:hAnsi="Times New Roman"/>
          <w:sz w:val="20"/>
          <w:szCs w:val="20"/>
          <w:u w:val="single" w:color="auto"/>
          <w:color w:val="auto"/>
        </w:rPr>
        <w:t>Sections 4.7(b)(1)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(13)</w:t>
      </w:r>
      <w:r>
        <w:rPr>
          <w:rFonts w:ascii="Times New Roman" w:cs="Times New Roman" w:eastAsia="Times New Roman" w:hAnsi="Times New Roman"/>
          <w:sz w:val="20"/>
          <w:szCs w:val="20"/>
          <w:color w:val="auto"/>
        </w:rPr>
        <w:t xml:space="preserve"> and/or one or more clauses contained in the definition of “Permitted Investments” in a manner that otherwise complies with this covenant.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any Person in which an Investment is made, which Investment constitutes a Restricted Payment when made, thereafter becomes a Restricted Subsidiary in accordance with this Indenture, all such Investments previously made in such Person shall be Permitted Investments under clause (1)(b) of the definition thereof, and for the avoidance of doubt, all such Investments shall no longer be counted as Restricted Payments for purposes of calculating the aggregate amount of Restricted Payments pursuant to clause (3) of the definition of “Restricted Payments,” in each case, to the extent such Investments would otherwise be so counted.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For the purposes of determining compliance with any U.S. dollar-denominated restriction on Restricted Payments denominated in a foreign currency, the U.S. dollar-equivalent amount of such 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Issuer or such Restricted Subsidiary, as the case may be, pursuant to the Restricted Payment.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4.8. </w:t>
      </w:r>
      <w:r>
        <w:rPr>
          <w:rFonts w:ascii="Times New Roman" w:cs="Times New Roman" w:eastAsia="Times New Roman" w:hAnsi="Times New Roman"/>
          <w:sz w:val="20"/>
          <w:szCs w:val="20"/>
          <w:u w:val="single" w:color="auto"/>
          <w:color w:val="auto"/>
        </w:rPr>
        <w:t>Limitation on Dividend and Other Restrictions Affecting Restricted Subsidiaries</w:t>
      </w:r>
      <w:r>
        <w:rPr>
          <w:rFonts w:ascii="Times New Roman" w:cs="Times New Roman" w:eastAsia="Times New Roman" w:hAnsi="Times New Roman"/>
          <w:sz w:val="20"/>
          <w:szCs w:val="20"/>
          <w:color w:val="auto"/>
        </w:rPr>
        <w:t>. (a) The Issuer shall not, and shall not permit any Restricted Subsidiary to, directly or indirectly, create or otherwise cause or permit to exist or become effective any consensual encumbrance or consensual restriction on the ability of any Restricted Subsidiary to:</w:t>
      </w:r>
    </w:p>
    <w:p>
      <w:pPr>
        <w:spacing w:after="0" w:line="1" w:lineRule="exact"/>
        <w:rPr>
          <w:sz w:val="20"/>
          <w:szCs w:val="20"/>
          <w:color w:val="auto"/>
        </w:rPr>
      </w:pPr>
    </w:p>
    <w:p>
      <w:pPr>
        <w:jc w:val="both"/>
        <w:ind w:left="660" w:firstLine="644"/>
        <w:spacing w:after="0" w:line="253" w:lineRule="auto"/>
        <w:tabs>
          <w:tab w:leader="none" w:pos="187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or make any other distributions on or in respect of its Equity Interests to the Issuer or any of its Restricted Subsidiaries, or with respect to any other interest or participation in, or measured by, its profits (it being understood that the priority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13" w:right="339" w:bottom="1440" w:gutter="0" w:footer="0" w:header="0"/>
        </w:sectPr>
      </w:pPr>
    </w:p>
    <w:bookmarkStart w:id="66" w:name="page67"/>
    <w:bookmarkEnd w:id="66"/>
    <w:p>
      <w:pPr>
        <w:ind w:left="4"/>
        <w:spacing w:after="0" w:line="283" w:lineRule="auto"/>
        <w:rPr>
          <w:sz w:val="20"/>
          <w:szCs w:val="20"/>
          <w:color w:val="auto"/>
        </w:rPr>
      </w:pPr>
      <w:r>
        <w:rPr>
          <w:rFonts w:ascii="Times New Roman" w:cs="Times New Roman" w:eastAsia="Times New Roman" w:hAnsi="Times New Roman"/>
          <w:sz w:val="20"/>
          <w:szCs w:val="20"/>
          <w:color w:val="auto"/>
        </w:rPr>
        <w:t>Preferred Stock in receiving dividends or liquidating distributions prior to dividends or liquidating distributions being paid on Common Stock shall not be deemed a restriction on the ability to make distributions on Equity Interests);</w:t>
      </w:r>
    </w:p>
    <w:p>
      <w:pPr>
        <w:spacing w:after="0" w:line="146" w:lineRule="exact"/>
        <w:rPr>
          <w:sz w:val="20"/>
          <w:szCs w:val="20"/>
          <w:color w:val="auto"/>
        </w:rPr>
      </w:pPr>
    </w:p>
    <w:p>
      <w:pPr>
        <w:jc w:val="both"/>
        <w:ind w:left="4" w:firstLine="644"/>
        <w:spacing w:after="0" w:line="258" w:lineRule="auto"/>
        <w:tabs>
          <w:tab w:leader="none" w:pos="1203"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loans or advances, or pay any Indebtedness or other obligation owed, to the Issuer or any other Restricted Subsidiary (it being understood that the subordination of loans or advances made to the Issuer or any Restricted Subsidiary to other Indebtedness or obligations incurred by the Issuer or any Restricted Subsidiary shall not be deemed a restriction on the ability to make loans or advances); or</w:t>
      </w:r>
    </w:p>
    <w:p>
      <w:pPr>
        <w:spacing w:after="0" w:line="185" w:lineRule="exact"/>
        <w:rPr>
          <w:rFonts w:ascii="Times New Roman" w:cs="Times New Roman" w:eastAsia="Times New Roman" w:hAnsi="Times New Roman"/>
          <w:sz w:val="20"/>
          <w:szCs w:val="20"/>
          <w:color w:val="auto"/>
        </w:rPr>
      </w:pPr>
    </w:p>
    <w:p>
      <w:pPr>
        <w:ind w:left="4" w:firstLine="644"/>
        <w:spacing w:after="0" w:line="269" w:lineRule="auto"/>
        <w:tabs>
          <w:tab w:leader="none" w:pos="1167"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transfer any of its property or assets to the Issuer or any other Restricted Subsidiary (it being understood that such transfers shall not include any type of transfer described in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above);</w:t>
      </w:r>
    </w:p>
    <w:p>
      <w:pPr>
        <w:spacing w:after="0" w:line="172" w:lineRule="exact"/>
        <w:rPr>
          <w:rFonts w:ascii="Times New Roman" w:cs="Times New Roman" w:eastAsia="Times New Roman" w:hAnsi="Times New Roman"/>
          <w:sz w:val="20"/>
          <w:szCs w:val="20"/>
          <w:color w:val="auto"/>
        </w:rPr>
      </w:pPr>
    </w:p>
    <w:p>
      <w:pPr>
        <w:ind w:left="424" w:hanging="424"/>
        <w:spacing w:after="0"/>
        <w:tabs>
          <w:tab w:leader="none" w:pos="42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w:t>
      </w:r>
      <w:r>
        <w:rPr>
          <w:rFonts w:ascii="Times New Roman" w:cs="Times New Roman" w:eastAsia="Times New Roman" w:hAnsi="Times New Roman"/>
          <w:sz w:val="20"/>
          <w:szCs w:val="20"/>
          <w:u w:val="single" w:color="auto"/>
          <w:color w:val="auto"/>
        </w:rPr>
        <w:t>Section 4.8(a)</w:t>
      </w:r>
      <w:r>
        <w:rPr>
          <w:rFonts w:ascii="Times New Roman" w:cs="Times New Roman" w:eastAsia="Times New Roman" w:hAnsi="Times New Roman"/>
          <w:sz w:val="20"/>
          <w:szCs w:val="20"/>
          <w:color w:val="auto"/>
        </w:rPr>
        <w:t xml:space="preserve"> shall not prohibit encumbrances or restrictions:</w:t>
      </w:r>
    </w:p>
    <w:p>
      <w:pPr>
        <w:spacing w:after="0" w:line="215" w:lineRule="exact"/>
        <w:rPr>
          <w:rFonts w:ascii="Times New Roman" w:cs="Times New Roman" w:eastAsia="Times New Roman" w:hAnsi="Times New Roman"/>
          <w:sz w:val="20"/>
          <w:szCs w:val="20"/>
          <w:color w:val="auto"/>
        </w:rPr>
      </w:pPr>
    </w:p>
    <w:p>
      <w:pPr>
        <w:ind w:left="1164" w:hanging="516"/>
        <w:spacing w:after="0"/>
        <w:tabs>
          <w:tab w:leader="none" w:pos="1164"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existing under the RCF Credit Agreement existing on the Issue Date or any other agreements existing on the Issue</w:t>
      </w:r>
    </w:p>
    <w:p>
      <w:pPr>
        <w:spacing w:after="0" w:line="28" w:lineRule="exact"/>
        <w:rPr>
          <w:rFonts w:ascii="Times New Roman" w:cs="Times New Roman" w:eastAsia="Times New Roman" w:hAnsi="Times New Roman"/>
          <w:sz w:val="20"/>
          <w:szCs w:val="20"/>
          <w:color w:val="auto"/>
        </w:rPr>
      </w:pPr>
    </w:p>
    <w:p>
      <w:pPr>
        <w:ind w:left="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w:t>
      </w:r>
    </w:p>
    <w:p>
      <w:pPr>
        <w:spacing w:after="0" w:line="213" w:lineRule="exact"/>
        <w:rPr>
          <w:rFonts w:ascii="Times New Roman" w:cs="Times New Roman" w:eastAsia="Times New Roman" w:hAnsi="Times New Roman"/>
          <w:sz w:val="20"/>
          <w:szCs w:val="20"/>
          <w:color w:val="auto"/>
        </w:rPr>
      </w:pPr>
    </w:p>
    <w:p>
      <w:pPr>
        <w:ind w:left="1084" w:hanging="436"/>
        <w:spacing w:after="0"/>
        <w:tabs>
          <w:tab w:leader="none" w:pos="1084"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existing under this Indenture, the Notes and the Guarantees;</w:t>
      </w:r>
    </w:p>
    <w:p>
      <w:pPr>
        <w:spacing w:after="0" w:line="215"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116"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existing under any instrument governing Acquired Indebtedness or Equity Interests of a Person acquired by the Issuer or any of its Restricted Subsidiaries, which encumbrance or restriction is not applicable to any Person, or the properties or assets of any Person, other than the Person or the properties or assets of the Person so acquired;</w:t>
      </w:r>
    </w:p>
    <w:p>
      <w:pPr>
        <w:spacing w:after="0" w:line="181" w:lineRule="exact"/>
        <w:rPr>
          <w:rFonts w:ascii="Times New Roman" w:cs="Times New Roman" w:eastAsia="Times New Roman" w:hAnsi="Times New Roman"/>
          <w:sz w:val="20"/>
          <w:szCs w:val="20"/>
          <w:color w:val="auto"/>
        </w:rPr>
      </w:pPr>
    </w:p>
    <w:p>
      <w:pPr>
        <w:jc w:val="both"/>
        <w:ind w:left="4" w:firstLine="644"/>
        <w:spacing w:after="0" w:line="258" w:lineRule="auto"/>
        <w:tabs>
          <w:tab w:leader="none" w:pos="1081"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existing under any agreement or other instrument of a Person acquired by the Issuer or any of its Restricted Subsidiaries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so acquired (including after acquired property);</w:t>
      </w:r>
    </w:p>
    <w:p>
      <w:pPr>
        <w:spacing w:after="0" w:line="172"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145"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existing under any amendment, restatement, modification, renewal, increases, supplement, refunding, replacement or refinancing of an agreement referred to in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4.8(b)</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clause (5)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encumbrances and restrictions contained in such amendments, restatements, modifications, renewals, increases, supplements, refunding, replacements or refinancing are, in the good faith judgment of the Issuer, not materially more restrictive, taken as a whole, than such encumbrances and restrictions contained in the agreements referred to in such clauses on the Issue Date or the date such Restricted Subsidiary became a Restricted Subsidiary or was merged into a Restricted Subsidiary, whichever is applicable;</w:t>
      </w:r>
    </w:p>
    <w:p>
      <w:pPr>
        <w:spacing w:after="0" w:line="179" w:lineRule="exact"/>
        <w:rPr>
          <w:rFonts w:ascii="Times New Roman" w:cs="Times New Roman" w:eastAsia="Times New Roman" w:hAnsi="Times New Roman"/>
          <w:sz w:val="20"/>
          <w:szCs w:val="20"/>
          <w:color w:val="auto"/>
        </w:rPr>
      </w:pPr>
    </w:p>
    <w:p>
      <w:pPr>
        <w:ind w:left="1084" w:hanging="436"/>
        <w:spacing w:after="0"/>
        <w:tabs>
          <w:tab w:leader="none" w:pos="1084"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existing under or by reason of applicable law, regulation or order;</w:t>
      </w:r>
    </w:p>
    <w:p>
      <w:pPr>
        <w:spacing w:after="0" w:line="229"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116"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resulting from non-assignment provisions of any contract applying to the transfer of any Rig that is the subject of any such contract, including any charter party agreement, drilling contract or any demise, bareboat, time, voyage, other charter or any lease,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0584"/>
          </w:cols>
          <w:pgMar w:left="976" w:top="1413" w:right="339" w:bottom="1440" w:gutter="0" w:footer="0" w:header="0"/>
        </w:sectPr>
      </w:pPr>
    </w:p>
    <w:bookmarkStart w:id="67" w:name="page68"/>
    <w:bookmarkEnd w:id="67"/>
    <w:p>
      <w:pPr>
        <w:ind w:left="660" w:firstLine="644"/>
        <w:spacing w:after="0" w:line="283" w:lineRule="auto"/>
        <w:tabs>
          <w:tab w:leader="none" w:pos="179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w:t>
      </w:r>
      <w:r>
        <w:rPr>
          <w:rFonts w:ascii="Times New Roman" w:cs="Times New Roman" w:eastAsia="Times New Roman" w:hAnsi="Times New Roman"/>
          <w:sz w:val="20"/>
          <w:szCs w:val="20"/>
          <w:u w:val="single" w:color="auto"/>
          <w:color w:val="auto"/>
        </w:rPr>
        <w:t>Section 4.8(a)(3)</w:t>
      </w:r>
      <w:r>
        <w:rPr>
          <w:rFonts w:ascii="Times New Roman" w:cs="Times New Roman" w:eastAsia="Times New Roman" w:hAnsi="Times New Roman"/>
          <w:sz w:val="20"/>
          <w:szCs w:val="20"/>
          <w:color w:val="auto"/>
        </w:rPr>
        <w:t xml:space="preserve"> above, encumbrances or restrictions permitted to be incurred under the provisions of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that limit the right of the debtor to dispose of the assets securing such Indebtedness;</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73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imposed under any agreement to sell Equity Interests or assets, as permitted under this Indenture, to any Person pending the closing of such sale;</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7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resulting from any other agreement governing Indebtedness or other obligations entered into after the Issue Date that contains encumbrances and restrictions that in the good faith judgment of the Issuer are not materially more restrictive, taken as a whole, with respect to any Restricted Subsidiary than those in effect on the Issue Date pursuant to agreements in effect on the Issue Date or those contained in this Indenture, the Notes and the Guarantees or (B) contained in agreements or instruments governing such Indebtedness that is customary and does not prohibit (except upon a default or an event of default thereunder) the payment of dividends in an amount sufficient, as determined by the Issuer in good faith, to make scheduled payments of cash interest and principal on the Notes when due;</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0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customary provisions in partnership agreements, limited liability company organizational governance documents, joint venture agreements, shareholder agreements and other similar agreements entered into in the ordinary course of business that restrict the disposition or distribution of ownership interests in or assets of such partnership, limited liability company, joint venture, corporation or similar Person;</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7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resulting from any agreement governing Purchase Money Indebtedness and any Refinancing Indebtedness in respect thereof incurred in compliance with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that imposes restrictions of the nature described in </w:t>
      </w:r>
      <w:r>
        <w:rPr>
          <w:rFonts w:ascii="Times New Roman" w:cs="Times New Roman" w:eastAsia="Times New Roman" w:hAnsi="Times New Roman"/>
          <w:sz w:val="20"/>
          <w:szCs w:val="20"/>
          <w:u w:val="single" w:color="auto"/>
          <w:color w:val="auto"/>
        </w:rPr>
        <w:t>Section 4.8(a)(3)</w:t>
      </w:r>
      <w:r>
        <w:rPr>
          <w:rFonts w:ascii="Times New Roman" w:cs="Times New Roman" w:eastAsia="Times New Roman" w:hAnsi="Times New Roman"/>
          <w:sz w:val="20"/>
          <w:szCs w:val="20"/>
          <w:color w:val="auto"/>
        </w:rPr>
        <w:t xml:space="preserve"> on the assets acquired;</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84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cash or other deposits or net worth imposed by customers, suppliers or landlords under contracts entered into in the ordinary course of business;</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4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 Unrestricted Subsidiary or Equity Interests thereof pursuant to or by reason of an agreement that the Unrestricted Subsidiary is a party to entered into before the date on which such Unrestricted Subsidiary became a Restricted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agreement was not entered into in anticipation of the Unrestricted Subsidiary becoming a Restricted Subsidiary and any such encumbrance or restriction shall not extend to any assets or property of the Issuer or any other Restricted Subsidiary other than the assets and property so acquired; and</w:t>
      </w:r>
    </w:p>
    <w:p>
      <w:pPr>
        <w:spacing w:after="0" w:line="191" w:lineRule="exact"/>
        <w:rPr>
          <w:rFonts w:ascii="Times New Roman" w:cs="Times New Roman" w:eastAsia="Times New Roman" w:hAnsi="Times New Roman"/>
          <w:sz w:val="20"/>
          <w:szCs w:val="20"/>
          <w:color w:val="auto"/>
        </w:rPr>
      </w:pPr>
    </w:p>
    <w:p>
      <w:pPr>
        <w:ind w:left="660" w:firstLine="644"/>
        <w:spacing w:after="0" w:line="269" w:lineRule="auto"/>
        <w:tabs>
          <w:tab w:leader="none" w:pos="185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resulting from supermajority voting requirements existing under corporate charters, by-laws, stockholders agreements and similar documents and agreements.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each case set forth above, notwithstanding any stated limitation on the assets or property that may be subject to such encumbrance or restriction, an encumbrance or restriction on a specified asset or property or group or type of assets or property may also apply to all improvements, additions, repairs, attachments or accessions thereto, assets and property affixed or appurtenant thereto, parts, replacements and substitutions therefor, and all products and proceeds thereof, including dividends, distributions, interest and increases in respect thereof.</w:t>
      </w:r>
    </w:p>
    <w:p>
      <w:pPr>
        <w:spacing w:after="0" w:line="17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4.9.</w:t>
      </w:r>
      <w:r>
        <w:rPr>
          <w:sz w:val="20"/>
          <w:szCs w:val="20"/>
          <w:color w:val="auto"/>
        </w:rPr>
        <w:tab/>
      </w:r>
      <w:r>
        <w:rPr>
          <w:rFonts w:ascii="Times New Roman" w:cs="Times New Roman" w:eastAsia="Times New Roman" w:hAnsi="Times New Roman"/>
          <w:sz w:val="19"/>
          <w:szCs w:val="19"/>
          <w:u w:val="single" w:color="auto"/>
          <w:color w:val="auto"/>
        </w:rPr>
        <w:t>Limitation on Additional Indebtedness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53" w:lineRule="auto"/>
        <w:tabs>
          <w:tab w:leader="none" w:pos="1089"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Issuer shall not, and shall not permit any Restricted Subsidiary to, directly or indirectly, incur any Indebtedness (including Acquired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Issuer and any of its Restricted Subsidiaries may incur additional Indebtedness (including Acquired Indebtedness), in each case, if, after giving effect thereto on a pro forma basis (including giving pro forma effect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13" w:right="339" w:bottom="1440" w:gutter="0" w:footer="0" w:header="0"/>
        </w:sectPr>
      </w:pPr>
    </w:p>
    <w:bookmarkStart w:id="68" w:name="page69"/>
    <w:bookmarkEnd w:id="68"/>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application of the proceeds thereof), the Issuer’s Consolidated Interest Coverage Ratio would be at least 2.00 to 1.00;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Restricted Subsidiaries that are not Guarantors may not incur any Indebtedness pursuant to this </w:t>
      </w:r>
      <w:r>
        <w:rPr>
          <w:rFonts w:ascii="Times New Roman" w:cs="Times New Roman" w:eastAsia="Times New Roman" w:hAnsi="Times New Roman"/>
          <w:sz w:val="20"/>
          <w:szCs w:val="20"/>
          <w:u w:val="single" w:color="auto"/>
          <w:color w:val="auto"/>
        </w:rPr>
        <w:t>Section 4.9(a)</w:t>
      </w:r>
      <w:r>
        <w:rPr>
          <w:rFonts w:ascii="Times New Roman" w:cs="Times New Roman" w:eastAsia="Times New Roman" w:hAnsi="Times New Roman"/>
          <w:sz w:val="20"/>
          <w:szCs w:val="20"/>
          <w:color w:val="auto"/>
        </w:rPr>
        <w:t xml:space="preserve"> if the aggregate principal amount of all then outstanding Indebtedness incurred by Restricted Subsidiaries that are not Guarantors pursuant to this </w:t>
      </w:r>
      <w:r>
        <w:rPr>
          <w:rFonts w:ascii="Times New Roman" w:cs="Times New Roman" w:eastAsia="Times New Roman" w:hAnsi="Times New Roman"/>
          <w:sz w:val="20"/>
          <w:szCs w:val="20"/>
          <w:u w:val="single" w:color="auto"/>
          <w:color w:val="auto"/>
        </w:rPr>
        <w:t>Section 4.9(a)</w:t>
      </w:r>
      <w:r>
        <w:rPr>
          <w:rFonts w:ascii="Times New Roman" w:cs="Times New Roman" w:eastAsia="Times New Roman" w:hAnsi="Times New Roman"/>
          <w:sz w:val="20"/>
          <w:szCs w:val="20"/>
          <w:color w:val="auto"/>
        </w:rPr>
        <w:t xml:space="preserve"> exceeds the greater of (i) $375.0 million and (ii) 5.0% of the Issuer’s Consolidated Total Assets determined at the time of incurrence (the “</w:t>
      </w:r>
      <w:r>
        <w:rPr>
          <w:rFonts w:ascii="Times New Roman" w:cs="Times New Roman" w:eastAsia="Times New Roman" w:hAnsi="Times New Roman"/>
          <w:sz w:val="20"/>
          <w:szCs w:val="20"/>
          <w:i w:val="1"/>
          <w:iCs w:val="1"/>
          <w:color w:val="auto"/>
        </w:rPr>
        <w:t>Coverage Ratio Exception</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1360" w:hanging="704"/>
        <w:spacing w:after="0"/>
        <w:tabs>
          <w:tab w:leader="none" w:pos="13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above, each of the following incurrences of Indebtedness shall be permitted (the “</w:t>
      </w:r>
      <w:r>
        <w:rPr>
          <w:rFonts w:ascii="Times New Roman" w:cs="Times New Roman" w:eastAsia="Times New Roman" w:hAnsi="Times New Roman"/>
          <w:sz w:val="20"/>
          <w:szCs w:val="20"/>
          <w:i w:val="1"/>
          <w:iCs w:val="1"/>
          <w:color w:val="auto"/>
        </w:rPr>
        <w:t>Permitted</w:t>
      </w:r>
    </w:p>
    <w:p>
      <w:pPr>
        <w:spacing w:after="0" w:line="3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Indebtedness</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16"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Issuer or any Restricted Subsidiary under one or more Debt Facilities in an aggregate principal amount at any time outstanding, including the issuance and creation of letters of credit and bankers’ acceptances thereunder (with letters of credit and bankers’ acceptances being deemed to have a principal amount equal to the face amount thereof) not to exceed the greater of (A) $1,150.0 million and (B) 15.0% of the Issuer’s Consolidated Total Assets determined at the time of incurrence;</w:t>
      </w:r>
    </w:p>
    <w:p>
      <w:pPr>
        <w:spacing w:after="0" w:line="185" w:lineRule="exact"/>
        <w:rPr>
          <w:rFonts w:ascii="Times New Roman" w:cs="Times New Roman" w:eastAsia="Times New Roman" w:hAnsi="Times New Roman"/>
          <w:sz w:val="20"/>
          <w:szCs w:val="20"/>
          <w:color w:val="auto"/>
        </w:rPr>
      </w:pPr>
    </w:p>
    <w:p>
      <w:pPr>
        <w:ind w:left="660" w:firstLine="644"/>
        <w:spacing w:after="0" w:line="269" w:lineRule="auto"/>
        <w:tabs>
          <w:tab w:leader="none" w:pos="1837"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represented by (A) the Notes issued on the Issue Date (excluding any Additional Notes) and (B) the Guarantees of the Notes issued on the Issue Date (excluding any Additional Notes);</w:t>
      </w:r>
    </w:p>
    <w:p>
      <w:pPr>
        <w:spacing w:after="0" w:line="172" w:lineRule="exact"/>
        <w:rPr>
          <w:rFonts w:ascii="Times New Roman" w:cs="Times New Roman" w:eastAsia="Times New Roman" w:hAnsi="Times New Roman"/>
          <w:sz w:val="20"/>
          <w:szCs w:val="20"/>
          <w:color w:val="auto"/>
        </w:rPr>
      </w:pPr>
    </w:p>
    <w:p>
      <w:pPr>
        <w:ind w:left="660" w:firstLine="644"/>
        <w:spacing w:after="0" w:line="269" w:lineRule="auto"/>
        <w:tabs>
          <w:tab w:leader="none" w:pos="1865"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Issuer and its Restricted Subsidiaries to the extent outstanding on the Issue Date (other than Indebtedness referred to in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4.9(b)</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78"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the Issuer or any Restricted Subsidiary of Indebtedness permitted to be incurred in accordance with the provisions of this Indenture;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such Indebtedness that is being guaranteed is Subordinated Indebtedness, then the related guarantee shall be subordinated in right of payment to the Notes;</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0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under Hedging Obligations entered into for bona fide hedging purposes of the Issuer or any Restricted Subsidiary in the ordinary course of business and not for the purpose of speculation;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Hedging Obligations relating to interest rates, (A) such Hedging Obligations relate to payment obligations on Indebtedness otherwise permitted to be incurred by this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and (B) the notional principal amount of such Hedging Obligations at the time incurred does not exceed the principal amount of the Indebtedness to which such Hedging Obligations relate;</w:t>
      </w:r>
    </w:p>
    <w:p>
      <w:pPr>
        <w:spacing w:after="0" w:line="191" w:lineRule="exact"/>
        <w:rPr>
          <w:rFonts w:ascii="Times New Roman" w:cs="Times New Roman" w:eastAsia="Times New Roman" w:hAnsi="Times New Roman"/>
          <w:sz w:val="20"/>
          <w:szCs w:val="20"/>
          <w:color w:val="auto"/>
        </w:rPr>
      </w:pPr>
    </w:p>
    <w:p>
      <w:pPr>
        <w:ind w:left="660" w:firstLine="644"/>
        <w:spacing w:after="0" w:line="269" w:lineRule="auto"/>
        <w:tabs>
          <w:tab w:leader="none" w:pos="1773"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Issuer owed to and held by a Restricted Subsidiary and Indebtedness of any Restricted Subsidiary owed to and held by the Issuer or any other Restricted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w:t>
      </w:r>
    </w:p>
    <w:p>
      <w:pPr>
        <w:spacing w:after="0" w:line="172" w:lineRule="exact"/>
        <w:rPr>
          <w:rFonts w:ascii="Times New Roman" w:cs="Times New Roman" w:eastAsia="Times New Roman" w:hAnsi="Times New Roman"/>
          <w:sz w:val="20"/>
          <w:szCs w:val="20"/>
          <w:color w:val="auto"/>
        </w:rPr>
      </w:pPr>
    </w:p>
    <w:p>
      <w:pPr>
        <w:ind w:left="660" w:firstLine="1292"/>
        <w:spacing w:after="0" w:line="269" w:lineRule="auto"/>
        <w:tabs>
          <w:tab w:leader="none" w:pos="2581"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Issuer is the obligor on Indebtedness and neither the Issuer nor a Guarantor is the obligee, such Indebtedness is expressly subordinated to the prior payment in full in cash of all obligations with respect to the Notes;</w:t>
      </w:r>
    </w:p>
    <w:p>
      <w:pPr>
        <w:spacing w:after="0" w:line="172" w:lineRule="exact"/>
        <w:rPr>
          <w:rFonts w:ascii="Times New Roman" w:cs="Times New Roman" w:eastAsia="Times New Roman" w:hAnsi="Times New Roman"/>
          <w:sz w:val="20"/>
          <w:szCs w:val="20"/>
          <w:color w:val="auto"/>
        </w:rPr>
      </w:pPr>
    </w:p>
    <w:p>
      <w:pPr>
        <w:ind w:left="660" w:firstLine="1292"/>
        <w:spacing w:after="0" w:line="283" w:lineRule="auto"/>
        <w:tabs>
          <w:tab w:leader="none" w:pos="2481"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Guarantor is the obligor on such Indebtedness and a Restricted Subsidiary that is not a Guarantor is the obligee, such Indebtedness is subordinated in right of payment to the Guarantee of such Guarantor; and</w:t>
      </w:r>
    </w:p>
    <w:p>
      <w:pPr>
        <w:spacing w:after="0" w:line="146" w:lineRule="exact"/>
        <w:rPr>
          <w:rFonts w:ascii="Times New Roman" w:cs="Times New Roman" w:eastAsia="Times New Roman" w:hAnsi="Times New Roman"/>
          <w:sz w:val="20"/>
          <w:szCs w:val="20"/>
          <w:color w:val="auto"/>
        </w:rPr>
      </w:pPr>
    </w:p>
    <w:p>
      <w:pPr>
        <w:ind w:left="660" w:firstLine="1292"/>
        <w:spacing w:after="0" w:line="283" w:lineRule="auto"/>
        <w:tabs>
          <w:tab w:leader="none" w:pos="2559"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subsequent issuance or transfer of Equity Interests or any other event which results in any such Indebtedness being held by a Person other than the Issuer or any other Restricted Subsidiary;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09" w:right="339" w:bottom="1440" w:gutter="0" w:footer="0" w:header="0"/>
        </w:sectPr>
      </w:pPr>
    </w:p>
    <w:bookmarkStart w:id="69" w:name="page70"/>
    <w:bookmarkEnd w:id="69"/>
    <w:p>
      <w:pPr>
        <w:jc w:val="both"/>
        <w:ind w:left="644" w:firstLine="1300"/>
        <w:spacing w:after="0" w:line="261" w:lineRule="auto"/>
        <w:tabs>
          <w:tab w:leader="none" w:pos="2488"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sale or other transfer of any such Indebtedness to a Person other than the Issuer or any other Restricted Subsidiary shall be deemed, in each case of this </w:t>
      </w:r>
      <w:r>
        <w:rPr>
          <w:rFonts w:ascii="Times New Roman" w:cs="Times New Roman" w:eastAsia="Times New Roman" w:hAnsi="Times New Roman"/>
          <w:sz w:val="20"/>
          <w:szCs w:val="20"/>
          <w:u w:val="single" w:color="auto"/>
          <w:color w:val="auto"/>
        </w:rPr>
        <w:t>subclause (C)</w:t>
      </w:r>
      <w:r>
        <w:rPr>
          <w:rFonts w:ascii="Times New Roman" w:cs="Times New Roman" w:eastAsia="Times New Roman" w:hAnsi="Times New Roman"/>
          <w:sz w:val="20"/>
          <w:szCs w:val="20"/>
          <w:color w:val="auto"/>
        </w:rPr>
        <w:t xml:space="preserve">, to constitute an incurrence of such Indebtedness not permitted by this </w:t>
      </w:r>
      <w:r>
        <w:rPr>
          <w:rFonts w:ascii="Times New Roman" w:cs="Times New Roman" w:eastAsia="Times New Roman" w:hAnsi="Times New Roman"/>
          <w:sz w:val="20"/>
          <w:szCs w:val="20"/>
          <w:u w:val="single" w:color="auto"/>
          <w:color w:val="auto"/>
        </w:rPr>
        <w:t>clause (6)</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left="4" w:firstLine="644"/>
        <w:spacing w:after="0" w:line="262" w:lineRule="auto"/>
        <w:tabs>
          <w:tab w:leader="none" w:pos="1126"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 respect of (a) workers’ compensation claims, bank guarantees, warehouse receipt or similar facilities, property, casualty or liability insurance, statutory obligations, take-or-pay obligations in supply arrangements, self-insurance obligations or completion, bids, trade contracts, performance bonds, bid bonds, appeal or surety bonds and similar obligations, in each case provided in the ordinary course of business, including guarantees or obligations with respect to letters of credit supporting such workers’ compensation claims, bank guarantees, warehouse receipt or similar facilities, property, casualty or liability insurance, statutory obligations, take-or-pay obligations in supply arrangements, self-insurance obligations or completion, performance, bids, trade contracts, performance bonds, bid bonds, performance, trade secrets, leases, appeal or surety bonds and similar obligations and</w:t>
      </w:r>
    </w:p>
    <w:p>
      <w:pPr>
        <w:spacing w:after="0" w:line="6" w:lineRule="exact"/>
        <w:rPr>
          <w:rFonts w:ascii="Times New Roman" w:cs="Times New Roman" w:eastAsia="Times New Roman" w:hAnsi="Times New Roman"/>
          <w:sz w:val="19"/>
          <w:szCs w:val="19"/>
          <w:color w:val="auto"/>
        </w:rPr>
      </w:pPr>
    </w:p>
    <w:p>
      <w:pPr>
        <w:ind w:left="4" w:hanging="4"/>
        <w:spacing w:after="0" w:line="267" w:lineRule="auto"/>
        <w:tabs>
          <w:tab w:leader="none" w:pos="29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pension schemes and pension plans sponsored by the Issuer or its Restricted Subsidiaries for the benefit of past, current or future employees;</w:t>
      </w:r>
    </w:p>
    <w:p>
      <w:pPr>
        <w:spacing w:after="0" w:line="161" w:lineRule="exact"/>
        <w:rPr>
          <w:rFonts w:ascii="Times New Roman" w:cs="Times New Roman" w:eastAsia="Times New Roman" w:hAnsi="Times New Roman"/>
          <w:sz w:val="20"/>
          <w:szCs w:val="20"/>
          <w:color w:val="auto"/>
        </w:rPr>
      </w:pPr>
    </w:p>
    <w:p>
      <w:pPr>
        <w:jc w:val="both"/>
        <w:ind w:left="4" w:firstLine="644"/>
        <w:spacing w:after="0" w:line="258" w:lineRule="auto"/>
        <w:tabs>
          <w:tab w:leader="none" w:pos="1118"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Money Indebtedness or Capitalized Lease Obligations incurred by the Issuer or any Restricted Subsidiary in an aggregate principal amount, taken together with Refinancing Indebtedness in respect thereof, not to exceed at any time outstanding the greater of (A) $375.0 million and (B) 5.0% of the Issuer’s Consolidated Total Assets determined at the time of incurrence;</w:t>
      </w:r>
    </w:p>
    <w:p>
      <w:pPr>
        <w:spacing w:after="0" w:line="185" w:lineRule="exact"/>
        <w:rPr>
          <w:rFonts w:ascii="Times New Roman" w:cs="Times New Roman" w:eastAsia="Times New Roman" w:hAnsi="Times New Roman"/>
          <w:sz w:val="20"/>
          <w:szCs w:val="20"/>
          <w:color w:val="auto"/>
        </w:rPr>
      </w:pPr>
    </w:p>
    <w:p>
      <w:pPr>
        <w:ind w:left="4" w:firstLine="644"/>
        <w:spacing w:after="0" w:line="269" w:lineRule="auto"/>
        <w:tabs>
          <w:tab w:leader="none" w:pos="113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the honoring by a bank or other financial institution of a check, draft or similar instrument inadvertently (except in the case of daylight overdrafts) drawn against insufficient funds in the ordinary course of business;</w:t>
      </w:r>
    </w:p>
    <w:p>
      <w:pPr>
        <w:spacing w:after="0" w:line="172" w:lineRule="exact"/>
        <w:rPr>
          <w:rFonts w:ascii="Times New Roman" w:cs="Times New Roman" w:eastAsia="Times New Roman" w:hAnsi="Times New Roman"/>
          <w:sz w:val="20"/>
          <w:szCs w:val="20"/>
          <w:color w:val="auto"/>
        </w:rPr>
      </w:pPr>
    </w:p>
    <w:p>
      <w:pPr>
        <w:ind w:left="1184" w:hanging="536"/>
        <w:spacing w:after="0"/>
        <w:tabs>
          <w:tab w:leader="none" w:pos="1184"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in connection with endorsement of instruments for deposit in the ordinary course of business;</w:t>
      </w:r>
    </w:p>
    <w:p>
      <w:pPr>
        <w:spacing w:after="0" w:line="215" w:lineRule="exact"/>
        <w:rPr>
          <w:rFonts w:ascii="Times New Roman" w:cs="Times New Roman" w:eastAsia="Times New Roman" w:hAnsi="Times New Roman"/>
          <w:sz w:val="20"/>
          <w:szCs w:val="20"/>
          <w:color w:val="auto"/>
        </w:rPr>
      </w:pPr>
    </w:p>
    <w:p>
      <w:pPr>
        <w:ind w:left="4" w:firstLine="644"/>
        <w:spacing w:after="0" w:line="283" w:lineRule="auto"/>
        <w:tabs>
          <w:tab w:leader="none" w:pos="1256"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Refinancing Indebtedness with respect to Indebtedness incurred pursuant to the Coverage Ratio Exception or with respect to Indebtedness incurred pursuant to </w:t>
      </w:r>
      <w:r>
        <w:rPr>
          <w:rFonts w:ascii="Times New Roman" w:cs="Times New Roman" w:eastAsia="Times New Roman" w:hAnsi="Times New Roman"/>
          <w:sz w:val="20"/>
          <w:szCs w:val="20"/>
          <w:u w:val="single" w:color="auto"/>
          <w:color w:val="auto"/>
        </w:rPr>
        <w:t>clauses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clause (11)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(16)</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4.9(b)</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left="4" w:firstLine="644"/>
        <w:spacing w:after="0" w:line="258" w:lineRule="auto"/>
        <w:tabs>
          <w:tab w:leader="none" w:pos="1245"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indemnification, adjustment of purchase price, earn-out or similar obligations, in each case, incurred or assumed in connection with the acquisition or disposition of any business or assets of the Issuer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w:t>
      </w:r>
    </w:p>
    <w:p>
      <w:pPr>
        <w:spacing w:after="0" w:line="185" w:lineRule="exact"/>
        <w:rPr>
          <w:rFonts w:ascii="Times New Roman" w:cs="Times New Roman" w:eastAsia="Times New Roman" w:hAnsi="Times New Roman"/>
          <w:sz w:val="20"/>
          <w:szCs w:val="20"/>
          <w:color w:val="auto"/>
        </w:rPr>
      </w:pPr>
    </w:p>
    <w:p>
      <w:pPr>
        <w:jc w:val="both"/>
        <w:ind w:left="4" w:firstLine="644"/>
        <w:spacing w:after="0" w:line="281" w:lineRule="auto"/>
        <w:tabs>
          <w:tab w:leader="none" w:pos="1182"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additional Indebtedness of the Issuer or any Restricted Subsidiary in an aggregate principal amount which, when taken together with the principal amount of all other Indebtedness incurred pursuant to this </w:t>
      </w:r>
      <w:r>
        <w:rPr>
          <w:rFonts w:ascii="Times New Roman" w:cs="Times New Roman" w:eastAsia="Times New Roman" w:hAnsi="Times New Roman"/>
          <w:sz w:val="19"/>
          <w:szCs w:val="19"/>
          <w:u w:val="single" w:color="auto"/>
          <w:color w:val="auto"/>
        </w:rPr>
        <w:t>clause (13)</w:t>
      </w:r>
      <w:r>
        <w:rPr>
          <w:rFonts w:ascii="Times New Roman" w:cs="Times New Roman" w:eastAsia="Times New Roman" w:hAnsi="Times New Roman"/>
          <w:sz w:val="19"/>
          <w:szCs w:val="19"/>
          <w:color w:val="auto"/>
        </w:rPr>
        <w:t xml:space="preserve"> and then outstanding, will not exceed the greater of (A) $375.0 million and (B) 5.0% of the Issuer’s Consolidated Total Assets determined at the time of incurrence;</w:t>
      </w:r>
    </w:p>
    <w:p>
      <w:pPr>
        <w:spacing w:after="0" w:line="164" w:lineRule="exact"/>
        <w:rPr>
          <w:rFonts w:ascii="Times New Roman" w:cs="Times New Roman" w:eastAsia="Times New Roman" w:hAnsi="Times New Roman"/>
          <w:sz w:val="19"/>
          <w:szCs w:val="19"/>
          <w:color w:val="auto"/>
        </w:rPr>
      </w:pPr>
    </w:p>
    <w:p>
      <w:pPr>
        <w:ind w:left="1184" w:hanging="536"/>
        <w:spacing w:after="0"/>
        <w:tabs>
          <w:tab w:leader="none" w:pos="1184"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Specified Cash Management Agreements entered into in the ordinary course of business;</w:t>
      </w:r>
    </w:p>
    <w:p>
      <w:pPr>
        <w:spacing w:after="0" w:line="215" w:lineRule="exact"/>
        <w:rPr>
          <w:rFonts w:ascii="Times New Roman" w:cs="Times New Roman" w:eastAsia="Times New Roman" w:hAnsi="Times New Roman"/>
          <w:sz w:val="20"/>
          <w:szCs w:val="20"/>
          <w:color w:val="auto"/>
        </w:rPr>
      </w:pPr>
    </w:p>
    <w:p>
      <w:pPr>
        <w:ind w:left="4" w:firstLine="644"/>
        <w:spacing w:after="0" w:line="283" w:lineRule="auto"/>
        <w:tabs>
          <w:tab w:leader="none" w:pos="1194"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Persons incurred and outstanding on the date on which such Person was acquired by the Issuer or any Restricted Subsidiary, or merged or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0584"/>
          </w:cols>
          <w:pgMar w:left="976" w:top="1413" w:right="339" w:bottom="1440" w:gutter="0" w:footer="0" w:header="0"/>
        </w:sectPr>
      </w:pPr>
    </w:p>
    <w:bookmarkStart w:id="70" w:name="page71"/>
    <w:bookmarkEnd w:id="70"/>
    <w:p>
      <w:pPr>
        <w:jc w:val="both"/>
        <w:ind w:left="660"/>
        <w:spacing w:after="0" w:line="265" w:lineRule="auto"/>
        <w:rPr>
          <w:sz w:val="20"/>
          <w:szCs w:val="20"/>
          <w:color w:val="auto"/>
        </w:rPr>
      </w:pPr>
      <w:r>
        <w:rPr>
          <w:rFonts w:ascii="Times New Roman" w:cs="Times New Roman" w:eastAsia="Times New Roman" w:hAnsi="Times New Roman"/>
          <w:sz w:val="19"/>
          <w:szCs w:val="19"/>
          <w:color w:val="auto"/>
        </w:rPr>
        <w:t xml:space="preserve">with or into the Issuer or any Restricted Subsidiary or incurred by the Issuer or any Restricted Subsidiary to finance any such acquisition or merger;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at the time such Person or assets is/are acquired by the Issuer or a Restricted Subsidiary, or merged or consolidated with the Issuer or any Restricted Subsidiary and after giving pro forma effect to the incurrence of such Indebtedness pursuant to this </w:t>
      </w:r>
      <w:r>
        <w:rPr>
          <w:rFonts w:ascii="Times New Roman" w:cs="Times New Roman" w:eastAsia="Times New Roman" w:hAnsi="Times New Roman"/>
          <w:sz w:val="19"/>
          <w:szCs w:val="19"/>
          <w:u w:val="single" w:color="auto"/>
          <w:color w:val="auto"/>
        </w:rPr>
        <w:t>clause (15)</w:t>
      </w:r>
      <w:r>
        <w:rPr>
          <w:rFonts w:ascii="Times New Roman" w:cs="Times New Roman" w:eastAsia="Times New Roman" w:hAnsi="Times New Roman"/>
          <w:sz w:val="19"/>
          <w:szCs w:val="19"/>
          <w:color w:val="auto"/>
        </w:rPr>
        <w:t xml:space="preserve"> and any other related Indebtedness and the application of proceeds therefrom, either</w:t>
      </w:r>
    </w:p>
    <w:p>
      <w:pPr>
        <w:spacing w:after="0" w:line="2" w:lineRule="exact"/>
        <w:rPr>
          <w:sz w:val="20"/>
          <w:szCs w:val="20"/>
          <w:color w:val="auto"/>
        </w:rPr>
      </w:pPr>
    </w:p>
    <w:p>
      <w:pPr>
        <w:jc w:val="both"/>
        <w:ind w:left="660" w:hanging="4"/>
        <w:spacing w:after="0" w:line="256" w:lineRule="auto"/>
        <w:tabs>
          <w:tab w:leader="none" w:pos="99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would have been able to incur $1.00 of additional Indebtedness pursuant to the Coverage Ratio Exception; or (B) the Consolidated Interest Coverage Ratio of the Issuer and its Restricted Subsidiaries would be greater than or equal to such Consolidated Interest Coverage Ratio immediately prior to such acquisition, merger or consolidation;</w:t>
      </w:r>
    </w:p>
    <w:p>
      <w:pPr>
        <w:spacing w:after="0" w:line="173"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49"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letters of credit, bankers’ acceptances, letters of guaranty and similar credit transactions (or reimbursement agreements in respect thereof and with each such instrument being deemed to have a principal amount equal to the face amount thereof) at any one time outstanding not to exceed the greater of (x) $75.0 million and (y) 1.0% of the Issuer’s Consolidated Total Assets determined at the time of incurrence;</w:t>
      </w:r>
    </w:p>
    <w:p>
      <w:pPr>
        <w:spacing w:after="0" w:line="185"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the financing of insurance premiums; and</w:t>
      </w:r>
    </w:p>
    <w:p>
      <w:pPr>
        <w:spacing w:after="0" w:line="215" w:lineRule="exact"/>
        <w:rPr>
          <w:rFonts w:ascii="Times New Roman" w:cs="Times New Roman" w:eastAsia="Times New Roman" w:hAnsi="Times New Roman"/>
          <w:sz w:val="20"/>
          <w:szCs w:val="20"/>
          <w:color w:val="auto"/>
        </w:rPr>
      </w:pPr>
    </w:p>
    <w:p>
      <w:pPr>
        <w:ind w:left="660" w:firstLine="644"/>
        <w:spacing w:after="0" w:line="283" w:lineRule="auto"/>
        <w:tabs>
          <w:tab w:leader="none" w:pos="200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Indebtedness, prepayments for property or services under any drilling contract, pool agreement or charter party agreement in the ordinary course of business.</w:t>
      </w:r>
    </w:p>
    <w:p>
      <w:pPr>
        <w:spacing w:after="0" w:line="146" w:lineRule="exact"/>
        <w:rPr>
          <w:sz w:val="20"/>
          <w:szCs w:val="20"/>
          <w:color w:val="auto"/>
        </w:rPr>
      </w:pPr>
    </w:p>
    <w:p>
      <w:pPr>
        <w:jc w:val="both"/>
        <w:ind w:firstLine="656"/>
        <w:spacing w:after="0" w:line="251" w:lineRule="auto"/>
        <w:tabs>
          <w:tab w:leader="none" w:pos="111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in the event that an item of Indebtedness meets the criteria of more than one of the categories of Permitted Indebtedness described in clauses (1) through (18) above, or is entitled to be incurred pursuant to the Coverage Ratio Exception, the Issuer will be permitted, in its sole discretion, to divide and classify such item of Indebtedness, or later reclassify all or a portion of such item of Indebtedness (provided that at the time of reclassification it meets the criteria in such category or categories), in any manner that complies with this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provided, that Indebtedness incurred under the RCF Credit Agreement on the Issue Date shall be deemed to have been incurred under clause (1) above and may not be reclassified. In addition, for purposes of determining any particular amount of Indebtedness under this covenant, the amount of Indebtedness issued at a price that is less than the principal amount thereof will be equal to the amount of the liability in respect thereof determined in accordance with GAAP.</w:t>
      </w:r>
    </w:p>
    <w:p>
      <w:pPr>
        <w:spacing w:after="0" w:line="195" w:lineRule="exact"/>
        <w:rPr>
          <w:rFonts w:ascii="Times New Roman" w:cs="Times New Roman" w:eastAsia="Times New Roman" w:hAnsi="Times New Roman"/>
          <w:sz w:val="20"/>
          <w:szCs w:val="20"/>
          <w:color w:val="auto"/>
        </w:rPr>
      </w:pPr>
    </w:p>
    <w:p>
      <w:pPr>
        <w:jc w:val="both"/>
        <w:ind w:firstLine="656"/>
        <w:spacing w:after="0" w:line="261" w:lineRule="auto"/>
        <w:tabs>
          <w:tab w:leader="none" w:pos="108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accrual of interest, the accretion or amortization of original issue discount and the payment of interest on any Indebtedness in the form of additional Indebtedness with the same terms will not be deemed to be an incurrence of Indebtedness under this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in each such case, that the amount thereof is included in Consolidated Interest Expense of the Issuer as accrued.</w:t>
      </w:r>
    </w:p>
    <w:p>
      <w:pPr>
        <w:spacing w:after="0" w:line="181" w:lineRule="exact"/>
        <w:rPr>
          <w:rFonts w:ascii="Times New Roman" w:cs="Times New Roman" w:eastAsia="Times New Roman" w:hAnsi="Times New Roman"/>
          <w:sz w:val="20"/>
          <w:szCs w:val="20"/>
          <w:color w:val="auto"/>
        </w:rPr>
      </w:pPr>
    </w:p>
    <w:p>
      <w:pPr>
        <w:jc w:val="both"/>
        <w:ind w:firstLine="656"/>
        <w:spacing w:after="0" w:line="250" w:lineRule="auto"/>
        <w:tabs>
          <w:tab w:leader="none" w:pos="113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 Indebtedness; provided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 currency from the Indebtedness being refinanced, shall be calculated based on the currency exchange rate applicable to the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1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color w:val="auto"/>
        </w:rPr>
        <w:t>in which such Refinancing Indebtedness is denominated that is in effect on the date of such refinancing.</w:t>
      </w:r>
    </w:p>
    <w:p>
      <w:pPr>
        <w:spacing w:after="0" w:line="229" w:lineRule="exact"/>
        <w:rPr>
          <w:sz w:val="20"/>
          <w:szCs w:val="20"/>
          <w:color w:val="auto"/>
        </w:rPr>
      </w:pPr>
    </w:p>
    <w:p>
      <w:pPr>
        <w:jc w:val="both"/>
        <w:ind w:firstLine="656"/>
        <w:spacing w:after="0" w:line="261" w:lineRule="auto"/>
        <w:tabs>
          <w:tab w:leader="none" w:pos="105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an Unrestricted Subsidiary becomes a Restricted Subsidiary, any Indebtedness of such Subsidiary shall be deemed to be incurred by a Restricted Subsidiary as of such date (and, if such Indebtedness is not permitted to be incurred as of such date under this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the Issuer shall be in Default of this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jc w:val="both"/>
        <w:ind w:firstLine="656"/>
        <w:spacing w:after="0" w:line="253" w:lineRule="auto"/>
        <w:tabs>
          <w:tab w:leader="none" w:pos="113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in the event an item of Indebtedness (or any portion thereof) is incurred or issued, any Lien is incurred or other transaction is undertaken in reliance on any ratio based exceptions, thresholds and baskets, such ratio(s) shall be calculated with respect to such incurrence, issuance or other transaction without giving effect to amounts being utilized under any other exceptions, thresholds or baskets (other than ratio based baskets) on the same date. Each item of Indebtedness that is incurred or issued, each Lien incurred and each other transaction undertaken shall be deemed to have been incurred, issued or taken first, to the extent available, pursuant to the relevant ratio based test.</w:t>
      </w:r>
    </w:p>
    <w:p>
      <w:pPr>
        <w:spacing w:after="0" w:line="192" w:lineRule="exact"/>
        <w:rPr>
          <w:rFonts w:ascii="Times New Roman" w:cs="Times New Roman" w:eastAsia="Times New Roman" w:hAnsi="Times New Roman"/>
          <w:sz w:val="20"/>
          <w:szCs w:val="20"/>
          <w:color w:val="auto"/>
        </w:rPr>
      </w:pPr>
    </w:p>
    <w:p>
      <w:pPr>
        <w:jc w:val="both"/>
        <w:ind w:firstLine="656"/>
        <w:spacing w:after="0" w:line="249" w:lineRule="auto"/>
        <w:tabs>
          <w:tab w:leader="none" w:pos="12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Indebtedness is incurred in reliance on a basket measured by reference to the Consolidated Total Debt Ratio or a percentage of Consolidated Total Assets, and any refinancing thereof would cause the Consolidated Total Debt Ratio or the percentage of Consolidated Total Assets to be exceeded if calculated based on the Consolidated Total Debt Ratio or Consolidated Total Assets, as applicable, on the date of such refinancing, such Consolidated Total Debt Ratio or percentage of Consolidated Total Assets, as applicable, will not be deemed to be exceeded to the extent the principal amount of such newly incurred Indebtedness does not exceed the sum of (i) the principal amount of such Indebtedness being refinanced, extended, replaced, refunded, renewed or defeased, plus (ii) any accrued and unpaid interest on the Indebtedness (or any accrued and unpaid dividends on the Preferred Stock and any accrued and unpaid dividends on the Disqualified Equity Interests, as applicable) being so refinanced, extended, replaced, refunded, renewed or defeased, plus (iii) the amount of any tender premium or penalty or premium required to be paid under the terms of the instrument or documents governing such refinanced Indebtedness and any defeasance costs and any fees and expenses (including original issue discount, upfront fees or similar fees) incurred in connection with the issuance of such new Indebtedness or the extension, replacement, refunding, refinancing, renewal or defeasance of such refinanced Indebtedness.</w:t>
      </w:r>
    </w:p>
    <w:p>
      <w:pPr>
        <w:spacing w:after="0" w:line="201"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4.10.</w:t>
      </w:r>
      <w:r>
        <w:rPr>
          <w:sz w:val="20"/>
          <w:szCs w:val="20"/>
          <w:color w:val="auto"/>
        </w:rPr>
        <w:tab/>
      </w:r>
      <w:r>
        <w:rPr>
          <w:rFonts w:ascii="Times New Roman" w:cs="Times New Roman" w:eastAsia="Times New Roman" w:hAnsi="Times New Roman"/>
          <w:sz w:val="19"/>
          <w:szCs w:val="19"/>
          <w:u w:val="single" w:color="auto"/>
          <w:color w:val="auto"/>
        </w:rPr>
        <w:t>Limitation on Asset Sales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ind w:left="1060" w:hanging="404"/>
        <w:spacing w:after="0"/>
        <w:tabs>
          <w:tab w:leader="none" w:pos="106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shall not, and shall not permit any Restricted Subsidiary to, directly or indirectly, consummate any Asset Sale unless:</w:t>
      </w:r>
    </w:p>
    <w:p>
      <w:pPr>
        <w:spacing w:after="0" w:line="211" w:lineRule="exact"/>
        <w:rPr>
          <w:rFonts w:ascii="Times New Roman" w:cs="Times New Roman" w:eastAsia="Times New Roman" w:hAnsi="Times New Roman"/>
          <w:sz w:val="19"/>
          <w:szCs w:val="19"/>
          <w:color w:val="auto"/>
        </w:rPr>
      </w:pPr>
    </w:p>
    <w:p>
      <w:pPr>
        <w:jc w:val="both"/>
        <w:ind w:left="660" w:firstLine="644"/>
        <w:spacing w:after="0" w:line="258" w:lineRule="auto"/>
        <w:tabs>
          <w:tab w:leader="none" w:pos="1751"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or such Restricted Subsidiary, as the case may be, receives consideration (including by way of relief from, or by any Person assuming responsibility for any liability, contingent or otherwise, in connection with the Asset Sale) at least equal to the Fair Market Value (such Fair Market Value to be determined on the date of contractually agreeing to such Asset Sale) of the Equity Interests or assets subject to such Asset Sale; and</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6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case of an Asset Swap, at least 75.0% of the total consideration from such Asset Sale and all other Asset Sales on a cumulative basis since the Issue Date received by the Issuer or a Restricted Subsidiary, as the case may be, is in the form of cash or Cash Equivalents.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For purposes of </w:t>
      </w:r>
      <w:r>
        <w:rPr>
          <w:rFonts w:ascii="Times New Roman" w:cs="Times New Roman" w:eastAsia="Times New Roman" w:hAnsi="Times New Roman"/>
          <w:sz w:val="20"/>
          <w:szCs w:val="20"/>
          <w:u w:val="single" w:color="auto"/>
          <w:color w:val="auto"/>
        </w:rPr>
        <w:t>clause (a)(2)</w:t>
      </w:r>
      <w:r>
        <w:rPr>
          <w:rFonts w:ascii="Times New Roman" w:cs="Times New Roman" w:eastAsia="Times New Roman" w:hAnsi="Times New Roman"/>
          <w:sz w:val="20"/>
          <w:szCs w:val="20"/>
          <w:color w:val="auto"/>
        </w:rPr>
        <w:t xml:space="preserve"> above and for no other purpose, the following shall be deemed to be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13" w:right="339" w:bottom="1440" w:gutter="0" w:footer="0" w:header="0"/>
        </w:sectPr>
      </w:pPr>
    </w:p>
    <w:bookmarkStart w:id="72" w:name="page73"/>
    <w:bookmarkEnd w:id="72"/>
    <w:p>
      <w:pPr>
        <w:jc w:val="both"/>
        <w:ind w:left="660" w:firstLine="1292"/>
        <w:spacing w:after="0" w:line="269" w:lineRule="auto"/>
        <w:tabs>
          <w:tab w:leader="none" w:pos="2494"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(without duplication) of any liabilities (as shown on the Issuer’s or such Restricted Subsidiary’s most recent balance sheet or in the notes thereto or, if incurred or accrued subsequent to the date of such balance sheet, such liabilities that would have been reflected on the Issuer’s or a Restricted Subsidiary’s consolidated balance sheet or in the notes thereto if such incurrence or accrual had taken place on or prior to the date of such balance sheet, as determined in good faith by the Issuer) (other than Subordinated Indebtedness or intercompany Indebtedness) of the Issuer or such Restricted Subsidiary that are cancelled, terminated or expressly assumed by the transferee of any such assets pursuant to a written agreement that releases the Issuer or such Restricted Subsidiary from further liability therefor or indemnifies the Issuer or such Restricted Subsidiary against further liability;</w:t>
      </w:r>
    </w:p>
    <w:p>
      <w:pPr>
        <w:spacing w:after="0" w:line="162" w:lineRule="exact"/>
        <w:rPr>
          <w:rFonts w:ascii="Times New Roman" w:cs="Times New Roman" w:eastAsia="Times New Roman" w:hAnsi="Times New Roman"/>
          <w:sz w:val="19"/>
          <w:szCs w:val="19"/>
          <w:color w:val="auto"/>
        </w:rPr>
      </w:pPr>
    </w:p>
    <w:p>
      <w:pPr>
        <w:jc w:val="both"/>
        <w:ind w:left="660" w:right="20" w:firstLine="1292"/>
        <w:spacing w:after="0" w:line="261" w:lineRule="auto"/>
        <w:tabs>
          <w:tab w:leader="none" w:pos="2441"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securities, notes or other obligations received from such transferee that are within 180 days after such Asset Sale converted by the Issuer or such Restricted Subsidiary into cash or Cash Equivalents (to the extent of the cash or Cash Equivalents actually so received);</w:t>
      </w:r>
    </w:p>
    <w:p>
      <w:pPr>
        <w:spacing w:after="0" w:line="181"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assets or Equity Interests of the kind referred to in </w:t>
      </w:r>
      <w:r>
        <w:rPr>
          <w:rFonts w:ascii="Times New Roman" w:cs="Times New Roman" w:eastAsia="Times New Roman" w:hAnsi="Times New Roman"/>
          <w:sz w:val="20"/>
          <w:szCs w:val="20"/>
          <w:u w:val="single" w:color="auto"/>
          <w:color w:val="auto"/>
        </w:rPr>
        <w:t>Section 4.10(b)(2)</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52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accounts receivable of a business retained by the Issuer or any Restricted Subsidiary, as the case may be, following the sale of such business;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accounts receivable (i) are not past due more than 60 days and (ii) do not have a payment date greater than 90 days from the date of the invoices creating such accounts receivable;</w:t>
      </w:r>
    </w:p>
    <w:p>
      <w:pPr>
        <w:spacing w:after="0" w:line="167" w:lineRule="exact"/>
        <w:rPr>
          <w:rFonts w:ascii="Times New Roman" w:cs="Times New Roman" w:eastAsia="Times New Roman" w:hAnsi="Times New Roman"/>
          <w:sz w:val="20"/>
          <w:szCs w:val="20"/>
          <w:color w:val="auto"/>
        </w:rPr>
      </w:pPr>
    </w:p>
    <w:p>
      <w:pPr>
        <w:jc w:val="both"/>
        <w:ind w:left="660" w:firstLine="1292"/>
        <w:spacing w:after="0" w:line="257" w:lineRule="auto"/>
        <w:tabs>
          <w:tab w:leader="none" w:pos="249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Designated Non-cash Consideration received by the Issuer or such Restricted Subsidiary in such Asset Sale having an aggregate Fair Market Value, taken together with all other Designated Non-cash Consideration received pursuant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not to exceed an amount equal to 5.0% of the Issuer’s Consolidated Total Assets (determined at the time of receipt of such Designated Non-cash Consideration), with the Fair Market Value of each item of Designated Non-cash Consideration being measured at the time received and without giving effect to subsequent changes in value; and</w:t>
      </w:r>
    </w:p>
    <w:p>
      <w:pPr>
        <w:spacing w:after="0" w:line="172"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457"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Restricted Subsidiary that ceases to be a Restricted Subsidiary as a result of such Asset Sale (other than intercompany debt owed to the Issuer or a Restricted Subsidiary), to the extent such Indebtedness is or becomes Non-Recourse Debt.</w:t>
      </w:r>
    </w:p>
    <w:p>
      <w:pPr>
        <w:spacing w:after="0" w:line="18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In the case of any Asset Sale pursuant to a condemnation, seizure, appropriation or similar taking, including by deed in lieu of condemnation, or any actual or constructive total loss or an agreed or compromised total loss, such Asset Sale shall not be required to satisfy the requirements of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4.10(a)</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1120" w:hanging="464"/>
        <w:spacing w:after="0"/>
        <w:tabs>
          <w:tab w:leader="none" w:pos="11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Issuer or any Restricted Subsidiary engages in an Asset Sale, the Issuer or such Restricted Subsidiary may, no later than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365 days following the receipt of any Net Available Proceeds therefrom, apply all or any of the Net Available Proceeds therefrom to:</w:t>
      </w:r>
    </w:p>
    <w:p>
      <w:pPr>
        <w:spacing w:after="0" w:line="207"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72"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repay, repurchase, redeem, defease or otherwise retire any Indebtedness of the Issuer or a Restricted Subsidiary (other than any Subordinated Indebtedness of the Issuer or a Guarantor, and other than Indebtedness owed to the Issuer or an Affiliate of the Issuer);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13" w:right="339" w:bottom="1440" w:gutter="0" w:footer="0" w:header="0"/>
        </w:sectPr>
      </w:pPr>
    </w:p>
    <w:bookmarkStart w:id="73" w:name="page74"/>
    <w:bookmarkEnd w:id="73"/>
    <w:p>
      <w:pPr>
        <w:jc w:val="both"/>
        <w:ind w:left="660" w:firstLine="644"/>
        <w:spacing w:after="0" w:line="252" w:lineRule="auto"/>
        <w:tabs>
          <w:tab w:leader="none" w:pos="17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to make any capital expenditure not prohibited under this Indenture, (B) acquire Qualified Equity Interests held by a Person other than the Issuer or any of its Restricted Subsidiaries in a Person that is a Restricted Subsidiary or in a Person engaged in a Permitted Business that shall become a Restricted Subsidiary immediately upon the consummation of such acquisition or (C) a combination of (A) and (B);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requirements of this </w:t>
      </w:r>
      <w:r>
        <w:rPr>
          <w:rFonts w:ascii="Times New Roman" w:cs="Times New Roman" w:eastAsia="Times New Roman" w:hAnsi="Times New Roman"/>
          <w:sz w:val="20"/>
          <w:szCs w:val="20"/>
          <w:u w:val="single" w:color="auto"/>
          <w:color w:val="auto"/>
        </w:rPr>
        <w:t>clause (b)(2)</w:t>
      </w:r>
      <w:r>
        <w:rPr>
          <w:rFonts w:ascii="Times New Roman" w:cs="Times New Roman" w:eastAsia="Times New Roman" w:hAnsi="Times New Roman"/>
          <w:sz w:val="20"/>
          <w:szCs w:val="20"/>
          <w:color w:val="auto"/>
        </w:rPr>
        <w:t xml:space="preserve"> shall be deemed to be satisfied with respect to any Asset Sale if the Issuer or any Restricted Subsidiary enters into an agreement committing to make the acquisition, investment or expenditure referred to above within 365 days after the receipt of such Net Available Proceeds with the good faith expectation that such Net Available Proceeds will be applied to satisfy such commitment in accordance with such agreement within 180 days after such 365-day period, and if such Net Available Proceeds are not so applied within such 180-day period, then such Net Available Proceeds shall constitute Excess Proceeds (as defined below).</w:t>
      </w:r>
    </w:p>
    <w:p>
      <w:pPr>
        <w:spacing w:after="0" w:line="17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The amount of Net Available Proceeds not applied or invested as provided in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4.10(b)</w:t>
      </w:r>
      <w:r>
        <w:rPr>
          <w:rFonts w:ascii="Times New Roman" w:cs="Times New Roman" w:eastAsia="Times New Roman" w:hAnsi="Times New Roman"/>
          <w:sz w:val="20"/>
          <w:szCs w:val="20"/>
          <w:color w:val="auto"/>
        </w:rPr>
        <w:t xml:space="preserve"> shall constitute “</w:t>
      </w:r>
      <w:r>
        <w:rPr>
          <w:rFonts w:ascii="Times New Roman" w:cs="Times New Roman" w:eastAsia="Times New Roman" w:hAnsi="Times New Roman"/>
          <w:sz w:val="20"/>
          <w:szCs w:val="20"/>
          <w:i w:val="1"/>
          <w:iCs w:val="1"/>
          <w:color w:val="auto"/>
        </w:rPr>
        <w:t>Excess Proceeds</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656"/>
        <w:spacing w:after="0" w:line="250" w:lineRule="auto"/>
        <w:tabs>
          <w:tab w:leader="none" w:pos="112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366th day after an Asset Sale (or, at the Issuer’s option, an earlier date), if the aggregate amount of Excess Proceeds equals or exceeds $75.0 million, the Issuer shall be required to make an offer, with a copy to the Trustee, to purchase or redeem (a “</w:t>
      </w:r>
      <w:r>
        <w:rPr>
          <w:rFonts w:ascii="Times New Roman" w:cs="Times New Roman" w:eastAsia="Times New Roman" w:hAnsi="Times New Roman"/>
          <w:sz w:val="20"/>
          <w:szCs w:val="20"/>
          <w:i w:val="1"/>
          <w:iCs w:val="1"/>
          <w:color w:val="auto"/>
        </w:rPr>
        <w:t>Net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Proceeds Offer</w:t>
      </w:r>
      <w:r>
        <w:rPr>
          <w:rFonts w:ascii="Times New Roman" w:cs="Times New Roman" w:eastAsia="Times New Roman" w:hAnsi="Times New Roman"/>
          <w:sz w:val="20"/>
          <w:szCs w:val="20"/>
          <w:color w:val="auto"/>
        </w:rPr>
        <w:t>”) from all Holders and, to the extent required by the terms of other Pari Passu Indebtedness of the Issuer, to all holders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Pari Passu Indebtedness outstanding with similar provisions requiring the Issuer to make an offer to purchase or redeem such Pari Passu Indebtedness with the proceeds from any Asset Sale to purchase or redeem the maximum principal amount of Notes and any such Pari Passu Indebtedness to which the Net Proceeds Offer applies that may be purchased or redeemed out of the Excess Proceeds, at an offer price in cash in an amount equal to 100.0% of the principal amount of Notes and Pari Passu Indebtedness plus accrued and unpaid interest thereon, if any, to the date of purchase, in accordance with the procedures set forth in this Indenture or the agreements governing the Pari Passu Indebtedness, as applicable, in each case in minimum denominations of $2,000 or integral multiples of $1,000 in excess thereof.</w:t>
      </w:r>
    </w:p>
    <w:p>
      <w:pPr>
        <w:spacing w:after="0" w:line="1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Notwithstanding any other provisions of this covenant, (i) to the extent that any of or all the Net Available Proceeds of any Asset Sales is prohibited or delayed by applicable law, the portion of such Net Available Proceeds so affected will not be required to be applied in compliance with this </w:t>
      </w:r>
      <w:r>
        <w:rPr>
          <w:rFonts w:ascii="Times New Roman" w:cs="Times New Roman" w:eastAsia="Times New Roman" w:hAnsi="Times New Roman"/>
          <w:sz w:val="19"/>
          <w:szCs w:val="19"/>
          <w:u w:val="single" w:color="auto"/>
          <w:color w:val="auto"/>
        </w:rPr>
        <w:t>Section 4.10</w:t>
      </w:r>
      <w:r>
        <w:rPr>
          <w:rFonts w:ascii="Times New Roman" w:cs="Times New Roman" w:eastAsia="Times New Roman" w:hAnsi="Times New Roman"/>
          <w:sz w:val="19"/>
          <w:szCs w:val="19"/>
          <w:color w:val="auto"/>
        </w:rPr>
        <w:t xml:space="preserve">, and such amounts may be retained by the Issuer or Subsidiary, as applicable, so long, but only so long, as the applicable law will not permit repatriation to the United States or the United Kingdom (the Issuer hereby agreeing to use reasonable efforts (as determined in the Issuer’s good faith judgment) to, or otherwise cause the applicable Subsidiary to, promptly take all actions reasonably required by the applicable law to permit such repatriation), and once such repatriation of any of such affected Net Available Proceeds is permitted under the applicable law, such repatriation will be promptly effected and such repatriated Net Available Proceeds will be promptly (and in any event not later than five Business Days after such repatriation could be made) applied (net of additional taxes payable or reserved against as a result thereof) (whether or not repatriation actually occurs) in compliance with this </w:t>
      </w:r>
      <w:r>
        <w:rPr>
          <w:rFonts w:ascii="Times New Roman" w:cs="Times New Roman" w:eastAsia="Times New Roman" w:hAnsi="Times New Roman"/>
          <w:sz w:val="19"/>
          <w:szCs w:val="19"/>
          <w:u w:val="single" w:color="auto"/>
          <w:color w:val="auto"/>
        </w:rPr>
        <w:t>Section 4.10</w:t>
      </w:r>
      <w:r>
        <w:rPr>
          <w:rFonts w:ascii="Times New Roman" w:cs="Times New Roman" w:eastAsia="Times New Roman" w:hAnsi="Times New Roman"/>
          <w:sz w:val="19"/>
          <w:szCs w:val="19"/>
          <w:color w:val="auto"/>
        </w:rPr>
        <w:t xml:space="preserve"> and (ii) to the extent that the Issuer has determined in good faith that repatriation of any of or all the Net Available Proceeds of any such prohibited or delayed Asset Sale would have a material adverse tax cost consequence with respect to such Net Available Proceeds (which for the avoidance of doubt, may include, but is not limited to, any prepayment whereby doing so the Issuer, any Restricted Subsidiary or any of their respective Affiliates and/or equity partners would incur a tax liability, including as a result of a dividend or a deemed dividend, or a withholding tax), the Net Available Proceeds so affected may be retained by the applicable Subsidiary. The non-application of any prepayment amounts as a consequence of the foregoing provisions will not, for the avoidance of doubt, constitute a Default or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13" w:right="339" w:bottom="1440" w:gutter="0" w:footer="0" w:header="0"/>
        </w:sectPr>
      </w:pPr>
    </w:p>
    <w:bookmarkStart w:id="74" w:name="page75"/>
    <w:bookmarkEnd w:id="74"/>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Trustee shall be entitled to conclusively rely on an Officers’ Certificate from the Issuer to the effect that applicable law will not permit repatriation of such amounts to the United States.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To the extent that the sum of the aggregate principal amount of Notes and Pari Passu Indebtedness so validly tendered pursuant to a Net Proceeds Offer is less than the Excess Proceeds, the Issuer may use any remaining Excess Proceeds, or a portion thereof, for any purposes not otherwise prohibited by the provisions of this Indenture. If the aggregate principal amount of Notes and Pari Passu Indebtedness so validly tendered pursuant to a Net Proceeds Offer exceeds the amount of Excess Proceeds, the Issuer shall select the Notes and Pari Passu Indebtedness to be purchased on a pro rata basis on the basis of the aggregate outstanding principal amount of Notes and Pari Passu Indebtedness. Upon completion of such Net Proceeds Offer in accordance with the foregoing provisions, the amount of Excess Proceeds with respect to which such Net Proceeds Offer was made shall be deemed to be zero.</w:t>
      </w:r>
    </w:p>
    <w:p>
      <w:pPr>
        <w:spacing w:after="0" w:line="179" w:lineRule="exact"/>
        <w:rPr>
          <w:sz w:val="20"/>
          <w:szCs w:val="20"/>
          <w:color w:val="auto"/>
        </w:rPr>
      </w:pPr>
    </w:p>
    <w:p>
      <w:pPr>
        <w:jc w:val="both"/>
        <w:ind w:firstLine="656"/>
        <w:spacing w:after="0" w:line="274" w:lineRule="auto"/>
        <w:tabs>
          <w:tab w:leader="none" w:pos="1113"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Net Proceeds Offer will remain open for a period of 20 Business Days following its commencement, except to the extent that a longer period is required by applicable law (the “</w:t>
      </w:r>
      <w:r>
        <w:rPr>
          <w:rFonts w:ascii="Times New Roman" w:cs="Times New Roman" w:eastAsia="Times New Roman" w:hAnsi="Times New Roman"/>
          <w:sz w:val="19"/>
          <w:szCs w:val="19"/>
          <w:i w:val="1"/>
          <w:iCs w:val="1"/>
          <w:color w:val="auto"/>
        </w:rPr>
        <w:t>Net Proceeds Offer Period</w:t>
      </w:r>
      <w:r>
        <w:rPr>
          <w:rFonts w:ascii="Times New Roman" w:cs="Times New Roman" w:eastAsia="Times New Roman" w:hAnsi="Times New Roman"/>
          <w:sz w:val="19"/>
          <w:szCs w:val="19"/>
          <w:color w:val="auto"/>
        </w:rPr>
        <w:t>”). No later than five Business Days after the termination of the Net Proceeds Offer Period (the “</w:t>
      </w:r>
      <w:r>
        <w:rPr>
          <w:rFonts w:ascii="Times New Roman" w:cs="Times New Roman" w:eastAsia="Times New Roman" w:hAnsi="Times New Roman"/>
          <w:sz w:val="19"/>
          <w:szCs w:val="19"/>
          <w:i w:val="1"/>
          <w:iCs w:val="1"/>
          <w:color w:val="auto"/>
        </w:rPr>
        <w:t>Net Proceeds Purchase Date</w:t>
      </w:r>
      <w:r>
        <w:rPr>
          <w:rFonts w:ascii="Times New Roman" w:cs="Times New Roman" w:eastAsia="Times New Roman" w:hAnsi="Times New Roman"/>
          <w:sz w:val="19"/>
          <w:szCs w:val="19"/>
          <w:color w:val="auto"/>
        </w:rPr>
        <w:t xml:space="preserve">”), the Issuer will purchase the principal amount of Notes and Pari Passu Indebtedness required to be purchased pursuant to this </w:t>
      </w:r>
      <w:r>
        <w:rPr>
          <w:rFonts w:ascii="Times New Roman" w:cs="Times New Roman" w:eastAsia="Times New Roman" w:hAnsi="Times New Roman"/>
          <w:sz w:val="19"/>
          <w:szCs w:val="19"/>
          <w:u w:val="single" w:color="auto"/>
          <w:color w:val="auto"/>
        </w:rPr>
        <w:t>Section 4.10</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i w:val="1"/>
          <w:iCs w:val="1"/>
          <w:color w:val="auto"/>
        </w:rPr>
        <w:t>Net Proceeds Offer Amount</w:t>
      </w:r>
      <w:r>
        <w:rPr>
          <w:rFonts w:ascii="Times New Roman" w:cs="Times New Roman" w:eastAsia="Times New Roman" w:hAnsi="Times New Roman"/>
          <w:sz w:val="19"/>
          <w:szCs w:val="19"/>
          <w:color w:val="auto"/>
        </w:rPr>
        <w:t>”) or, if less than the Net Proceeds Offer Amount has been so validly tendered, all Notes and Pari Passu Indebtedness validly tendered in response to the Net Proceeds Offer.</w:t>
      </w:r>
    </w:p>
    <w:p>
      <w:pPr>
        <w:spacing w:after="0" w:line="156" w:lineRule="exact"/>
        <w:rPr>
          <w:rFonts w:ascii="Times New Roman" w:cs="Times New Roman" w:eastAsia="Times New Roman" w:hAnsi="Times New Roman"/>
          <w:sz w:val="19"/>
          <w:szCs w:val="19"/>
          <w:color w:val="auto"/>
        </w:rPr>
      </w:pPr>
    </w:p>
    <w:p>
      <w:pPr>
        <w:jc w:val="both"/>
        <w:ind w:firstLine="656"/>
        <w:spacing w:after="0" w:line="268" w:lineRule="auto"/>
        <w:tabs>
          <w:tab w:leader="none" w:pos="110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Net Proceeds Purchase Date is on or after an interest record date and on or before the related interest payment date, any accrued and unpaid interest will be paid to the Person in whose name a Note is registered at the close of business on such record date, and no additional interest will be payable to Holders who tender Notes pursuant to the Net Proceeds Offer.</w:t>
      </w:r>
    </w:p>
    <w:p>
      <w:pPr>
        <w:spacing w:after="0" w:line="161" w:lineRule="exact"/>
        <w:rPr>
          <w:rFonts w:ascii="Times New Roman" w:cs="Times New Roman" w:eastAsia="Times New Roman" w:hAnsi="Times New Roman"/>
          <w:sz w:val="20"/>
          <w:szCs w:val="20"/>
          <w:color w:val="auto"/>
        </w:rPr>
      </w:pPr>
    </w:p>
    <w:p>
      <w:pPr>
        <w:jc w:val="both"/>
        <w:ind w:firstLine="656"/>
        <w:spacing w:after="0" w:line="261" w:lineRule="auto"/>
        <w:tabs>
          <w:tab w:leader="none" w:pos="112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Pending the final application of any Net Available Proceeds pursuant to this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the holder of such Net Available Proceeds may apply such Net Available Proceeds temporarily to reduce Indebtedness outstanding under a revolving Debt Facility or otherwise invest such Net Available Proceeds in any manner not prohibited by this Indenture.</w:t>
      </w:r>
    </w:p>
    <w:p>
      <w:pPr>
        <w:spacing w:after="0" w:line="181" w:lineRule="exact"/>
        <w:rPr>
          <w:rFonts w:ascii="Times New Roman" w:cs="Times New Roman" w:eastAsia="Times New Roman" w:hAnsi="Times New Roman"/>
          <w:sz w:val="20"/>
          <w:szCs w:val="20"/>
          <w:color w:val="auto"/>
        </w:rPr>
      </w:pPr>
    </w:p>
    <w:p>
      <w:pPr>
        <w:jc w:val="both"/>
        <w:ind w:firstLine="656"/>
        <w:spacing w:after="0" w:line="250" w:lineRule="auto"/>
        <w:tabs>
          <w:tab w:leader="none" w:pos="108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or before the Net Proceeds Purchase Date, the Issuer will, to the extent lawful, accept for payment, on a pro rata basis to the extent necessary, the Net Proceeds Offer Amount of Notes and Pari Passu Indebtedness or portions of Notes and Pari Passu Indebtedness so validly tendered and not properly withdrawn pursuant to the Net Proceeds Offer, or if less than the Net Proceeds Offer Amount has been validly tendered and not properly withdrawn, all Notes and Pari Passu Indebtedness so validly tendered and not properly withdrawn, in each case in minimum denominations of $2,000 and integral multiples of $1,000 in excess thereof. The Issuer or the Paying Agent, as the case may be, will promptly (but in any case not later than five Business Days after termination of the Net Proceeds Offer Period) mail or deliver to each tendering Holder and the Issuer will mail or deliver to each tendering holder or lender of Pari Passu Indebtedness, as the case may be, an amount equal to the purchase price of the Notes or Pari Passu Indebtedness so validly tendered and not properly withdrawn by such holder or lender, as the case may be, and accepted by the Issuer for purchase, and the Issuer will promptly issue a new Note, and the Trustee, upon delivery of an Officers’ Certificate from the Issuer, in form and substance reasonably satisfactory to the Trustee, will authenticate and mail or deliver such new Note to such Holder, in a principal amount equal to any unpurchased portion of the Note surrendered;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such new Note will be in a minimum principal amount of $2,000 or an integral multiple of $1,000 in excess thereof. Any Note not so accepted will be promptly mailed or delivered by the Issuer to the Holder thereof. The Issuer shall publicly announce the results of the Net Proceeds Offer as soon as practicable after the Net Proceeds 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13" w:right="339" w:bottom="1440" w:gutter="0" w:footer="0" w:header="0"/>
        </w:sectPr>
      </w:pPr>
    </w:p>
    <w:bookmarkStart w:id="75" w:name="page76"/>
    <w:bookmarkEnd w:id="75"/>
    <w:p>
      <w:pPr>
        <w:jc w:val="both"/>
        <w:ind w:firstLine="656"/>
        <w:spacing w:after="0" w:line="261" w:lineRule="auto"/>
        <w:tabs>
          <w:tab w:leader="none" w:pos="111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provisions of this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the sale, conveyance or other disposition of all or substantially all of the assets of the Issuer and its Restricted Subsidiaries, taken as a whole, shall be governed by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and not by this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029"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Issuer shall comply with all applicable securities laws and regulations in the United States, including, without limitation, the requirements of Rule 14e-1 under the Exchange Act and any other applicable laws and regulations in connection with the purchase of Notes pursuant to a Net Proceeds Offer. To the extent that the provisions of any applicable securities laws or regulations conflict with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4.10</w:t>
      </w:r>
      <w:r>
        <w:rPr>
          <w:rFonts w:ascii="Times New Roman" w:cs="Times New Roman" w:eastAsia="Times New Roman" w:hAnsi="Times New Roman"/>
          <w:sz w:val="20"/>
          <w:szCs w:val="20"/>
          <w:color w:val="auto"/>
        </w:rPr>
        <w:t xml:space="preserve">, the Issuer shall comply with the applicable securities laws and regulations and shall not be deemed to have breached its obligations under this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by virtue of such compliance.</w:t>
      </w:r>
    </w:p>
    <w:p>
      <w:pPr>
        <w:spacing w:after="0" w:line="192"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0"/>
          <w:szCs w:val="20"/>
          <w:color w:val="auto"/>
        </w:rPr>
        <w:t>Section 4.11.</w:t>
      </w:r>
      <w:r>
        <w:rPr>
          <w:sz w:val="20"/>
          <w:szCs w:val="20"/>
          <w:color w:val="auto"/>
        </w:rPr>
        <w:tab/>
      </w:r>
      <w:r>
        <w:rPr>
          <w:rFonts w:ascii="Times New Roman" w:cs="Times New Roman" w:eastAsia="Times New Roman" w:hAnsi="Times New Roman"/>
          <w:sz w:val="19"/>
          <w:szCs w:val="19"/>
          <w:u w:val="single" w:color="auto"/>
          <w:color w:val="auto"/>
        </w:rPr>
        <w:t>Limitation on Transactions with Affiliates</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firstLine="656"/>
        <w:spacing w:after="0" w:line="251" w:lineRule="auto"/>
        <w:tabs>
          <w:tab w:leader="none" w:pos="106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not, and shall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 guarantee with, or for the benefit of, any Affiliate (an “</w:t>
      </w:r>
      <w:r>
        <w:rPr>
          <w:rFonts w:ascii="Times New Roman" w:cs="Times New Roman" w:eastAsia="Times New Roman" w:hAnsi="Times New Roman"/>
          <w:sz w:val="20"/>
          <w:szCs w:val="20"/>
          <w:i w:val="1"/>
          <w:iCs w:val="1"/>
          <w:color w:val="auto"/>
        </w:rPr>
        <w:t>Affiliate Transaction</w:t>
      </w:r>
      <w:r>
        <w:rPr>
          <w:rFonts w:ascii="Times New Roman" w:cs="Times New Roman" w:eastAsia="Times New Roman" w:hAnsi="Times New Roman"/>
          <w:sz w:val="20"/>
          <w:szCs w:val="20"/>
          <w:color w:val="auto"/>
        </w:rPr>
        <w:t>”) involving aggregate payments or consideration to or from the Issuer or a Restricted Subsidiary in excess of $40.0 million with respect to any single transaction or series of related transactions, unless:</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852"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such Affiliate Transaction either (i) are not materially less favorable to the Issuer or such Restricted Subsidiary, as the case may be, than those that could reasonably be expected to have been obtained in a comparable transaction at the time of such transaction in arm’s length dealings with a Person who is not such an Affiliate, or (ii) if in the good faith judgment of the Issuer’s Board of Directors or senior management no comparable transaction is available with which to compare such Affiliate Transaction, are otherwise fair to the Issuer or such Restricted Subsidiary from a financial point of view; and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46"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Issuer delivers to the Trustee, with respect to any Affiliate Transaction involving aggregate value in excess of $75.0 million, an Officers’ Certificate (a) certifying that such Affiliate Transaction complies with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above and (b) which sets forth and authenticates a resolution that has been approved by the Board of Directors of the Issuer, including a majority of the disinterested members of the Board of Directors of the Issuer, if any.</w:t>
      </w:r>
    </w:p>
    <w:p>
      <w:pPr>
        <w:spacing w:after="0" w:line="18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w:t>
      </w:r>
      <w:r>
        <w:rPr>
          <w:rFonts w:ascii="Times New Roman" w:cs="Times New Roman" w:eastAsia="Times New Roman" w:hAnsi="Times New Roman"/>
          <w:sz w:val="20"/>
          <w:szCs w:val="20"/>
          <w:u w:val="single" w:color="auto"/>
          <w:color w:val="auto"/>
        </w:rPr>
        <w:t>Section 4.11(a)</w:t>
      </w:r>
      <w:r>
        <w:rPr>
          <w:rFonts w:ascii="Times New Roman" w:cs="Times New Roman" w:eastAsia="Times New Roman" w:hAnsi="Times New Roman"/>
          <w:sz w:val="20"/>
          <w:szCs w:val="20"/>
          <w:color w:val="auto"/>
        </w:rPr>
        <w:t xml:space="preserve"> shall not prohibit:</w:t>
      </w:r>
    </w:p>
    <w:p>
      <w:pPr>
        <w:spacing w:after="0" w:line="215"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to the extent between or among (i) the Issuer and one or more Restricted Subsidiaries or (ii) Restricted</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Subsidiaries;</w:t>
      </w:r>
    </w:p>
    <w:p>
      <w:pPr>
        <w:spacing w:after="0" w:line="200"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51"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reasonable director, trustee, officer, consultant and employee compensation (including bonuses) and other benefits (including pursuant to any employment agreement or any retirement, health, stock option or other benefit plan), payments or loans (or cancellation of loans) to directors, trustees, officers, consultants and employees of the Issuer and indemnification arrangements, in each case, as determined in good faith by the Issuer’s Board of Directors or senior management;</w:t>
      </w:r>
    </w:p>
    <w:p>
      <w:pPr>
        <w:spacing w:after="0" w:line="18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Investments or Restricted Payments which are made in accordance with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767"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pursuant to any agreement in effect on the Issue Date or as thereafter amended or replaced in any manner that, taken as a whole, is not materially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1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color w:val="auto"/>
        </w:rPr>
        <w:t>advantageous to the Issuer or its Restricted Subsidiaries than such agreement as it was in effect on the Issue Date;</w:t>
      </w:r>
    </w:p>
    <w:p>
      <w:pPr>
        <w:spacing w:after="0" w:line="229" w:lineRule="exact"/>
        <w:rPr>
          <w:sz w:val="20"/>
          <w:szCs w:val="20"/>
          <w:color w:val="auto"/>
        </w:rPr>
      </w:pPr>
    </w:p>
    <w:p>
      <w:pPr>
        <w:ind w:firstLine="644"/>
        <w:spacing w:after="0" w:line="269" w:lineRule="auto"/>
        <w:tabs>
          <w:tab w:leader="none" w:pos="110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with a Person (other than an Unrestricted Subsidiary of the Issuer) which would constitute an Affiliate of the Issuer solely because the Issuer or a Restricted Subsidiary owns an equity interest in or otherwise controls such Person;</w:t>
      </w:r>
    </w:p>
    <w:p>
      <w:pPr>
        <w:spacing w:after="0" w:line="172" w:lineRule="exact"/>
        <w:rPr>
          <w:rFonts w:ascii="Times New Roman" w:cs="Times New Roman" w:eastAsia="Times New Roman" w:hAnsi="Times New Roman"/>
          <w:sz w:val="20"/>
          <w:szCs w:val="20"/>
          <w:color w:val="auto"/>
        </w:rPr>
      </w:pPr>
    </w:p>
    <w:p>
      <w:pPr>
        <w:jc w:val="both"/>
        <w:ind w:firstLine="644"/>
        <w:spacing w:after="0" w:line="251" w:lineRule="auto"/>
        <w:tabs>
          <w:tab w:leader="none" w:pos="1133"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with customers, clients, suppliers, contractors, joint venture partners or purchasers or sellers of goods or services, or transactions otherwise related to the purchase or sales of goods or services, in each case in the ordinary course of business and otherwise not in violation of the terms of this Indenture;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reasonable determination of the Board of Directors of the Issuer or the senior management of the Issuer, such transactions are fair to the Issuer and its Restricted Subsidiaries from a financial point of view or on terms not materially less favorable to the Issuer or the relevant Restricted Subsidiary than those that could reasonably be expected to be obtained in a comparable transaction at such time on an arm’s-length basis from a Person that is not an Affiliate of the Issuer;</w:t>
      </w:r>
    </w:p>
    <w:p>
      <w:pPr>
        <w:spacing w:after="0" w:line="192" w:lineRule="exact"/>
        <w:rPr>
          <w:rFonts w:ascii="Times New Roman" w:cs="Times New Roman" w:eastAsia="Times New Roman" w:hAnsi="Times New Roman"/>
          <w:sz w:val="20"/>
          <w:szCs w:val="20"/>
          <w:color w:val="auto"/>
        </w:rPr>
      </w:pPr>
    </w:p>
    <w:p>
      <w:pPr>
        <w:ind w:firstLine="644"/>
        <w:spacing w:after="0" w:line="283" w:lineRule="auto"/>
        <w:tabs>
          <w:tab w:leader="none" w:pos="109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or sale of any Qualified Equity Interests of the Issuer and the granting of registration, indemnification and other customary rights in connection therewith to, or the receipt of capital contributions from, Affiliates of the Issuer;</w:t>
      </w:r>
    </w:p>
    <w:p>
      <w:pPr>
        <w:spacing w:after="0" w:line="146" w:lineRule="exact"/>
        <w:rPr>
          <w:rFonts w:ascii="Times New Roman" w:cs="Times New Roman" w:eastAsia="Times New Roman" w:hAnsi="Times New Roman"/>
          <w:sz w:val="20"/>
          <w:szCs w:val="20"/>
          <w:color w:val="auto"/>
        </w:rPr>
      </w:pPr>
    </w:p>
    <w:p>
      <w:pPr>
        <w:ind w:firstLine="644"/>
        <w:spacing w:after="0" w:line="283" w:lineRule="auto"/>
        <w:tabs>
          <w:tab w:leader="none" w:pos="120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to an Affiliate in respect of the Notes or any other Indebtedness of the Issuer or any of its Restricted Subsidiaries on a similar basis as concurrent payments are made or offered to be made in respect thereof to non-Affiliates;</w:t>
      </w:r>
    </w:p>
    <w:p>
      <w:pPr>
        <w:spacing w:after="0" w:line="146" w:lineRule="exact"/>
        <w:rPr>
          <w:rFonts w:ascii="Times New Roman" w:cs="Times New Roman" w:eastAsia="Times New Roman" w:hAnsi="Times New Roman"/>
          <w:sz w:val="20"/>
          <w:szCs w:val="20"/>
          <w:color w:val="auto"/>
        </w:rPr>
      </w:pPr>
    </w:p>
    <w:p>
      <w:pPr>
        <w:jc w:val="both"/>
        <w:ind w:firstLine="644"/>
        <w:spacing w:after="0" w:line="268" w:lineRule="auto"/>
        <w:tabs>
          <w:tab w:leader="none" w:pos="112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transaction in which the Issuer or any of its Restricted Subsidiaries, as the case may be, delivers to the Trustee a letter from an accounting, appraisal or investment banking firm of national standing stating that such transaction is fair to the Issuer or such Restricted Subsidiary from a financial point of view or that such transaction meets the requirements of </w:t>
      </w:r>
      <w:r>
        <w:rPr>
          <w:rFonts w:ascii="Times New Roman" w:cs="Times New Roman" w:eastAsia="Times New Roman" w:hAnsi="Times New Roman"/>
          <w:sz w:val="20"/>
          <w:szCs w:val="20"/>
          <w:u w:val="single" w:color="auto"/>
          <w:color w:val="auto"/>
        </w:rPr>
        <w:t>Section 4.11(a)(1)</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right="20" w:firstLine="644"/>
        <w:spacing w:after="0" w:line="283" w:lineRule="auto"/>
        <w:tabs>
          <w:tab w:leader="none" w:pos="1273"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where the only consideration paid by the Issuer or the relevant Restricted Subsidiary is Qualified Equity Interests of the Issuer;</w:t>
      </w:r>
    </w:p>
    <w:p>
      <w:pPr>
        <w:spacing w:after="0" w:line="146" w:lineRule="exact"/>
        <w:rPr>
          <w:rFonts w:ascii="Times New Roman" w:cs="Times New Roman" w:eastAsia="Times New Roman" w:hAnsi="Times New Roman"/>
          <w:sz w:val="20"/>
          <w:szCs w:val="20"/>
          <w:color w:val="auto"/>
        </w:rPr>
      </w:pPr>
    </w:p>
    <w:p>
      <w:pPr>
        <w:jc w:val="both"/>
        <w:ind w:firstLine="644"/>
        <w:spacing w:after="0" w:line="258" w:lineRule="auto"/>
        <w:tabs>
          <w:tab w:leader="none" w:pos="120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between the Issuer or any Restricted Subsidiary and any Person, a director of which is also a director of the Issuer or any direct or indirect parent company of the Issuer, and such director is the sole cause for such Person to be deemed an Affiliate of the Issuer or any Restricted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director shall abstain from voting as a director of the Issuer or such direct or indirect parent company, as the case may be, on any matter involving such other Person;</w:t>
      </w:r>
    </w:p>
    <w:p>
      <w:pPr>
        <w:spacing w:after="0" w:line="185" w:lineRule="exact"/>
        <w:rPr>
          <w:rFonts w:ascii="Times New Roman" w:cs="Times New Roman" w:eastAsia="Times New Roman" w:hAnsi="Times New Roman"/>
          <w:sz w:val="20"/>
          <w:szCs w:val="20"/>
          <w:color w:val="auto"/>
        </w:rPr>
      </w:pPr>
    </w:p>
    <w:p>
      <w:pPr>
        <w:jc w:val="both"/>
        <w:ind w:firstLine="644"/>
        <w:spacing w:after="0" w:line="253" w:lineRule="auto"/>
        <w:tabs>
          <w:tab w:leader="none" w:pos="125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entering into of a tax sharing agreement, or payments pursuant thereto, between the Issuer and/or one or more Subsidiaries, on the one hand, and any other Person with which the Issuer or such Subsidiaries are required or permitted to file a consolidated tax return or with which the Issuer or such Subsidiaries are part of a consolidated group for tax purposes to be used by such Person to pay taxes, and which payments by the Issuer and the Restricted Subsidiaries are not in excess of the tax liabilities that would have been payable by them on a stand-alone basis;</w:t>
      </w:r>
    </w:p>
    <w:p>
      <w:pPr>
        <w:spacing w:after="0" w:line="191" w:lineRule="exact"/>
        <w:rPr>
          <w:rFonts w:ascii="Times New Roman" w:cs="Times New Roman" w:eastAsia="Times New Roman" w:hAnsi="Times New Roman"/>
          <w:sz w:val="20"/>
          <w:szCs w:val="20"/>
          <w:color w:val="auto"/>
        </w:rPr>
      </w:pPr>
    </w:p>
    <w:p>
      <w:pPr>
        <w:ind w:left="1180" w:hanging="536"/>
        <w:spacing w:after="0"/>
        <w:tabs>
          <w:tab w:leader="none" w:pos="11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licenses in the ordinary course of business or consistent with industry practice;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0580"/>
          </w:cols>
          <w:pgMar w:left="980" w:top="1413" w:right="339" w:bottom="1440" w:gutter="0" w:footer="0" w:header="0"/>
        </w:sectPr>
      </w:pPr>
    </w:p>
    <w:bookmarkStart w:id="77" w:name="page78"/>
    <w:bookmarkEnd w:id="77"/>
    <w:p>
      <w:pPr>
        <w:ind w:left="660" w:firstLine="644"/>
        <w:spacing w:after="0" w:line="283" w:lineRule="auto"/>
        <w:tabs>
          <w:tab w:leader="none" w:pos="195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pledges and other transfers of Equity Interests in Unrestricted Subsidiaries and (B) any transactions with an Affiliate in which the consideration paid consists solely of Equity Interests of the Issuer.</w:t>
      </w:r>
    </w:p>
    <w:p>
      <w:pPr>
        <w:spacing w:after="0" w:line="146"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4.12.</w:t>
      </w:r>
      <w:r>
        <w:rPr>
          <w:sz w:val="20"/>
          <w:szCs w:val="20"/>
          <w:color w:val="auto"/>
        </w:rPr>
        <w:tab/>
      </w:r>
      <w:r>
        <w:rPr>
          <w:rFonts w:ascii="Times New Roman" w:cs="Times New Roman" w:eastAsia="Times New Roman" w:hAnsi="Times New Roman"/>
          <w:sz w:val="19"/>
          <w:szCs w:val="19"/>
          <w:u w:val="single" w:color="auto"/>
          <w:color w:val="auto"/>
        </w:rPr>
        <w:t>Limitation on Liens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53" w:lineRule="auto"/>
        <w:tabs>
          <w:tab w:leader="none" w:pos="1093"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not, and shall not permit any Restricted Subsidiary to, directly or indirectly, create, incur, assume or permit or suffer to exist any Lien (an “</w:t>
      </w:r>
      <w:r>
        <w:rPr>
          <w:rFonts w:ascii="Times New Roman" w:cs="Times New Roman" w:eastAsia="Times New Roman" w:hAnsi="Times New Roman"/>
          <w:sz w:val="20"/>
          <w:szCs w:val="20"/>
          <w:i w:val="1"/>
          <w:iCs w:val="1"/>
          <w:color w:val="auto"/>
        </w:rPr>
        <w:t>Initial Lien</w:t>
      </w:r>
      <w:r>
        <w:rPr>
          <w:rFonts w:ascii="Times New Roman" w:cs="Times New Roman" w:eastAsia="Times New Roman" w:hAnsi="Times New Roman"/>
          <w:sz w:val="20"/>
          <w:szCs w:val="20"/>
          <w:color w:val="auto"/>
        </w:rPr>
        <w:t>”) of any kind (other than Permitted Liens) upon any of their property or assets (including Equity Interests of any Restricted Subsidiary), whether owned at the Issue Date or thereafter acquired, which Lien secures Indebtedness, unless contemporaneously with the incurrence of such Lien:</w:t>
      </w:r>
    </w:p>
    <w:p>
      <w:pPr>
        <w:spacing w:after="0" w:line="175" w:lineRule="exact"/>
        <w:rPr>
          <w:rFonts w:ascii="Times New Roman" w:cs="Times New Roman" w:eastAsia="Times New Roman" w:hAnsi="Times New Roman"/>
          <w:sz w:val="20"/>
          <w:szCs w:val="20"/>
          <w:color w:val="auto"/>
        </w:rPr>
      </w:pPr>
    </w:p>
    <w:p>
      <w:pPr>
        <w:jc w:val="both"/>
        <w:ind w:left="660" w:right="20" w:firstLine="644"/>
        <w:spacing w:after="0" w:line="261" w:lineRule="auto"/>
        <w:tabs>
          <w:tab w:leader="none" w:pos="1819"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Lien securing Indebtedness that is not Subordinated Indebtedness, effective provision is made to secure the Notes or such Guarantee, as the case may be, at least equally and ratably with or prior to such Indebtedness with a Lien on the same collateral; and</w:t>
      </w:r>
    </w:p>
    <w:p>
      <w:pPr>
        <w:spacing w:after="0" w:line="181" w:lineRule="exact"/>
        <w:rPr>
          <w:rFonts w:ascii="Times New Roman" w:cs="Times New Roman" w:eastAsia="Times New Roman" w:hAnsi="Times New Roman"/>
          <w:sz w:val="20"/>
          <w:szCs w:val="20"/>
          <w:color w:val="auto"/>
        </w:rPr>
      </w:pPr>
    </w:p>
    <w:p>
      <w:pPr>
        <w:ind w:left="660" w:firstLine="644"/>
        <w:spacing w:after="0" w:line="310" w:lineRule="auto"/>
        <w:tabs>
          <w:tab w:leader="none" w:pos="1803"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Lien securing Subordinated Indebtedness, effective provision is made to secure the Notes or such Guarantee, as the case may be, with a Lien on the same collateral that is senior to the Lien securing such Subordinated Indebtedness.</w:t>
      </w:r>
    </w:p>
    <w:p>
      <w:pPr>
        <w:spacing w:after="0" w:line="124" w:lineRule="exact"/>
        <w:rPr>
          <w:rFonts w:ascii="Times New Roman" w:cs="Times New Roman" w:eastAsia="Times New Roman" w:hAnsi="Times New Roman"/>
          <w:sz w:val="19"/>
          <w:szCs w:val="19"/>
          <w:color w:val="auto"/>
        </w:rPr>
      </w:pPr>
    </w:p>
    <w:p>
      <w:pPr>
        <w:jc w:val="both"/>
        <w:ind w:firstLine="656"/>
        <w:spacing w:after="0" w:line="258" w:lineRule="auto"/>
        <w:tabs>
          <w:tab w:leader="none" w:pos="115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Lien created for the benefit of the Holders pursuant to </w:t>
      </w:r>
      <w:r>
        <w:rPr>
          <w:rFonts w:ascii="Times New Roman" w:cs="Times New Roman" w:eastAsia="Times New Roman" w:hAnsi="Times New Roman"/>
          <w:sz w:val="20"/>
          <w:szCs w:val="20"/>
          <w:u w:val="single" w:color="auto"/>
          <w:color w:val="auto"/>
        </w:rPr>
        <w:t>Section 4.12(a)</w:t>
      </w:r>
      <w:r>
        <w:rPr>
          <w:rFonts w:ascii="Times New Roman" w:cs="Times New Roman" w:eastAsia="Times New Roman" w:hAnsi="Times New Roman"/>
          <w:sz w:val="20"/>
          <w:szCs w:val="20"/>
          <w:color w:val="auto"/>
        </w:rPr>
        <w:t xml:space="preserve"> shall provide by its terms that such Lien shall be automatically and unconditionally released and discharged upon the release and discharge of the Initial Lien. In addition, in the event that an Initial Lien is or becomes a Permitted Lien, the Issuer may, at its option and without consent from any Holder of the Notes, elect to release and discharge any Lien created for the benefit of the Holders of the Notes pursuant to </w:t>
      </w:r>
      <w:r>
        <w:rPr>
          <w:rFonts w:ascii="Times New Roman" w:cs="Times New Roman" w:eastAsia="Times New Roman" w:hAnsi="Times New Roman"/>
          <w:sz w:val="20"/>
          <w:szCs w:val="20"/>
          <w:u w:val="single" w:color="auto"/>
          <w:color w:val="auto"/>
        </w:rPr>
        <w:t>Section 4.12(a)</w:t>
      </w:r>
      <w:r>
        <w:rPr>
          <w:rFonts w:ascii="Times New Roman" w:cs="Times New Roman" w:eastAsia="Times New Roman" w:hAnsi="Times New Roman"/>
          <w:sz w:val="20"/>
          <w:szCs w:val="20"/>
          <w:color w:val="auto"/>
        </w:rPr>
        <w:t xml:space="preserve"> in respect of such Initial Lien.</w:t>
      </w:r>
    </w:p>
    <w:p>
      <w:pPr>
        <w:spacing w:after="0" w:line="186"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4.13.</w:t>
      </w:r>
      <w:r>
        <w:rPr>
          <w:sz w:val="20"/>
          <w:szCs w:val="20"/>
          <w:color w:val="auto"/>
        </w:rPr>
        <w:tab/>
      </w:r>
      <w:r>
        <w:rPr>
          <w:rFonts w:ascii="Times New Roman" w:cs="Times New Roman" w:eastAsia="Times New Roman" w:hAnsi="Times New Roman"/>
          <w:sz w:val="19"/>
          <w:szCs w:val="19"/>
          <w:u w:val="single" w:color="auto"/>
          <w:color w:val="auto"/>
        </w:rPr>
        <w:t>Offer to Purchase upon Change of Control Triggering Event</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firstLine="656"/>
        <w:spacing w:after="0" w:line="248" w:lineRule="auto"/>
        <w:tabs>
          <w:tab w:leader="none" w:pos="109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occurrence of any Change of Control Triggering Event, unless the Issuer has previously or concurrently exercised its right to redeem all of the Notes as described under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each Holder shall have the right, except as provided below, to require that the Issuer purchase all or any portion (equal to $2,000 or an integral multiple of $1,000 in excess thereof) of that Holder’s Notes for a cash price (the “</w:t>
      </w:r>
      <w:r>
        <w:rPr>
          <w:rFonts w:ascii="Times New Roman" w:cs="Times New Roman" w:eastAsia="Times New Roman" w:hAnsi="Times New Roman"/>
          <w:sz w:val="20"/>
          <w:szCs w:val="20"/>
          <w:i w:val="1"/>
          <w:iCs w:val="1"/>
          <w:color w:val="auto"/>
        </w:rPr>
        <w:t>Change of Control Purchase Price</w:t>
      </w:r>
      <w:r>
        <w:rPr>
          <w:rFonts w:ascii="Times New Roman" w:cs="Times New Roman" w:eastAsia="Times New Roman" w:hAnsi="Times New Roman"/>
          <w:sz w:val="20"/>
          <w:szCs w:val="20"/>
          <w:color w:val="auto"/>
        </w:rPr>
        <w:t>”) equal to 101.0% of the principal amount of the Notes to be purchased, plus accrued and unpaid interest thereon, if any, to, but excluding, the date of purchase.</w:t>
      </w:r>
    </w:p>
    <w:p>
      <w:pPr>
        <w:spacing w:after="0" w:line="193" w:lineRule="exact"/>
        <w:rPr>
          <w:rFonts w:ascii="Times New Roman" w:cs="Times New Roman" w:eastAsia="Times New Roman" w:hAnsi="Times New Roman"/>
          <w:sz w:val="20"/>
          <w:szCs w:val="20"/>
          <w:color w:val="auto"/>
        </w:rPr>
      </w:pPr>
    </w:p>
    <w:p>
      <w:pPr>
        <w:ind w:firstLine="656"/>
        <w:spacing w:after="0" w:line="283" w:lineRule="auto"/>
        <w:tabs>
          <w:tab w:leader="none" w:pos="1111"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30 days following any Change of Control Triggering Event, the Issuer shall deliver, or cause to be delivered, to the Holders, with a copy to the Trustee, a notice:</w:t>
      </w:r>
    </w:p>
    <w:p>
      <w:pPr>
        <w:spacing w:after="0" w:line="14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describing the transaction or transactions that constitute the Change of Control;</w:t>
      </w:r>
    </w:p>
    <w:p>
      <w:pPr>
        <w:spacing w:after="0" w:line="225"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91"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offering to purchase, pursuant to the procedures required by this Indenture and described in the notice (a “</w:t>
      </w:r>
      <w:r>
        <w:rPr>
          <w:rFonts w:ascii="Times New Roman" w:cs="Times New Roman" w:eastAsia="Times New Roman" w:hAnsi="Times New Roman"/>
          <w:sz w:val="20"/>
          <w:szCs w:val="20"/>
          <w:i w:val="1"/>
          <w:iCs w:val="1"/>
          <w:color w:val="auto"/>
        </w:rPr>
        <w:t>Change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Control Offer</w:t>
      </w:r>
      <w:r>
        <w:rPr>
          <w:rFonts w:ascii="Times New Roman" w:cs="Times New Roman" w:eastAsia="Times New Roman" w:hAnsi="Times New Roman"/>
          <w:sz w:val="20"/>
          <w:szCs w:val="20"/>
          <w:color w:val="auto"/>
        </w:rPr>
        <w:t>”), on a date specified in the notice, which shall be a Business Day not earlier than 30 days, nor later than 60 days,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date the notice is delivered (the “</w:t>
      </w:r>
      <w:r>
        <w:rPr>
          <w:rFonts w:ascii="Times New Roman" w:cs="Times New Roman" w:eastAsia="Times New Roman" w:hAnsi="Times New Roman"/>
          <w:sz w:val="20"/>
          <w:szCs w:val="20"/>
          <w:i w:val="1"/>
          <w:iCs w:val="1"/>
          <w:color w:val="auto"/>
        </w:rPr>
        <w:t>Change of Control Payment Date</w:t>
      </w:r>
      <w:r>
        <w:rPr>
          <w:rFonts w:ascii="Times New Roman" w:cs="Times New Roman" w:eastAsia="Times New Roman" w:hAnsi="Times New Roman"/>
          <w:sz w:val="20"/>
          <w:szCs w:val="20"/>
          <w:color w:val="auto"/>
        </w:rPr>
        <w:t>”), and for the Change of Control Purchase Price, all Notes properly tendered by such Holder pursuant to such Change of Control Offer prior to 5:00 p.m. New York time on the second Business Day preceding the Change of Control Payment Date; and</w:t>
      </w:r>
    </w:p>
    <w:p>
      <w:pPr>
        <w:spacing w:after="0" w:line="191" w:lineRule="exact"/>
        <w:rPr>
          <w:rFonts w:ascii="Times New Roman" w:cs="Times New Roman" w:eastAsia="Times New Roman" w:hAnsi="Times New Roman"/>
          <w:sz w:val="20"/>
          <w:szCs w:val="20"/>
          <w:color w:val="auto"/>
        </w:rPr>
      </w:pPr>
    </w:p>
    <w:p>
      <w:pPr>
        <w:ind w:left="660" w:firstLine="644"/>
        <w:spacing w:after="0" w:line="269" w:lineRule="auto"/>
        <w:tabs>
          <w:tab w:leader="none" w:pos="1836"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describing the procedures, as determined by the Issuer, consistent with this Indenture, that Holders must follow to accept the Change of Control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13" w:right="339" w:bottom="1440" w:gutter="0" w:footer="0" w:header="0"/>
        </w:sectPr>
      </w:pPr>
    </w:p>
    <w:bookmarkStart w:id="78" w:name="page79"/>
    <w:bookmarkEnd w:id="78"/>
    <w:p>
      <w:pPr>
        <w:ind w:left="1080" w:hanging="424"/>
        <w:spacing w:after="0"/>
        <w:tabs>
          <w:tab w:leader="none" w:pos="10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Change of Control Payment Date, the Issuer will, to the extent lawful:</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822"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with the Paying Agent an amount equal to the Change of Control Purchase Price in respect of all Notes or portions of Notes properly tendered;</w:t>
      </w:r>
    </w:p>
    <w:p>
      <w:pPr>
        <w:spacing w:after="0" w:line="172" w:lineRule="exact"/>
        <w:rPr>
          <w:rFonts w:ascii="Times New Roman" w:cs="Times New Roman" w:eastAsia="Times New Roman" w:hAnsi="Times New Roman"/>
          <w:sz w:val="20"/>
          <w:szCs w:val="20"/>
          <w:color w:val="auto"/>
        </w:rPr>
      </w:pPr>
    </w:p>
    <w:p>
      <w:pPr>
        <w:ind w:left="660" w:firstLine="644"/>
        <w:spacing w:after="0" w:line="269" w:lineRule="auto"/>
        <w:tabs>
          <w:tab w:leader="none" w:pos="1753"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 for payment all Notes or portions of Notes (of $2,000 or integral multiples of $1,000 in excess thereof) properly tendered pursuant to the Change of Control Offer; and</w:t>
      </w:r>
    </w:p>
    <w:p>
      <w:pPr>
        <w:spacing w:after="0" w:line="172"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784"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or cause to be delivered to the Trustee the Notes so accepted together with an Officers’ Certificate stating the aggregate principal amount of Notes or portions of Notes being purchased by the Issuer.</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109"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Paying Agent shall promptly deliver to each Holder who has so tendered Notes the Change of Control Purchase Price for such Notes, and the Trustee shall promptly authenticate and mail (or cause to be transferred by book-entry) to each Holder a new Note equal in principal amount to any unpurchased portion of the Notes so tendered, if 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such new Note will be in a principal amount of $2,000 or integral multiples of $1,000 in excess thereof.</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091"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Change of Control Payment Date is on or after an interest record date and on or before the related interest payment date, any accrued and unpaid interest, if any, will be paid on the relevant interest payment date to the Person in whose name a Note is registered at the close of business on such record date.</w:t>
      </w:r>
    </w:p>
    <w:p>
      <w:pPr>
        <w:spacing w:after="0" w:line="167" w:lineRule="exact"/>
        <w:rPr>
          <w:rFonts w:ascii="Times New Roman" w:cs="Times New Roman" w:eastAsia="Times New Roman" w:hAnsi="Times New Roman"/>
          <w:sz w:val="20"/>
          <w:szCs w:val="20"/>
          <w:color w:val="auto"/>
        </w:rPr>
      </w:pPr>
    </w:p>
    <w:p>
      <w:pPr>
        <w:jc w:val="both"/>
        <w:ind w:firstLine="656"/>
        <w:spacing w:after="0" w:line="268" w:lineRule="auto"/>
        <w:tabs>
          <w:tab w:leader="none" w:pos="105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Control Offer shall remain open for at least 20 Business Days or for such longer period as is required by law. The Issuer shall publicly announce the results of the Change of Control Offer on or as soon as practicable after the Change of Control Payment Date.</w:t>
      </w:r>
    </w:p>
    <w:p>
      <w:pPr>
        <w:spacing w:after="0" w:line="161" w:lineRule="exact"/>
        <w:rPr>
          <w:rFonts w:ascii="Times New Roman" w:cs="Times New Roman" w:eastAsia="Times New Roman" w:hAnsi="Times New Roman"/>
          <w:sz w:val="20"/>
          <w:szCs w:val="20"/>
          <w:color w:val="auto"/>
        </w:rPr>
      </w:pPr>
    </w:p>
    <w:p>
      <w:pPr>
        <w:jc w:val="both"/>
        <w:ind w:firstLine="656"/>
        <w:spacing w:after="0" w:line="252" w:lineRule="auto"/>
        <w:tabs>
          <w:tab w:leader="none" w:pos="1127"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not be required to make a Change of Control Offer upon a Change of Control Triggering Event if (i) a third party makes the Change of Control Offer in the manner, at the times and otherwise in compliance with the requirements set forth in this Indenture applicable to a Change of Control Offer made by the Issuer and purchases all Notes properly tendered and not withdrawn under such Change of Control Offer, (ii) in connection with or in contemplation of any publicly announced Change of Control, the Issuer has made an offer to purchase (an “</w:t>
      </w:r>
      <w:r>
        <w:rPr>
          <w:rFonts w:ascii="Times New Roman" w:cs="Times New Roman" w:eastAsia="Times New Roman" w:hAnsi="Times New Roman"/>
          <w:sz w:val="20"/>
          <w:szCs w:val="20"/>
          <w:i w:val="1"/>
          <w:iCs w:val="1"/>
          <w:color w:val="auto"/>
        </w:rPr>
        <w:t>Alternate Offer</w:t>
      </w:r>
      <w:r>
        <w:rPr>
          <w:rFonts w:ascii="Times New Roman" w:cs="Times New Roman" w:eastAsia="Times New Roman" w:hAnsi="Times New Roman"/>
          <w:sz w:val="20"/>
          <w:szCs w:val="20"/>
          <w:color w:val="auto"/>
        </w:rPr>
        <w:t xml:space="preserve">”) any and all Notes validly tendered at a cash price equal to or higher than the Change of Control Purchase Price and has purchased all Notes properly tendered in accordance with the terms of the Alternate Offer or (iii) a notice of redemption of all outstanding Notes has been given pursuant to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unless and until there is a default in the payment of the redemption price on the applicable redemption date or the redemption is not consummated due to the failure of a condition precedent contained in the applicable redemption notice to be satisfied.</w:t>
      </w:r>
    </w:p>
    <w:p>
      <w:pPr>
        <w:spacing w:after="0" w:line="175" w:lineRule="exact"/>
        <w:rPr>
          <w:rFonts w:ascii="Times New Roman" w:cs="Times New Roman" w:eastAsia="Times New Roman" w:hAnsi="Times New Roman"/>
          <w:sz w:val="20"/>
          <w:szCs w:val="20"/>
          <w:color w:val="auto"/>
        </w:rPr>
      </w:pPr>
    </w:p>
    <w:p>
      <w:pPr>
        <w:jc w:val="both"/>
        <w:ind w:firstLine="656"/>
        <w:spacing w:after="0" w:line="253" w:lineRule="auto"/>
        <w:tabs>
          <w:tab w:leader="none" w:pos="112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Holders of not less than 90.0% in aggregate principal amount of the outstanding Notes validly tender and do not withdraw such Notes in a Change of Control Offer or Alternate Offer and the Issuer, or any third party making a Change of Control Offer in lieu of the Issuer as described above, purchases all of the Notes validly tendered and not withdrawn by such Holders, the Issuer will have the right, upon not less than 10 nor more than 60 days’ prior notice, given not more than 30 days following such purchase pursuant to the Change of Control Offer or an Alternate Offer, as applicable, to redeem all Notes that remain outstanding following such purchase at a redemption price in cash equal to the applicable Change of Control Purchase Price or an Alternate Offer price, as applicable, plus, to the extent not included in the Change of Control Purchase Price or an Alternate Offer price, as applicable, accrued and unpaid interest, if any, to, but excluding, the date of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13" w:right="339" w:bottom="1440" w:gutter="0" w:footer="0" w:header="0"/>
        </w:sectPr>
      </w:pPr>
    </w:p>
    <w:bookmarkStart w:id="79" w:name="page80"/>
    <w:bookmarkEnd w:id="79"/>
    <w:p>
      <w:pPr>
        <w:jc w:val="both"/>
        <w:ind w:firstLine="656"/>
        <w:spacing w:after="0" w:line="253" w:lineRule="auto"/>
        <w:tabs>
          <w:tab w:leader="none" w:pos="1191"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Issuer shall comply with all applicable securities legislation in the United States, including, without limitation, the requirements of Rule 14e- 1 under the Exchange Act and any other applicable laws and regulations in connection with the purchase of Notes pursuant to a Change of Control Offer. To the extent that the provisions of any applicable securities laws or regulations conflict with this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the Issuer shall comply with the applicable securities laws and regulations and shall not be deemed to have breached its obligations under this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by virtue of such compliance.</w:t>
      </w:r>
    </w:p>
    <w:p>
      <w:pPr>
        <w:spacing w:after="0" w:line="191" w:lineRule="exact"/>
        <w:rPr>
          <w:rFonts w:ascii="Times New Roman" w:cs="Times New Roman" w:eastAsia="Times New Roman" w:hAnsi="Times New Roman"/>
          <w:sz w:val="20"/>
          <w:szCs w:val="20"/>
          <w:color w:val="auto"/>
        </w:rPr>
      </w:pPr>
    </w:p>
    <w:p>
      <w:pPr>
        <w:ind w:right="20" w:firstLine="656"/>
        <w:spacing w:after="0" w:line="283" w:lineRule="auto"/>
        <w:tabs>
          <w:tab w:leader="none" w:pos="113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under this Indenture relating to the Issuer’s obligation to make a Change of Control Offer may be waived, modified or terminated with the written consent of the Holders of a majority in principal amount of the Notes then outstanding.</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09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a Change of Control Offer may be made in advance of a Change of Control Triggering Event, conditional upon such Change of Control Triggering Event or other events or circumstances, if a definitive agreement is in place for the Change of Control at the time of making of the Change of Control Offer.</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4.14. </w:t>
      </w:r>
      <w:r>
        <w:rPr>
          <w:rFonts w:ascii="Times New Roman" w:cs="Times New Roman" w:eastAsia="Times New Roman" w:hAnsi="Times New Roman"/>
          <w:sz w:val="20"/>
          <w:szCs w:val="20"/>
          <w:u w:val="single" w:color="auto"/>
          <w:color w:val="auto"/>
        </w:rPr>
        <w:t>Corporate Existence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the Issuer shall do or cause to be done all things necessary to preserve and keep in full force and effect its corporate existence and the corporate, partnership, limited liability company or other existence of each of the Guarantors in accordance with the respective organizational or constitutional documents (as the same may be amended from time to time) of the Issuer or any such Guarantor and the rights (charter and statutory), licenses and franchises of the Issuer and the Guarantors;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Issuer shall not be required to preserve any such right, license or franchise, or the corporate, partnership or other existence of any of the Guarantors, if the Issuer shall determine that the preservation thereof is no longer desirable in the conduct of the business of the Issuer and its Subsidiaries, taken as a whole, and that the loss thereof is not adverse in any material respect to the Holders.</w:t>
      </w:r>
    </w:p>
    <w:p>
      <w:pPr>
        <w:spacing w:after="0" w:line="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4.15. </w:t>
      </w:r>
      <w:r>
        <w:rPr>
          <w:rFonts w:ascii="Times New Roman" w:cs="Times New Roman" w:eastAsia="Times New Roman" w:hAnsi="Times New Roman"/>
          <w:sz w:val="20"/>
          <w:szCs w:val="20"/>
          <w:u w:val="single" w:color="auto"/>
          <w:color w:val="auto"/>
        </w:rPr>
        <w:t>Additional Guarantees</w:t>
      </w:r>
      <w:r>
        <w:rPr>
          <w:rFonts w:ascii="Times New Roman" w:cs="Times New Roman" w:eastAsia="Times New Roman" w:hAnsi="Times New Roman"/>
          <w:sz w:val="20"/>
          <w:szCs w:val="20"/>
          <w:color w:val="auto"/>
        </w:rPr>
        <w:t xml:space="preserve">. If any Restricted Subsidiary of the Issuer that is not already a Guarantor shall guarantee any Indebtedness of the Issuer or any Guarantor under the (i) RCF Credit Agreement or (ii) any Debt Facility or capital markets debt securities of the Issuer or any Guarantor, in each case of this clause (ii), in an aggregate principal amount that exceeds the greater of (x) $150.0 million and (y) 2.0% of the Issuer’s Consolidated Total Assets, then the Issuer shall, within 30 days thereof, cause such Restricted Subsidiary to execute and deliver to the Trustee a supplemental indenture in substantially the form attached hereto as Exhibit B pursuant to which such Restricted Subsidiary shall become a Guarantor with respect to the Notes, upon the terms and subject to the release provisions and other limitations set forth in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w:t>
      </w:r>
    </w:p>
    <w:p>
      <w:pPr>
        <w:spacing w:after="0" w:line="4"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4.16.</w:t>
      </w:r>
      <w:r>
        <w:rPr>
          <w:sz w:val="20"/>
          <w:szCs w:val="20"/>
          <w:color w:val="auto"/>
        </w:rPr>
        <w:tab/>
      </w:r>
      <w:r>
        <w:rPr>
          <w:rFonts w:ascii="Times New Roman" w:cs="Times New Roman" w:eastAsia="Times New Roman" w:hAnsi="Times New Roman"/>
          <w:sz w:val="19"/>
          <w:szCs w:val="19"/>
          <w:u w:val="single" w:color="auto"/>
          <w:color w:val="auto"/>
        </w:rPr>
        <w:t>Limitation on Designation of Unrestricted Subsidiaries</w:t>
      </w:r>
      <w:r>
        <w:rPr>
          <w:rFonts w:ascii="Times New Roman" w:cs="Times New Roman" w:eastAsia="Times New Roman" w:hAnsi="Times New Roman"/>
          <w:sz w:val="19"/>
          <w:szCs w:val="19"/>
          <w:color w:val="auto"/>
        </w:rPr>
        <w:t>.</w:t>
      </w:r>
    </w:p>
    <w:p>
      <w:pPr>
        <w:spacing w:after="0" w:line="6" w:lineRule="exact"/>
        <w:rPr>
          <w:sz w:val="20"/>
          <w:szCs w:val="20"/>
          <w:color w:val="auto"/>
        </w:rPr>
      </w:pPr>
    </w:p>
    <w:p>
      <w:pPr>
        <w:jc w:val="both"/>
        <w:ind w:firstLine="656"/>
        <w:spacing w:after="0" w:line="253" w:lineRule="auto"/>
        <w:tabs>
          <w:tab w:leader="none" w:pos="113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of the Issuer may designate any Subsidiary (including any newly formed or newly acquired Subsidiary or a Person becoming a Subsidiary through merger or consolidation or Investment therein) of the Issuer as an “</w:t>
      </w:r>
      <w:r>
        <w:rPr>
          <w:rFonts w:ascii="Times New Roman" w:cs="Times New Roman" w:eastAsia="Times New Roman" w:hAnsi="Times New Roman"/>
          <w:sz w:val="20"/>
          <w:szCs w:val="20"/>
          <w:i w:val="1"/>
          <w:iCs w:val="1"/>
          <w:color w:val="auto"/>
        </w:rPr>
        <w:t>Unrestricted Subsidiary</w:t>
      </w:r>
      <w:r>
        <w:rPr>
          <w:rFonts w:ascii="Times New Roman" w:cs="Times New Roman" w:eastAsia="Times New Roman" w:hAnsi="Times New Roman"/>
          <w:sz w:val="20"/>
          <w:szCs w:val="20"/>
          <w:color w:val="auto"/>
        </w:rPr>
        <w:t>” under this Indenture (a “</w:t>
      </w:r>
      <w:r>
        <w:rPr>
          <w:rFonts w:ascii="Times New Roman" w:cs="Times New Roman" w:eastAsia="Times New Roman" w:hAnsi="Times New Roman"/>
          <w:sz w:val="20"/>
          <w:szCs w:val="20"/>
          <w:i w:val="1"/>
          <w:iCs w:val="1"/>
          <w:color w:val="auto"/>
        </w:rPr>
        <w:t>Designation</w:t>
      </w:r>
      <w:r>
        <w:rPr>
          <w:rFonts w:ascii="Times New Roman" w:cs="Times New Roman" w:eastAsia="Times New Roman" w:hAnsi="Times New Roman"/>
          <w:sz w:val="20"/>
          <w:szCs w:val="20"/>
          <w:color w:val="auto"/>
        </w:rPr>
        <w:t>”) only if:</w:t>
      </w:r>
    </w:p>
    <w:p>
      <w:pPr>
        <w:spacing w:after="0" w:line="18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have occurred and be continuing at the time of or after giving effect to such Designation; and</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43"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Issuer would be permitted to make, at the time of such Designation, (a) a Permitted Investment or (b) an Investment pursuant to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in either case, in an amount (the “</w:t>
      </w:r>
      <w:r>
        <w:rPr>
          <w:rFonts w:ascii="Times New Roman" w:cs="Times New Roman" w:eastAsia="Times New Roman" w:hAnsi="Times New Roman"/>
          <w:sz w:val="20"/>
          <w:szCs w:val="20"/>
          <w:i w:val="1"/>
          <w:iCs w:val="1"/>
          <w:color w:val="auto"/>
        </w:rPr>
        <w:t>Designation Amount</w:t>
      </w:r>
      <w:r>
        <w:rPr>
          <w:rFonts w:ascii="Times New Roman" w:cs="Times New Roman" w:eastAsia="Times New Roman" w:hAnsi="Times New Roman"/>
          <w:sz w:val="20"/>
          <w:szCs w:val="20"/>
          <w:color w:val="auto"/>
        </w:rPr>
        <w:t>”) equal to the Fair Market Value of the Issuer’s proportionate interest in such Subsidiary on such date.</w:t>
      </w:r>
    </w:p>
    <w:p>
      <w:pPr>
        <w:spacing w:after="0" w:line="177"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Subsidiary shall be Designated as an “</w:t>
      </w:r>
      <w:r>
        <w:rPr>
          <w:rFonts w:ascii="Times New Roman" w:cs="Times New Roman" w:eastAsia="Times New Roman" w:hAnsi="Times New Roman"/>
          <w:sz w:val="20"/>
          <w:szCs w:val="20"/>
          <w:i w:val="1"/>
          <w:iCs w:val="1"/>
          <w:color w:val="auto"/>
        </w:rPr>
        <w:t>Unrestricted Subsidiary</w:t>
      </w:r>
      <w:r>
        <w:rPr>
          <w:rFonts w:ascii="Times New Roman" w:cs="Times New Roman" w:eastAsia="Times New Roman" w:hAnsi="Times New Roman"/>
          <w:sz w:val="20"/>
          <w:szCs w:val="20"/>
          <w:color w:val="auto"/>
        </w:rPr>
        <w:t>”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13" w:right="339" w:bottom="1440" w:gutter="0" w:footer="0" w:header="0"/>
        </w:sectPr>
      </w:pPr>
    </w:p>
    <w:bookmarkStart w:id="80" w:name="page81"/>
    <w:bookmarkEnd w:id="80"/>
    <w:p>
      <w:pPr>
        <w:jc w:val="both"/>
        <w:ind w:left="660" w:firstLine="644"/>
        <w:spacing w:after="0" w:line="265" w:lineRule="auto"/>
        <w:tabs>
          <w:tab w:leader="none" w:pos="1737"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Indebtedness of such Subsidiary and its Subsidiaries shall, at the date of Designation, consist of Non-Recourse Debt, except for (i) any guarantee given solely to support the pledge by the Issuer or any Restricted Subsidiary of the Equity Interests of such Unrestricted Subsidiary, which guarantee is not otherwise recourse to the Issuer or any Restricted Subsidiary, (ii) any customary keepwell in the ordinary course of business (which keepwell is not recourse to the Issuer or any Restricted Subsidiary) and</w:t>
      </w:r>
    </w:p>
    <w:p>
      <w:pPr>
        <w:spacing w:after="0" w:line="2" w:lineRule="exact"/>
        <w:rPr>
          <w:rFonts w:ascii="Times New Roman" w:cs="Times New Roman" w:eastAsia="Times New Roman" w:hAnsi="Times New Roman"/>
          <w:sz w:val="19"/>
          <w:szCs w:val="19"/>
          <w:color w:val="auto"/>
        </w:rPr>
      </w:pPr>
    </w:p>
    <w:p>
      <w:pPr>
        <w:ind w:left="1000" w:hanging="344"/>
        <w:spacing w:after="0"/>
        <w:tabs>
          <w:tab w:leader="none" w:pos="100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guarantee of Indebtedness of such Subsidiary by the Issuer or a Restricted Subsidiary that is permitted as both an incurrence</w:t>
      </w:r>
    </w:p>
    <w:p>
      <w:pPr>
        <w:spacing w:after="0" w:line="18" w:lineRule="exact"/>
        <w:rPr>
          <w:sz w:val="20"/>
          <w:szCs w:val="20"/>
          <w:color w:val="auto"/>
        </w:rPr>
      </w:pPr>
    </w:p>
    <w:p>
      <w:pPr>
        <w:ind w:left="660"/>
        <w:spacing w:after="0" w:line="267" w:lineRule="auto"/>
        <w:rPr>
          <w:sz w:val="20"/>
          <w:szCs w:val="20"/>
          <w:color w:val="auto"/>
        </w:rPr>
      </w:pPr>
      <w:r>
        <w:rPr>
          <w:rFonts w:ascii="Times New Roman" w:cs="Times New Roman" w:eastAsia="Times New Roman" w:hAnsi="Times New Roman"/>
          <w:sz w:val="20"/>
          <w:szCs w:val="20"/>
          <w:color w:val="auto"/>
        </w:rPr>
        <w:t xml:space="preserve">of Indebtedness and an Investment (in each case in an amount equal to the amount of such Indebtedness so guaranteed) permitted under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left="660" w:firstLine="644"/>
        <w:spacing w:after="0" w:line="257" w:lineRule="auto"/>
        <w:tabs>
          <w:tab w:leader="none" w:pos="187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permitted by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on the date such Subsidiary is Designated an Unrestricted Subsidiary, such Subsidiary is not party to any agreement, contract, arrangement or understanding (other than a guarantee permitted under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4.16(b)</w:t>
      </w:r>
      <w:r>
        <w:rPr>
          <w:rFonts w:ascii="Times New Roman" w:cs="Times New Roman" w:eastAsia="Times New Roman" w:hAnsi="Times New Roman"/>
          <w:sz w:val="20"/>
          <w:szCs w:val="20"/>
          <w:color w:val="auto"/>
        </w:rPr>
        <w:t>) with the Issuer or any Restricted Subsidiary unless the terms of the agreement, contract, arrangement or understanding are not materially less favorable to the Issuer or the Restricted Subsidiary than those that could reasonably be expected to have been obtained at the time from Persons who are not Affiliates of the Issuer; and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4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Subsidiary is a Person with respect to which neither the Issuer nor any of its Restricted Subsidiaries has any direct or indirect obligation (a) to subscribe for additional Equity Interests of such Person or (b) to maintain or preserve the Person’s financial condition or to cause the Person to achieve any specified levels of operating results (in each case other than a guarantee permitted under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4.16(b)</w:t>
      </w:r>
      <w:r>
        <w:rPr>
          <w:rFonts w:ascii="Times New Roman" w:cs="Times New Roman" w:eastAsia="Times New Roman" w:hAnsi="Times New Roman"/>
          <w:sz w:val="20"/>
          <w:szCs w:val="20"/>
          <w:color w:val="auto"/>
        </w:rPr>
        <w:t xml:space="preserve">) or to the extent treated as an Investment permitted by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Any such Designation by the Board of Directors of the Issuer shall be evidenced to the Trustee by filing with the Trustee a resolution of the Board of Directors of the Issuer giving effect to such Designation and an Officers’ Certificate certifying that such Designation complies with the foregoing conditions. If, at any time, any Unrestricted Subsidiary fails to meet the preceding requirements as an Unrestricted Subsidiary, it shall thereafter cease to be an Unrestricted Subsidiary for purposes of this Indenture and any Indebtedness of the Subsidiary and any Liens on assets of such Subsidiary shall be deemed to be incurred by a Restricted Subsidiary at such time and, if the Indebtedness is not permitted to be incurred under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or the Lien is not permitted under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the Issuer shall be in default of the applicable covenant.</w:t>
      </w:r>
    </w:p>
    <w:p>
      <w:pPr>
        <w:spacing w:after="0" w:line="189" w:lineRule="exact"/>
        <w:rPr>
          <w:sz w:val="20"/>
          <w:szCs w:val="20"/>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of Directors of the Issuer may redesignate an Unrestricted Subsidiary as a Restricted Subsidiary (a “</w:t>
      </w:r>
      <w:r>
        <w:rPr>
          <w:rFonts w:ascii="Times New Roman" w:cs="Times New Roman" w:eastAsia="Times New Roman" w:hAnsi="Times New Roman"/>
          <w:sz w:val="19"/>
          <w:szCs w:val="19"/>
          <w:i w:val="1"/>
          <w:iCs w:val="1"/>
          <w:color w:val="auto"/>
        </w:rPr>
        <w:t>Redesignation</w:t>
      </w:r>
      <w:r>
        <w:rPr>
          <w:rFonts w:ascii="Times New Roman" w:cs="Times New Roman" w:eastAsia="Times New Roman" w:hAnsi="Times New Roman"/>
          <w:sz w:val="19"/>
          <w:szCs w:val="19"/>
          <w:color w:val="auto"/>
        </w:rPr>
        <w: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only if:</w:t>
      </w:r>
    </w:p>
    <w:p>
      <w:pPr>
        <w:spacing w:after="0" w:line="207" w:lineRule="exact"/>
        <w:rPr>
          <w:sz w:val="20"/>
          <w:szCs w:val="20"/>
          <w:color w:val="auto"/>
        </w:rPr>
      </w:pPr>
    </w:p>
    <w:p>
      <w:pPr>
        <w:ind w:left="1740" w:hanging="436"/>
        <w:spacing w:after="0"/>
        <w:tabs>
          <w:tab w:leader="none" w:pos="174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have occurred and be continuing at the time of and after giving effect to such Redesignation; and</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310" w:lineRule="auto"/>
        <w:tabs>
          <w:tab w:leader="none" w:pos="1875"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Liens, Indebtedness and Investments of such Unrestricted Subsidiary outstanding immediately following such Redesignation would, if incurred or made at such time, have been permitted to be incurred or made for all purposes of this Indenture.</w:t>
      </w:r>
    </w:p>
    <w:p>
      <w:pPr>
        <w:spacing w:after="0" w:line="138"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Any such Redesignation shall be evidenced to the Trustee by filing with the Trustee an Officers’ Certificate certifying that such Redesignation complies with the foregoing conditions.</w:t>
      </w:r>
    </w:p>
    <w:p>
      <w:pPr>
        <w:spacing w:after="0" w:line="17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4.17.</w:t>
      </w:r>
      <w:r>
        <w:rPr>
          <w:sz w:val="20"/>
          <w:szCs w:val="20"/>
          <w:color w:val="auto"/>
        </w:rPr>
        <w:tab/>
      </w:r>
      <w:r>
        <w:rPr>
          <w:rFonts w:ascii="Times New Roman" w:cs="Times New Roman" w:eastAsia="Times New Roman" w:hAnsi="Times New Roman"/>
          <w:sz w:val="19"/>
          <w:szCs w:val="19"/>
          <w:u w:val="single" w:color="auto"/>
          <w:color w:val="auto"/>
        </w:rPr>
        <w:t>Effectiveness of Covenants</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If:</w:t>
      </w:r>
    </w:p>
    <w:p>
      <w:pPr>
        <w:spacing w:after="0" w:line="207" w:lineRule="exact"/>
        <w:rPr>
          <w:sz w:val="20"/>
          <w:szCs w:val="20"/>
          <w:color w:val="auto"/>
        </w:rPr>
      </w:pPr>
    </w:p>
    <w:p>
      <w:pPr>
        <w:ind w:left="1740" w:hanging="436"/>
        <w:spacing w:after="0"/>
        <w:tabs>
          <w:tab w:leader="none" w:pos="17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Notes have a Specified Investment Grade Rating from any two of the Rating Agencies;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79"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13" w:right="339" w:bottom="1440" w:gutter="0" w:footer="0" w:header="0"/>
        </w:sectPr>
      </w:pPr>
    </w:p>
    <w:bookmarkStart w:id="81" w:name="page82"/>
    <w:bookmarkEnd w:id="81"/>
    <w:p>
      <w:pPr>
        <w:ind w:left="1300"/>
        <w:spacing w:after="0"/>
        <w:tabs>
          <w:tab w:leader="none" w:pos="172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no Default or Event of Default has occurred and is then continuing;</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then upon delivery by the Issuer to the Trustee of an Officers’ Certificate to the foregoing effect (the date of delivery of any such Officers’ Certificate, the “</w:t>
      </w:r>
      <w:r>
        <w:rPr>
          <w:rFonts w:ascii="Times New Roman" w:cs="Times New Roman" w:eastAsia="Times New Roman" w:hAnsi="Times New Roman"/>
          <w:sz w:val="20"/>
          <w:szCs w:val="20"/>
          <w:i w:val="1"/>
          <w:iCs w:val="1"/>
          <w:color w:val="auto"/>
        </w:rPr>
        <w:t>Termination Date</w:t>
      </w:r>
      <w:r>
        <w:rPr>
          <w:rFonts w:ascii="Times New Roman" w:cs="Times New Roman" w:eastAsia="Times New Roman" w:hAnsi="Times New Roman"/>
          <w:sz w:val="20"/>
          <w:szCs w:val="20"/>
          <w:color w:val="auto"/>
        </w:rPr>
        <w:t>”), the Issuer and its Restricted Subsidiaries will thereafter, not be subject to the following covenants:</w:t>
      </w:r>
    </w:p>
    <w:p>
      <w:pPr>
        <w:spacing w:after="0" w:line="168" w:lineRule="exact"/>
        <w:rPr>
          <w:sz w:val="20"/>
          <w:szCs w:val="20"/>
          <w:color w:val="auto"/>
        </w:rPr>
      </w:pPr>
    </w:p>
    <w:p>
      <w:pPr>
        <w:ind w:left="2980" w:hanging="380"/>
        <w:spacing w:after="0"/>
        <w:tabs>
          <w:tab w:leader="none" w:pos="298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3040" w:hanging="440"/>
        <w:spacing w:after="0"/>
        <w:tabs>
          <w:tab w:leader="none" w:pos="30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3100" w:hanging="500"/>
        <w:spacing w:after="0"/>
        <w:tabs>
          <w:tab w:leader="none" w:pos="310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080" w:hanging="480"/>
        <w:spacing w:after="0"/>
        <w:tabs>
          <w:tab w:leader="none" w:pos="308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080" w:hanging="480"/>
        <w:spacing w:after="0"/>
        <w:tabs>
          <w:tab w:leader="none" w:pos="308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3140" w:hanging="540"/>
        <w:spacing w:after="0"/>
        <w:tabs>
          <w:tab w:leader="none" w:pos="31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4.16</w:t>
      </w:r>
      <w:r>
        <w:rPr>
          <w:rFonts w:ascii="Times New Roman" w:cs="Times New Roman" w:eastAsia="Times New Roman" w:hAnsi="Times New Roman"/>
          <w:sz w:val="20"/>
          <w:szCs w:val="20"/>
          <w:color w:val="auto"/>
        </w:rPr>
        <w:t>; and</w:t>
      </w:r>
    </w:p>
    <w:p>
      <w:pPr>
        <w:spacing w:after="0" w:line="229" w:lineRule="exact"/>
        <w:rPr>
          <w:rFonts w:ascii="Times New Roman" w:cs="Times New Roman" w:eastAsia="Times New Roman" w:hAnsi="Times New Roman"/>
          <w:sz w:val="20"/>
          <w:szCs w:val="20"/>
          <w:color w:val="auto"/>
        </w:rPr>
      </w:pPr>
    </w:p>
    <w:p>
      <w:pPr>
        <w:ind w:left="3200" w:hanging="600"/>
        <w:spacing w:after="0"/>
        <w:tabs>
          <w:tab w:leader="none" w:pos="320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5.1(a)(3)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The Trustee shall have no duty to monitor the ratings of the Notes, shall not be deemed to have knowledge of the ratings of the Notes and may conclusively rely on any Officers’ Certificate provided by the Issuer with respect to the ratings of the Notes. The Trustee shall have no duty to notify the Holders whether the Issuer and its Restricted Subsidiaries are subject to the provisions listed in this Section 4.17(a).</w:t>
      </w:r>
    </w:p>
    <w:p>
      <w:pPr>
        <w:spacing w:after="0" w:line="164" w:lineRule="exact"/>
        <w:rPr>
          <w:sz w:val="20"/>
          <w:szCs w:val="20"/>
          <w:color w:val="auto"/>
        </w:rPr>
      </w:pPr>
    </w:p>
    <w:p>
      <w:pPr>
        <w:ind w:firstLine="656"/>
        <w:spacing w:after="0" w:line="283" w:lineRule="auto"/>
        <w:tabs>
          <w:tab w:leader="none" w:pos="109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Guarantor shall be automatically released from its obligations under its Guarantee and its obligations under this Indenture upon delivery by the Issuer to the Trustee of the Officers’ Certificate under </w:t>
      </w:r>
      <w:r>
        <w:rPr>
          <w:rFonts w:ascii="Times New Roman" w:cs="Times New Roman" w:eastAsia="Times New Roman" w:hAnsi="Times New Roman"/>
          <w:sz w:val="20"/>
          <w:szCs w:val="20"/>
          <w:u w:val="single" w:color="auto"/>
          <w:color w:val="auto"/>
        </w:rPr>
        <w:t>Section 4.17(a)</w:t>
      </w:r>
      <w:r>
        <w:rPr>
          <w:rFonts w:ascii="Times New Roman" w:cs="Times New Roman" w:eastAsia="Times New Roman" w:hAnsi="Times New Roman"/>
          <w:sz w:val="20"/>
          <w:szCs w:val="20"/>
          <w:color w:val="auto"/>
        </w:rPr>
        <w:t xml:space="preserve"> on the Termination Date.</w:t>
      </w:r>
    </w:p>
    <w:p>
      <w:pPr>
        <w:spacing w:after="0" w:line="146"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7"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delivery by the Issuer to the Trustee of the Officers’ Certificate under </w:t>
      </w:r>
      <w:r>
        <w:rPr>
          <w:rFonts w:ascii="Times New Roman" w:cs="Times New Roman" w:eastAsia="Times New Roman" w:hAnsi="Times New Roman"/>
          <w:sz w:val="20"/>
          <w:szCs w:val="20"/>
          <w:u w:val="single" w:color="auto"/>
          <w:color w:val="auto"/>
        </w:rPr>
        <w:t>Section 4.17(a)</w:t>
      </w:r>
      <w:r>
        <w:rPr>
          <w:rFonts w:ascii="Times New Roman" w:cs="Times New Roman" w:eastAsia="Times New Roman" w:hAnsi="Times New Roman"/>
          <w:sz w:val="20"/>
          <w:szCs w:val="20"/>
          <w:color w:val="auto"/>
        </w:rPr>
        <w:t xml:space="preserve"> on the Termination Date, and solely for the purposes of determining compliance with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(i) notwithstanding the termination of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the ratio based exceptions, thresholds and basket provisions of such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that are referred to in, or necessary to give effect to,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shall be deemed to still be in effect and (ii) references to “Restricted Subsidiaries” shall be deemed to be references to “Subsidiaries,” as the context requires.</w:t>
      </w:r>
    </w:p>
    <w:p>
      <w:pPr>
        <w:spacing w:after="0" w:line="191" w:lineRule="exact"/>
        <w:rPr>
          <w:rFonts w:ascii="Times New Roman" w:cs="Times New Roman" w:eastAsia="Times New Roman" w:hAnsi="Times New Roman"/>
          <w:sz w:val="20"/>
          <w:szCs w:val="20"/>
          <w:color w:val="auto"/>
        </w:rPr>
      </w:pPr>
    </w:p>
    <w:p>
      <w:pPr>
        <w:ind w:firstLine="656"/>
        <w:spacing w:after="0" w:line="283" w:lineRule="auto"/>
        <w:tabs>
          <w:tab w:leader="none" w:pos="115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have no obligation to independently determine or verify if a Termination Date has occurred or notify the Holders of any Termination Date. The Trustee may provide a copy of such Officers’ Certificate to any Holder of the Notes upon request.</w:t>
      </w:r>
    </w:p>
    <w:p>
      <w:pPr>
        <w:spacing w:after="0" w:line="15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4.18. </w:t>
      </w:r>
      <w:r>
        <w:rPr>
          <w:rFonts w:ascii="Times New Roman" w:cs="Times New Roman" w:eastAsia="Times New Roman" w:hAnsi="Times New Roman"/>
          <w:sz w:val="20"/>
          <w:szCs w:val="20"/>
          <w:u w:val="single" w:color="auto"/>
          <w:color w:val="auto"/>
        </w:rPr>
        <w:t>Maintenance of Listing</w:t>
      </w:r>
      <w:r>
        <w:rPr>
          <w:rFonts w:ascii="Arial" w:cs="Arial" w:eastAsia="Arial" w:hAnsi="Arial"/>
          <w:sz w:val="21"/>
          <w:szCs w:val="21"/>
          <w:color w:val="auto"/>
        </w:rPr>
        <w:t>. The Issuer shall use its commercially reasonable efforts to obtain and</w:t>
      </w:r>
      <w:r>
        <w:rPr>
          <w:rFonts w:ascii="Times New Roman" w:cs="Times New Roman" w:eastAsia="Times New Roman" w:hAnsi="Times New Roman"/>
          <w:sz w:val="20"/>
          <w:szCs w:val="20"/>
          <w:color w:val="auto"/>
        </w:rPr>
        <w:t xml:space="preserve"> </w:t>
      </w:r>
      <w:r>
        <w:rPr>
          <w:rFonts w:ascii="Arial" w:cs="Arial" w:eastAsia="Arial" w:hAnsi="Arial"/>
          <w:sz w:val="21"/>
          <w:szCs w:val="21"/>
          <w:color w:val="auto"/>
        </w:rPr>
        <w:t>maintain the listing of the Notes on the Official List of the International Stock Exchange (the “</w:t>
      </w:r>
      <w:r>
        <w:rPr>
          <w:rFonts w:ascii="Arial" w:cs="Arial" w:eastAsia="Arial" w:hAnsi="Arial"/>
          <w:sz w:val="21"/>
          <w:szCs w:val="21"/>
          <w:i w:val="1"/>
          <w:iCs w:val="1"/>
          <w:color w:val="auto"/>
        </w:rPr>
        <w:t>Exchange</w:t>
      </w:r>
      <w:r>
        <w:rPr>
          <w:rFonts w:ascii="Arial" w:cs="Arial" w:eastAsia="Arial" w:hAnsi="Arial"/>
          <w:sz w:val="21"/>
          <w:szCs w:val="21"/>
          <w:color w:val="auto"/>
        </w:rPr>
        <w:t>”) for so long as any Notes are outstanding; provided that if the Issuer is unable to obtain admission to listing of the Notes on the Exchange or if at any time the Issuer is unable to maintain such listing, it shall use its commercially reasonable efforts to obtain a listing of the Notes on another recognized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13"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SUCCESSORS</w:t>
      </w:r>
    </w:p>
    <w:p>
      <w:pPr>
        <w:spacing w:after="0" w:line="200"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5.1.</w:t>
      </w:r>
      <w:r>
        <w:rPr>
          <w:sz w:val="20"/>
          <w:szCs w:val="20"/>
          <w:color w:val="auto"/>
        </w:rPr>
        <w:tab/>
      </w:r>
      <w:r>
        <w:rPr>
          <w:rFonts w:ascii="Times New Roman" w:cs="Times New Roman" w:eastAsia="Times New Roman" w:hAnsi="Times New Roman"/>
          <w:sz w:val="19"/>
          <w:szCs w:val="19"/>
          <w:u w:val="single" w:color="auto"/>
          <w:color w:val="auto"/>
        </w:rPr>
        <w:t>Consolidation, Merger, Conveyance, Transfer or Lease</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53" w:lineRule="auto"/>
        <w:tabs>
          <w:tab w:leader="none" w:pos="111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not, directly or indirectly, in a single transaction or a series of related transactions, (x) consolidate, or merge with or into another Person (whether or not the Issuer is the surviving Person), or (y) sell, lease, transfer, convey or otherwise dispose of or assign all or substantially all of the assets of the Issuer and its Restricted Subsidiaries (taken as a whole) to any Person unless:</w:t>
      </w:r>
    </w:p>
    <w:p>
      <w:pPr>
        <w:spacing w:after="0" w:line="18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215"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will be the surviving or continuing Person; or</w:t>
      </w:r>
    </w:p>
    <w:p>
      <w:pPr>
        <w:spacing w:after="0" w:line="229" w:lineRule="exact"/>
        <w:rPr>
          <w:rFonts w:ascii="Times New Roman" w:cs="Times New Roman" w:eastAsia="Times New Roman" w:hAnsi="Times New Roman"/>
          <w:sz w:val="20"/>
          <w:szCs w:val="20"/>
          <w:color w:val="auto"/>
        </w:rPr>
      </w:pPr>
    </w:p>
    <w:p>
      <w:pPr>
        <w:jc w:val="both"/>
        <w:ind w:left="660" w:firstLine="1292"/>
        <w:spacing w:after="0" w:line="251" w:lineRule="auto"/>
        <w:tabs>
          <w:tab w:leader="none" w:pos="2425"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(if other than the Issuer) formed by or surviving or continuing from such consolidation or merger or to which such sale, lease, transfer, conveyance or other disposition or assignment shall be made (collectively, the “</w:t>
      </w:r>
      <w:r>
        <w:rPr>
          <w:rFonts w:ascii="Times New Roman" w:cs="Times New Roman" w:eastAsia="Times New Roman" w:hAnsi="Times New Roman"/>
          <w:sz w:val="20"/>
          <w:szCs w:val="20"/>
          <w:i w:val="1"/>
          <w:iCs w:val="1"/>
          <w:color w:val="auto"/>
        </w:rPr>
        <w:t>Successor</w:t>
      </w:r>
      <w:r>
        <w:rPr>
          <w:rFonts w:ascii="Times New Roman" w:cs="Times New Roman" w:eastAsia="Times New Roman" w:hAnsi="Times New Roman"/>
          <w:sz w:val="20"/>
          <w:szCs w:val="20"/>
          <w:color w:val="auto"/>
        </w:rPr>
        <w:t xml:space="preserve">”) is a corporation, company, limited liability company or limited partnership organized and existing under the laws of any Permitted Jurisdiction and the Successor expressly assumes, by agreements in form and substance reasonably satisfactory to the Trustee, all of the obligations of the Issuer under the Notes and this Indenture;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the Successor is not a corporation, a Restricted Subsidiary that is a corporation or a company expressly assumes as co-obligor all of the obligations of the Issuer under this Indenture and the Notes pursuant to a supplemental indenture to this Indenture executed and delivered to the Trustee;</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49"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after giving effect to such transaction and the assumption of the obligations as set forth in </w:t>
      </w:r>
      <w:r>
        <w:rPr>
          <w:rFonts w:ascii="Times New Roman" w:cs="Times New Roman" w:eastAsia="Times New Roman" w:hAnsi="Times New Roman"/>
          <w:sz w:val="20"/>
          <w:szCs w:val="20"/>
          <w:u w:val="single" w:color="auto"/>
          <w:color w:val="auto"/>
        </w:rPr>
        <w:t>clause (1)(B)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 xml:space="preserve"> and the incurrence of any Indebtedness to be incurred in connection therewith, and the use of any net proceeds therefrom on a pro forma basis, no Default shall have occurred and be continuing;</w:t>
      </w:r>
    </w:p>
    <w:p>
      <w:pPr>
        <w:spacing w:after="0" w:line="18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immediately after giving pro forma effect to such transaction and the assumption of the obligations as set forth in </w:t>
      </w:r>
      <w:r>
        <w:rPr>
          <w:rFonts w:ascii="Times New Roman" w:cs="Times New Roman" w:eastAsia="Times New Roman" w:hAnsi="Times New Roman"/>
          <w:sz w:val="19"/>
          <w:szCs w:val="19"/>
          <w:u w:val="single" w:color="auto"/>
          <w:color w:val="auto"/>
        </w:rPr>
        <w:t>clause</w:t>
      </w:r>
    </w:p>
    <w:p>
      <w:pPr>
        <w:spacing w:after="0" w:line="33" w:lineRule="exact"/>
        <w:rPr>
          <w:rFonts w:ascii="Times New Roman" w:cs="Times New Roman" w:eastAsia="Times New Roman" w:hAnsi="Times New Roman"/>
          <w:sz w:val="19"/>
          <w:szCs w:val="19"/>
          <w:color w:val="auto"/>
        </w:rPr>
      </w:pPr>
    </w:p>
    <w:p>
      <w:pPr>
        <w:jc w:val="both"/>
        <w:ind w:left="66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(1)(B)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 xml:space="preserve"> and the incurrence of any Indebtedness to be incurred in connection therewith, and the use of any net proceeds therefrom on a pro forma basis, (i) the Issuer or its Successor, as the case may be, could incur $1.00 of additional Indebtedness pursuant to the Coverage Ratio Exception or (ii) the Consolidated Interest Coverage Ratio for the Issuer or its Successor, as the case may be, and its Restricted Subsidiaries would be greater than or equal to such Consolidated Interest Coverage Ratio prior to such transaction; and</w:t>
      </w:r>
    </w:p>
    <w:p>
      <w:pPr>
        <w:spacing w:after="0" w:line="179" w:lineRule="exact"/>
        <w:rPr>
          <w:rFonts w:ascii="Times New Roman" w:cs="Times New Roman" w:eastAsia="Times New Roman" w:hAnsi="Times New Roman"/>
          <w:sz w:val="19"/>
          <w:szCs w:val="19"/>
          <w:color w:val="auto"/>
        </w:rPr>
      </w:pPr>
    </w:p>
    <w:p>
      <w:pPr>
        <w:ind w:left="660" w:firstLine="644"/>
        <w:spacing w:after="0" w:line="283" w:lineRule="auto"/>
        <w:tabs>
          <w:tab w:leader="none" w:pos="176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have delivered to the Trustee an Officers’ Certificate and an Opinion of Counsel to the effect that such merger, consolidation or transfer and such agreement and/or supplemental indenture (if any) comply with this Indenture.</w:t>
      </w:r>
    </w:p>
    <w:p>
      <w:pPr>
        <w:spacing w:after="0" w:line="14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any Indebtedness of the Successor which was not Indebtedness of the Issuer immediately prior to the transaction shall be deemed to have been incurred in connection with such transaction.</w:t>
      </w:r>
    </w:p>
    <w:p>
      <w:pPr>
        <w:spacing w:after="0" w:line="160" w:lineRule="exact"/>
        <w:rPr>
          <w:sz w:val="20"/>
          <w:szCs w:val="20"/>
          <w:color w:val="auto"/>
        </w:rPr>
      </w:pPr>
    </w:p>
    <w:p>
      <w:pPr>
        <w:jc w:val="both"/>
        <w:ind w:firstLine="656"/>
        <w:spacing w:after="0" w:line="271" w:lineRule="auto"/>
        <w:tabs>
          <w:tab w:leader="none" w:pos="1086"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in circumstances under which this Indenture provides for the release of the Guarantee of a Guarantor as described under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 no Guarantor shall, and the Issuer shall not permit any Guarantor to, directly or indirectly, (x) in a single transaction or a series of related transactions, consolidate or merge with or into another Person (whether or not the Guarantor is the surviving Person), or (y) sell, lease, transfer, convey or otherwise dispose of or assign all or substantially all of the assets of such Guarantor to any Person, unless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09" w:right="339" w:bottom="1440" w:gutter="0" w:footer="0" w:header="0"/>
        </w:sectPr>
      </w:pPr>
    </w:p>
    <w:bookmarkStart w:id="83" w:name="page84"/>
    <w:bookmarkEnd w:id="83"/>
    <w:p>
      <w:pPr>
        <w:jc w:val="both"/>
        <w:ind w:left="1300" w:firstLine="4"/>
        <w:spacing w:after="0" w:line="258" w:lineRule="auto"/>
        <w:tabs>
          <w:tab w:leader="none" w:pos="1827"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(A)(i) such Guarantor will be the surviving or continuing Person; or (ii) the Person (if other than such Guarantor) formed by or surviving any such consolidation or merger is the Issuer or another Guarantor or assumes, by agreements in form and substance reasonably satisfactory to the Trustee, all of the obligations of such Guarantor under the Guarantee of such Guarantor and this Indenture;</w:t>
      </w:r>
    </w:p>
    <w:p>
      <w:pPr>
        <w:spacing w:after="0" w:line="172"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effect to such transaction, no Default shall have occurred and be continuing; and</w:t>
      </w:r>
    </w:p>
    <w:p>
      <w:pPr>
        <w:spacing w:after="0" w:line="229" w:lineRule="exact"/>
        <w:rPr>
          <w:rFonts w:ascii="Times New Roman" w:cs="Times New Roman" w:eastAsia="Times New Roman" w:hAnsi="Times New Roman"/>
          <w:sz w:val="20"/>
          <w:szCs w:val="20"/>
          <w:color w:val="auto"/>
        </w:rPr>
      </w:pPr>
    </w:p>
    <w:p>
      <w:pPr>
        <w:ind w:left="660" w:right="20" w:firstLine="1292"/>
        <w:spacing w:after="0" w:line="283" w:lineRule="auto"/>
        <w:tabs>
          <w:tab w:leader="none" w:pos="2454"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have delivered to the Trustee an Officers’ Certificate and an Opinion of Counsel, each stating that such merger or consolidation and such agreements and/or supplemental indenture (if any) comply with this Indenture; or</w:t>
      </w:r>
    </w:p>
    <w:p>
      <w:pPr>
        <w:spacing w:after="0" w:line="14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transaction is not in violation of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the transfer (by lease, assignment, sale or otherwise, in a single transaction or series of transactions) of all or substantially all of the properties or assets of one or more Restricted Subsidiaries of the Issuer, the Equity Interests of which constitute all or substantially all of the properties and assets of the Issuer and its Restricted Subsidiaries (taken as a whole), shall be deemed to be the transfer of all or substantially all of the properties and assets of the Issuer.</w:t>
      </w:r>
    </w:p>
    <w:p>
      <w:pPr>
        <w:spacing w:after="0" w:line="172" w:lineRule="exact"/>
        <w:rPr>
          <w:sz w:val="20"/>
          <w:szCs w:val="20"/>
          <w:color w:val="auto"/>
        </w:rPr>
      </w:pPr>
    </w:p>
    <w:p>
      <w:pPr>
        <w:jc w:val="both"/>
        <w:ind w:firstLine="656"/>
        <w:spacing w:after="0" w:line="252" w:lineRule="auto"/>
        <w:tabs>
          <w:tab w:leader="none" w:pos="113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any consolidation or merger of the Issuer or a Guarantor, or any transfer of all or substantially all of the assets of the Issuer or a Guarantor in accordance with the foregoing, in which the Issuer or such Guarantor is not the continuing obligor under the Notes or its Guarantee, as applicable, the surviving entity formed by such consolidation or merger or into which the Issuer or such Guarantor is merged or the Person to which the sale, conveyance, lease, transfer, disposition or assignment is made will succeed to, and be substituted for, and may exercise every right and power of, the Issuer or such Guarantor under this Indenture, the Notes and the Guarantees with the same effect as if such surviving entity had been named therein as the Issuer or such Guarantor and, except in the case of a lease, the Issuer or such Guarantor, as the case may be, will be released from the obligation to pay the principal of and interest on the Notes or in respect of its Guarantee, as the case may be, and all of the Issuer’s or such Guarantor’s other obligations and covenants under the Notes, this Indenture and its Guarantee, if applicable.</w:t>
      </w:r>
    </w:p>
    <w:p>
      <w:pPr>
        <w:spacing w:after="0" w:line="175" w:lineRule="exact"/>
        <w:rPr>
          <w:rFonts w:ascii="Times New Roman" w:cs="Times New Roman" w:eastAsia="Times New Roman" w:hAnsi="Times New Roman"/>
          <w:sz w:val="20"/>
          <w:szCs w:val="20"/>
          <w:color w:val="auto"/>
        </w:rPr>
      </w:pPr>
    </w:p>
    <w:p>
      <w:pPr>
        <w:jc w:val="both"/>
        <w:ind w:firstLine="656"/>
        <w:spacing w:after="0" w:line="253" w:lineRule="auto"/>
        <w:tabs>
          <w:tab w:leader="none" w:pos="117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provisions of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(i) any Restricted Subsidiary may consolidate or merge with or into or convey, transfer, sell, dispose, assign or lease, in one transaction or a series of transactions, all or substantially all of its assets to the Issuer or another Restricted Subsidiary and (ii) the Issuer or any Guarantor may (I) consolidate or merge with or into or convey, transfer or lease, in one transaction or a series of transactions, all or part of its properties and assets to the Issuer or another Guarantor or (II) merge with a Restricted Subsidiary of the Issuer solely with respect to this clause (II) for the purpose of reincorporating the Issuer or Guarantor in any Permitted Jurisdiction.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DEFAULTS AND REMEDIES</w:t>
      </w:r>
    </w:p>
    <w:p>
      <w:pPr>
        <w:spacing w:after="0" w:line="19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6.1.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Each of the following is an “</w:t>
      </w:r>
      <w:r>
        <w:rPr>
          <w:rFonts w:ascii="Times New Roman" w:cs="Times New Roman" w:eastAsia="Times New Roman" w:hAnsi="Times New Roman"/>
          <w:sz w:val="19"/>
          <w:szCs w:val="19"/>
          <w:i w:val="1"/>
          <w:iCs w:val="1"/>
          <w:color w:val="auto"/>
        </w:rPr>
        <w:t>Event of Default</w:t>
      </w:r>
      <w:r>
        <w:rPr>
          <w:rFonts w:ascii="Times New Roman" w:cs="Times New Roman" w:eastAsia="Times New Roman" w:hAnsi="Times New Roman"/>
          <w:sz w:val="19"/>
          <w:szCs w:val="19"/>
          <w:color w:val="auto"/>
        </w:rPr>
        <w:t>”:</w:t>
      </w:r>
    </w:p>
    <w:p>
      <w:pPr>
        <w:spacing w:after="0" w:line="32" w:lineRule="exact"/>
        <w:rPr>
          <w:sz w:val="20"/>
          <w:szCs w:val="20"/>
          <w:color w:val="auto"/>
        </w:rPr>
      </w:pPr>
    </w:p>
    <w:p>
      <w:pPr>
        <w:ind w:left="660" w:firstLine="644"/>
        <w:spacing w:after="0" w:line="253" w:lineRule="auto"/>
        <w:tabs>
          <w:tab w:leader="none" w:pos="178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pay interest (or Additional Amounts) on any of the Notes when the same becomes due and payable and the continuance of any such failure for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13" w:right="339" w:bottom="1440" w:gutter="0" w:footer="0" w:header="0"/>
        </w:sectPr>
      </w:pPr>
    </w:p>
    <w:bookmarkStart w:id="84" w:name="page85"/>
    <w:bookmarkEnd w:id="84"/>
    <w:p>
      <w:pPr>
        <w:ind w:left="660" w:firstLine="644"/>
        <w:spacing w:after="0" w:line="283" w:lineRule="auto"/>
        <w:tabs>
          <w:tab w:leader="none" w:pos="1827"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pay principal of, Additional Amounts or premium, if any, on any of the Notes when it becomes due and payable, whether at Stated Maturity, upon redemption, required purchase, acceleration or otherwise;</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89"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by the Issuer or any of its Restricted Subsidiaries to comply with any of their respective agreements or covenants described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 failure by the Issuer to comply in respect of its obligations to make a Change of Control Offer pursuant to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or a Net Proceeds Offer pursuant to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15"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except with respect to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or as described in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failure by the Issuer or any Restricted Subsidiary to comply with any other covenant or agreement contained in this Indenture and continuance of this failure for 60 days after notice of the failure has been given to the Issuer by the Trustee or to the Issuer and the Trustee by the Holders of at least 25.0% of the aggregate principal amount of the Notes then outstanding or (b) failure by the Issuer for 120 days after notice of the failure has been given to the Issuer by the Trustee or to the Issuer and the Trustee by the Holders of at least 25.0% of the aggregate principal amount of the Notes then outstanding to comply with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2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by the Issuer or any Restricted Subsidiary under any mortgage, indenture or other instrument or agreement under which there is issued or by which there is secured or evidenced Indebtedness for borrowed money by the Issuer or any Restricted Subsidiary, whether such Indebtedness now exists or is incurred after the Issue Date, which default:</w:t>
      </w:r>
    </w:p>
    <w:p>
      <w:pPr>
        <w:spacing w:after="0" w:line="167" w:lineRule="exact"/>
        <w:rPr>
          <w:rFonts w:ascii="Times New Roman" w:cs="Times New Roman" w:eastAsia="Times New Roman" w:hAnsi="Times New Roman"/>
          <w:sz w:val="20"/>
          <w:szCs w:val="20"/>
          <w:color w:val="auto"/>
        </w:rPr>
      </w:pPr>
    </w:p>
    <w:p>
      <w:pPr>
        <w:ind w:left="660" w:firstLine="1292"/>
        <w:spacing w:after="0" w:line="283" w:lineRule="auto"/>
        <w:tabs>
          <w:tab w:leader="none" w:pos="2436"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caused by a failure to pay at its Stated Maturity principal on such Indebtedness within the applicable express grace period and any extensions thereof, or</w:t>
      </w:r>
    </w:p>
    <w:p>
      <w:pPr>
        <w:spacing w:after="0" w:line="159"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in the acceleration of such Indebtedness prior to its Stated Maturity,</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and, in each case, the principal amount of such Indebtedness, together with the principal amount of any other Indebtedness with respect to which an event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has occurred and is continuing, aggregates $100.0 million or more, and in any such case, such Indebtedness is not repaid or such failure to pay is not cured or such acceleration is not rescinded, annulled or otherwise cured within 30 days;</w:t>
      </w:r>
    </w:p>
    <w:p>
      <w:pPr>
        <w:spacing w:after="0" w:line="172" w:lineRule="exact"/>
        <w:rPr>
          <w:sz w:val="20"/>
          <w:szCs w:val="20"/>
          <w:color w:val="auto"/>
        </w:rPr>
      </w:pPr>
    </w:p>
    <w:p>
      <w:pPr>
        <w:jc w:val="both"/>
        <w:ind w:left="660" w:firstLine="644"/>
        <w:spacing w:after="0" w:line="268" w:lineRule="auto"/>
        <w:tabs>
          <w:tab w:leader="none" w:pos="1782"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judgments (to the extent not covered by insurance) for the payment of money in an aggregate amount in excess of $100.0 million shall be rendered against the Issuer or any of its Significant Subsidiaries and the same shall remain undischarged for a period of 60 consecutive days during which execution shall not be effectively stayed;</w:t>
      </w:r>
    </w:p>
    <w:p>
      <w:pPr>
        <w:spacing w:after="0" w:line="161" w:lineRule="exact"/>
        <w:rPr>
          <w:rFonts w:ascii="Times New Roman" w:cs="Times New Roman" w:eastAsia="Times New Roman" w:hAnsi="Times New Roman"/>
          <w:sz w:val="20"/>
          <w:szCs w:val="20"/>
          <w:color w:val="auto"/>
        </w:rPr>
      </w:pPr>
    </w:p>
    <w:p>
      <w:pPr>
        <w:ind w:left="660" w:firstLine="644"/>
        <w:spacing w:after="0" w:line="283" w:lineRule="auto"/>
        <w:tabs>
          <w:tab w:leader="none" w:pos="1852"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or any Significant Subsidiary of the Issuer or group of Restricted Subsidiaries of the Issuer that, taken together, would constitute a Significant Subsidiary, pursuant to or within the meaning of any Bankruptcy Law:</w:t>
      </w:r>
    </w:p>
    <w:p>
      <w:pPr>
        <w:spacing w:after="0" w:line="146"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commences a voluntary case,</w:t>
      </w:r>
    </w:p>
    <w:p>
      <w:pPr>
        <w:spacing w:after="0" w:line="229"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to the entry of an order for relief against it in an involuntary case,</w:t>
      </w:r>
    </w:p>
    <w:p>
      <w:pPr>
        <w:spacing w:after="0" w:line="229"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to the appointment of a custodian of it or for all or substantially all of its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13" w:right="339" w:bottom="1440" w:gutter="0" w:footer="0" w:header="0"/>
        </w:sectPr>
      </w:pPr>
    </w:p>
    <w:bookmarkStart w:id="85" w:name="page86"/>
    <w:bookmarkEnd w:id="85"/>
    <w:p>
      <w:pPr>
        <w:ind w:left="2420" w:hanging="468"/>
        <w:spacing w:after="0"/>
        <w:tabs>
          <w:tab w:leader="none" w:pos="242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makes a general assignment for the benefit of its creditors, or</w:t>
      </w:r>
    </w:p>
    <w:p>
      <w:pPr>
        <w:spacing w:after="0" w:line="229"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admits in writing that it generally is not paying its debts as they become due; or</w:t>
      </w:r>
    </w:p>
    <w:p>
      <w:pPr>
        <w:spacing w:after="0" w:line="215"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court of competent jurisdiction enters an order or decree under any Bankruptcy Law that:</w:t>
      </w:r>
    </w:p>
    <w:p>
      <w:pPr>
        <w:spacing w:after="0" w:line="229" w:lineRule="exact"/>
        <w:rPr>
          <w:rFonts w:ascii="Times New Roman" w:cs="Times New Roman" w:eastAsia="Times New Roman" w:hAnsi="Times New Roman"/>
          <w:sz w:val="20"/>
          <w:szCs w:val="20"/>
          <w:color w:val="auto"/>
        </w:rPr>
      </w:pPr>
    </w:p>
    <w:p>
      <w:pPr>
        <w:ind w:left="1300" w:firstLine="1300"/>
        <w:spacing w:after="0" w:line="269" w:lineRule="auto"/>
        <w:tabs>
          <w:tab w:leader="none" w:pos="3135"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for relief against the Issuer or any Significant Subsidiary of the Issuer or group of Restricted Subsidiaries of the Issuer that, taken together, would constitute a Significant Subsidiary, in an involuntary case;</w:t>
      </w:r>
    </w:p>
    <w:p>
      <w:pPr>
        <w:spacing w:after="0" w:line="172" w:lineRule="exact"/>
        <w:rPr>
          <w:rFonts w:ascii="Times New Roman" w:cs="Times New Roman" w:eastAsia="Times New Roman" w:hAnsi="Times New Roman"/>
          <w:sz w:val="20"/>
          <w:szCs w:val="20"/>
          <w:color w:val="auto"/>
        </w:rPr>
      </w:pPr>
    </w:p>
    <w:p>
      <w:pPr>
        <w:ind w:left="1300" w:right="20" w:firstLine="1300"/>
        <w:spacing w:after="0" w:line="283" w:lineRule="auto"/>
        <w:tabs>
          <w:tab w:leader="none" w:pos="3108"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appoints a custodian of the Issuer or any Significant Subsidiary of the Issuer or group of Restricted Subsidiaries of the Issuer that, taken together, would constitute a Significant Subsidiary; or</w:t>
      </w:r>
    </w:p>
    <w:p>
      <w:pPr>
        <w:spacing w:after="0" w:line="146" w:lineRule="exact"/>
        <w:rPr>
          <w:rFonts w:ascii="Times New Roman" w:cs="Times New Roman" w:eastAsia="Times New Roman" w:hAnsi="Times New Roman"/>
          <w:sz w:val="20"/>
          <w:szCs w:val="20"/>
          <w:color w:val="auto"/>
        </w:rPr>
      </w:pPr>
    </w:p>
    <w:p>
      <w:pPr>
        <w:ind w:left="1300" w:firstLine="1300"/>
        <w:spacing w:after="0" w:line="283" w:lineRule="auto"/>
        <w:tabs>
          <w:tab w:leader="none" w:pos="3139"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orders the liquidation of the Issuer or any Significant Subsidiary of the Issuer or group of Restricted Subsidiaries of the Issuer that, taken together, would constitute a Significant Subsidiary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 in each case, the order or decree remains unstayed and in effect for 60 consecutive days; or</w:t>
      </w:r>
    </w:p>
    <w:p>
      <w:pPr>
        <w:spacing w:after="0" w:line="229" w:lineRule="exact"/>
        <w:rPr>
          <w:sz w:val="20"/>
          <w:szCs w:val="20"/>
          <w:color w:val="auto"/>
        </w:rPr>
      </w:pPr>
    </w:p>
    <w:p>
      <w:pPr>
        <w:jc w:val="both"/>
        <w:ind w:left="660" w:firstLine="644"/>
        <w:spacing w:after="0" w:line="258" w:lineRule="auto"/>
        <w:tabs>
          <w:tab w:leader="none" w:pos="17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Guarantee ceases to be in full force and effect (other than in accordance with the terms of such Guarantee and this Indenture) or is declared null and void and unenforceable or found to be invalid or any Guarantor denies its liability under the Guarantee of such Guarantor (other than by reason of release of such Guarantor from its Guarantee in accordance with the terms of this Indenture).</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6.2. </w:t>
      </w:r>
      <w:r>
        <w:rPr>
          <w:rFonts w:ascii="Times New Roman" w:cs="Times New Roman" w:eastAsia="Times New Roman" w:hAnsi="Times New Roman"/>
          <w:sz w:val="20"/>
          <w:szCs w:val="20"/>
          <w:u w:val="single" w:color="auto"/>
          <w:color w:val="auto"/>
        </w:rPr>
        <w:t>Acceleration</w:t>
      </w:r>
      <w:r>
        <w:rPr>
          <w:rFonts w:ascii="Times New Roman" w:cs="Times New Roman" w:eastAsia="Times New Roman" w:hAnsi="Times New Roman"/>
          <w:sz w:val="20"/>
          <w:szCs w:val="20"/>
          <w:color w:val="auto"/>
        </w:rPr>
        <w:t xml:space="preserve">. If an Event of Default (other than an Event of Default specified in </w:t>
      </w:r>
      <w:r>
        <w:rPr>
          <w:rFonts w:ascii="Times New Roman" w:cs="Times New Roman" w:eastAsia="Times New Roman" w:hAnsi="Times New Roman"/>
          <w:sz w:val="20"/>
          <w:szCs w:val="20"/>
          <w:u w:val="single" w:color="auto"/>
          <w:color w:val="auto"/>
        </w:rPr>
        <w:t>Section 6.1(7)</w:t>
      </w:r>
      <w:r>
        <w:rPr>
          <w:rFonts w:ascii="Times New Roman" w:cs="Times New Roman" w:eastAsia="Times New Roman" w:hAnsi="Times New Roman"/>
          <w:sz w:val="20"/>
          <w:szCs w:val="20"/>
          <w:color w:val="auto"/>
        </w:rPr>
        <w:t xml:space="preserve"> with respect to the Issuer) shall have occurred and be continuing under this Indenture, the Trustee, by written notice to the Issuer, or the Holders of at least 25.0% in aggregate principal amount of the Notes then outstanding by written notice to the Issuer and the Trustee, may declare (an “</w:t>
      </w:r>
      <w:r>
        <w:rPr>
          <w:rFonts w:ascii="Times New Roman" w:cs="Times New Roman" w:eastAsia="Times New Roman" w:hAnsi="Times New Roman"/>
          <w:sz w:val="20"/>
          <w:szCs w:val="20"/>
          <w:i w:val="1"/>
          <w:iCs w:val="1"/>
          <w:color w:val="auto"/>
        </w:rPr>
        <w:t>acceleration declaration</w:t>
      </w:r>
      <w:r>
        <w:rPr>
          <w:rFonts w:ascii="Times New Roman" w:cs="Times New Roman" w:eastAsia="Times New Roman" w:hAnsi="Times New Roman"/>
          <w:sz w:val="20"/>
          <w:szCs w:val="20"/>
          <w:color w:val="auto"/>
        </w:rPr>
        <w:t xml:space="preserve">”) all amounts owing under the Notes to be due and payable. Upon such acceleration declaration, the aggregate principal of and accrued and unpaid interest on the outstanding Notes shall become due and payable immediately;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after such acceleration, but before a judgment or decree based on acceleration, the Holders of a majority in aggregate principal amount of the Notes then outstanding may rescind and annul such acceleration if:</w:t>
      </w:r>
    </w:p>
    <w:p>
      <w:pPr>
        <w:spacing w:after="0" w:line="6" w:lineRule="exact"/>
        <w:rPr>
          <w:sz w:val="20"/>
          <w:szCs w:val="20"/>
          <w:color w:val="auto"/>
        </w:rPr>
      </w:pPr>
    </w:p>
    <w:p>
      <w:pPr>
        <w:ind w:left="1740" w:hanging="436"/>
        <w:spacing w:after="0"/>
        <w:tabs>
          <w:tab w:leader="none" w:pos="174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rescission would not conflict with any judgment or decree;</w:t>
      </w:r>
    </w:p>
    <w:p>
      <w:pPr>
        <w:spacing w:after="0" w:line="20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Events of Default have been cured or waived other than nonpayment of accelerated principal and interest;</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77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payment of such interest is lawful, interest on overdue installments of interest and overdue principal, which has become due otherwise than by such declaration of acceleration, has been paid; and</w:t>
      </w:r>
    </w:p>
    <w:p>
      <w:pPr>
        <w:spacing w:after="0" w:line="172" w:lineRule="exact"/>
        <w:rPr>
          <w:rFonts w:ascii="Times New Roman" w:cs="Times New Roman" w:eastAsia="Times New Roman" w:hAnsi="Times New Roman"/>
          <w:sz w:val="20"/>
          <w:szCs w:val="20"/>
          <w:color w:val="auto"/>
        </w:rPr>
      </w:pPr>
    </w:p>
    <w:p>
      <w:pPr>
        <w:ind w:left="660" w:firstLine="644"/>
        <w:spacing w:after="0" w:line="269" w:lineRule="auto"/>
        <w:tabs>
          <w:tab w:leader="none" w:pos="181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has paid the Trustee its reasonable compensation and reimbursed the Trustee for its reasonable expenses, disbursements and advances.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 such rescission shall affect any subsequent Default or impair any right consequent thereto.</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If an Event of Default specified in </w:t>
      </w:r>
      <w:r>
        <w:rPr>
          <w:rFonts w:ascii="Times New Roman" w:cs="Times New Roman" w:eastAsia="Times New Roman" w:hAnsi="Times New Roman"/>
          <w:sz w:val="20"/>
          <w:szCs w:val="20"/>
          <w:u w:val="single" w:color="auto"/>
          <w:color w:val="auto"/>
        </w:rPr>
        <w:t>Section 6.1(7)</w:t>
      </w:r>
      <w:r>
        <w:rPr>
          <w:rFonts w:ascii="Times New Roman" w:cs="Times New Roman" w:eastAsia="Times New Roman" w:hAnsi="Times New Roman"/>
          <w:sz w:val="20"/>
          <w:szCs w:val="20"/>
          <w:color w:val="auto"/>
        </w:rPr>
        <w:t xml:space="preserve"> occurs with respect to the Issuer, then all unpaid principal of and accrued and unpaid interest, if any, on all outstanding Notes shall ipso facto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1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color w:val="auto"/>
        </w:rPr>
        <w:t>become and be immediately due and payable without any declaration, further action or notice to the extent permitted by applicable law.</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6.3. </w:t>
      </w:r>
      <w:r>
        <w:rPr>
          <w:rFonts w:ascii="Times New Roman" w:cs="Times New Roman" w:eastAsia="Times New Roman" w:hAnsi="Times New Roman"/>
          <w:sz w:val="20"/>
          <w:szCs w:val="20"/>
          <w:u w:val="single" w:color="auto"/>
          <w:color w:val="auto"/>
        </w:rPr>
        <w:t>Other Remedies</w:t>
      </w:r>
      <w:r>
        <w:rPr>
          <w:rFonts w:ascii="Times New Roman" w:cs="Times New Roman" w:eastAsia="Times New Roman" w:hAnsi="Times New Roman"/>
          <w:sz w:val="20"/>
          <w:szCs w:val="20"/>
          <w:color w:val="auto"/>
        </w:rPr>
        <w:t>. If an Event of Default occurs and is continuing, the Trustee may pursue any available remedy to collect the payments on the Notes or to enforce the performance of any provision of the Notes or this Indenture.</w:t>
      </w:r>
    </w:p>
    <w:p>
      <w:pPr>
        <w:spacing w:after="0" w:line="1" w:lineRule="exact"/>
        <w:rPr>
          <w:sz w:val="20"/>
          <w:szCs w:val="20"/>
          <w:color w:val="auto"/>
        </w:rPr>
      </w:pPr>
    </w:p>
    <w:p>
      <w:pPr>
        <w:ind w:right="140" w:firstLine="1296"/>
        <w:spacing w:after="0" w:line="253" w:lineRule="auto"/>
        <w:rPr>
          <w:sz w:val="20"/>
          <w:szCs w:val="20"/>
          <w:color w:val="auto"/>
        </w:rPr>
      </w:pPr>
      <w:r>
        <w:rPr>
          <w:rFonts w:ascii="Times New Roman" w:cs="Times New Roman" w:eastAsia="Times New Roman" w:hAnsi="Times New Roman"/>
          <w:sz w:val="20"/>
          <w:szCs w:val="20"/>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6.4. </w:t>
      </w:r>
      <w:r>
        <w:rPr>
          <w:rFonts w:ascii="Times New Roman" w:cs="Times New Roman" w:eastAsia="Times New Roman" w:hAnsi="Times New Roman"/>
          <w:sz w:val="20"/>
          <w:szCs w:val="20"/>
          <w:u w:val="single" w:color="auto"/>
          <w:color w:val="auto"/>
        </w:rPr>
        <w:t>Waiver of Past Defaults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the Holders of a majority in aggregate principal amount of the Notes then outstanding by written notice to the Trustee may, on behalf of the Holders of all of the Notes, waive any existing Default and its consequences under this Indenture except a continuing Default in the payment of interest or premium, or the principal of, the Notes.</w:t>
      </w:r>
    </w:p>
    <w:p>
      <w:pPr>
        <w:spacing w:after="0" w:line="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Section 6.5. </w:t>
      </w:r>
      <w:r>
        <w:rPr>
          <w:rFonts w:ascii="Times New Roman" w:cs="Times New Roman" w:eastAsia="Times New Roman" w:hAnsi="Times New Roman"/>
          <w:sz w:val="20"/>
          <w:szCs w:val="20"/>
          <w:u w:val="single" w:color="auto"/>
          <w:color w:val="auto"/>
        </w:rPr>
        <w:t>Control by Majority</w:t>
      </w:r>
      <w:r>
        <w:rPr>
          <w:rFonts w:ascii="Times New Roman" w:cs="Times New Roman" w:eastAsia="Times New Roman" w:hAnsi="Times New Roman"/>
          <w:sz w:val="20"/>
          <w:szCs w:val="20"/>
          <w:color w:val="auto"/>
        </w:rPr>
        <w:t>. The Holders of a majority in aggregate principal amount of the then outstanding Notes may direct the time, method and place of conducting any proceeding for exercising any remedy available to the Trustee or exercising any trust power conferred on it. However, (i)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(it being understood that the Trustee does not have an affirmative duty to determine whether or not any such direction is unduly prejudicial to the rights of Holders of the Notes not joining in the giving of such direction) and (ii) the Trustee may take any other action it deems proper that is not inconsistent with any such direction received from the Holders. Prior to taking any action hereunder, the Trustee shall be entitled to indemnification reasonably satisfactory to it against all loss, liability and expense caused by taking or not taking such action.</w:t>
      </w:r>
    </w:p>
    <w:p>
      <w:pPr>
        <w:spacing w:after="0" w:line="1"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6.6.</w:t>
      </w:r>
      <w:r>
        <w:rPr>
          <w:sz w:val="20"/>
          <w:szCs w:val="20"/>
          <w:color w:val="auto"/>
        </w:rPr>
        <w:tab/>
      </w:r>
      <w:r>
        <w:rPr>
          <w:rFonts w:ascii="Times New Roman" w:cs="Times New Roman" w:eastAsia="Times New Roman" w:hAnsi="Times New Roman"/>
          <w:sz w:val="19"/>
          <w:szCs w:val="19"/>
          <w:u w:val="single" w:color="auto"/>
          <w:color w:val="auto"/>
        </w:rPr>
        <w:t>Limitation on Suits</w:t>
      </w:r>
      <w:r>
        <w:rPr>
          <w:rFonts w:ascii="Times New Roman" w:cs="Times New Roman" w:eastAsia="Times New Roman" w:hAnsi="Times New Roman"/>
          <w:sz w:val="19"/>
          <w:szCs w:val="19"/>
          <w:color w:val="auto"/>
        </w:rPr>
        <w:t>. A Holder may pursue a remedy with respect to this Indenture or the Notes only if:</w:t>
      </w:r>
    </w:p>
    <w:p>
      <w:pPr>
        <w:spacing w:after="0" w:line="6" w:lineRule="exact"/>
        <w:rPr>
          <w:sz w:val="20"/>
          <w:szCs w:val="20"/>
          <w:color w:val="auto"/>
        </w:rPr>
      </w:pPr>
    </w:p>
    <w:p>
      <w:pPr>
        <w:ind w:left="1740" w:hanging="436"/>
        <w:spacing w:after="0"/>
        <w:tabs>
          <w:tab w:leader="none" w:pos="174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gives the Trustee written notice of a continuing Event of Default;</w:t>
      </w:r>
    </w:p>
    <w:p>
      <w:pPr>
        <w:spacing w:after="0" w:line="200" w:lineRule="exact"/>
        <w:rPr>
          <w:rFonts w:ascii="Times New Roman" w:cs="Times New Roman" w:eastAsia="Times New Roman" w:hAnsi="Times New Roman"/>
          <w:sz w:val="20"/>
          <w:szCs w:val="20"/>
          <w:color w:val="auto"/>
        </w:rPr>
      </w:pPr>
    </w:p>
    <w:p>
      <w:pPr>
        <w:ind w:left="660" w:firstLine="644"/>
        <w:spacing w:after="0" w:line="283" w:lineRule="auto"/>
        <w:tabs>
          <w:tab w:leader="none" w:pos="177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or Holders of at least 25.0% in aggregate principal amount of outstanding Notes make a written request to the Trustee to pursue the remedy;</w:t>
      </w:r>
    </w:p>
    <w:p>
      <w:pPr>
        <w:spacing w:after="0" w:line="15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Holder or Holders offer the Trustee indemnity satisfactory to the Trustee against any costs, liability or expense;</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does not comply with the request within 60 days after receipt of the request and the offer of indemnity; and</w:t>
      </w:r>
    </w:p>
    <w:p>
      <w:pPr>
        <w:spacing w:after="0" w:line="240" w:lineRule="exact"/>
        <w:rPr>
          <w:rFonts w:ascii="Times New Roman" w:cs="Times New Roman" w:eastAsia="Times New Roman" w:hAnsi="Times New Roman"/>
          <w:sz w:val="19"/>
          <w:szCs w:val="19"/>
          <w:color w:val="auto"/>
        </w:rPr>
      </w:pPr>
    </w:p>
    <w:p>
      <w:pPr>
        <w:ind w:left="660" w:firstLine="644"/>
        <w:spacing w:after="0" w:line="269" w:lineRule="auto"/>
        <w:tabs>
          <w:tab w:leader="none" w:pos="1805"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such 60-day period, the Holders of a majority in aggregate principal amount of the outstanding Notes do not give the Trustee a direction that is inconsistent with the request.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 Holder may not use this Indenture to prejudice the rights of another Holder or to obtain a preference or priority over another Holder (it being understood that the Trustee does not have an affirmative duty to ascertain whether or not any such use by a Holder prejudices the rights of any other Holders or obtains priority or preference over such other Holders).</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6.7. </w:t>
      </w:r>
      <w:r>
        <w:rPr>
          <w:rFonts w:ascii="Times New Roman" w:cs="Times New Roman" w:eastAsia="Times New Roman" w:hAnsi="Times New Roman"/>
          <w:sz w:val="20"/>
          <w:szCs w:val="20"/>
          <w:u w:val="single" w:color="auto"/>
          <w:color w:val="auto"/>
        </w:rPr>
        <w:t>Rights of Holders of Notes to Receive Payment</w:t>
      </w:r>
      <w:r>
        <w:rPr>
          <w:rFonts w:ascii="Times New Roman" w:cs="Times New Roman" w:eastAsia="Times New Roman" w:hAnsi="Times New Roman"/>
          <w:sz w:val="20"/>
          <w:szCs w:val="20"/>
          <w:color w:val="auto"/>
        </w:rPr>
        <w:t>. Notwithstanding any other provision of this Indenture, the contractual right of any Holder to receive payment of principal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13" w:right="339" w:bottom="1440" w:gutter="0" w:footer="0" w:header="0"/>
        </w:sectPr>
      </w:pPr>
    </w:p>
    <w:bookmarkStart w:id="87" w:name="page88"/>
    <w:bookmarkEnd w:id="87"/>
    <w:p>
      <w:pPr>
        <w:jc w:val="both"/>
        <w:spacing w:after="0" w:line="258" w:lineRule="auto"/>
        <w:rPr>
          <w:sz w:val="20"/>
          <w:szCs w:val="20"/>
          <w:color w:val="auto"/>
        </w:rPr>
      </w:pPr>
      <w:r>
        <w:rPr>
          <w:rFonts w:ascii="Times New Roman" w:cs="Times New Roman" w:eastAsia="Times New Roman" w:hAnsi="Times New Roman"/>
          <w:sz w:val="20"/>
          <w:szCs w:val="20"/>
          <w:color w:val="auto"/>
        </w:rPr>
        <w:t>premium, if any, or interest on, such Note or to bring suit for the enforcement of any such payment, on or after the due date expressed in the Notes, shall not be modified without the consent of the Holder.</w:t>
      </w: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6.8. </w:t>
      </w:r>
      <w:r>
        <w:rPr>
          <w:rFonts w:ascii="Times New Roman" w:cs="Times New Roman" w:eastAsia="Times New Roman" w:hAnsi="Times New Roman"/>
          <w:sz w:val="20"/>
          <w:szCs w:val="20"/>
          <w:u w:val="single" w:color="auto"/>
          <w:color w:val="auto"/>
        </w:rPr>
        <w:t>Collection Suit by Trustee</w:t>
      </w:r>
      <w:r>
        <w:rPr>
          <w:rFonts w:ascii="Times New Roman" w:cs="Times New Roman" w:eastAsia="Times New Roman" w:hAnsi="Times New Roman"/>
          <w:sz w:val="20"/>
          <w:szCs w:val="20"/>
          <w:color w:val="auto"/>
        </w:rPr>
        <w:t xml:space="preserve">. If an Event of Default specified in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occurs and is continuing, the Trustee is authorized to recover judgment in its own name and as trustee of an express trust against the Issuer for the whole amount of principal of, premium and interest remaining unpaid on the Notes and interest on overdue principal and, to the extent lawful, such further amount as shall be sufficient to cover the costs and expenses of collection, including the reasonable compensation, expenses, disbursements and advances of the Trustee, its agents and counsel.</w:t>
      </w:r>
    </w:p>
    <w:p>
      <w:pPr>
        <w:spacing w:after="0" w:line="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6.9. </w:t>
      </w:r>
      <w:r>
        <w:rPr>
          <w:rFonts w:ascii="Times New Roman" w:cs="Times New Roman" w:eastAsia="Times New Roman" w:hAnsi="Times New Roman"/>
          <w:sz w:val="20"/>
          <w:szCs w:val="20"/>
          <w:u w:val="single" w:color="auto"/>
          <w:color w:val="auto"/>
        </w:rPr>
        <w:t>Trustee May File Proofs of Claim</w:t>
      </w:r>
      <w:r>
        <w:rPr>
          <w:rFonts w:ascii="Times New Roman" w:cs="Times New Roman" w:eastAsia="Times New Roman" w:hAnsi="Times New Roman"/>
          <w:sz w:val="20"/>
          <w:szCs w:val="20"/>
          <w:color w:val="auto"/>
        </w:rPr>
        <w:t xml:space="preserve">. 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Issuer (or any other obligor upon the Notes), its creditors or its property and shall be entitled and empowered to collect, receive and distribute any money or other securities or property payable or deliverable upon the conversion or exchange of the Notes or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To the extent that the payment of any such compensation, expenses, disbursements and advances to the Trustee, its agents and counsel, and any other amounts due the Trustee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in this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xml:space="preserve">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6.10. </w:t>
      </w:r>
      <w:r>
        <w:rPr>
          <w:rFonts w:ascii="Times New Roman" w:cs="Times New Roman" w:eastAsia="Times New Roman" w:hAnsi="Times New Roman"/>
          <w:sz w:val="20"/>
          <w:szCs w:val="20"/>
          <w:u w:val="single" w:color="auto"/>
          <w:color w:val="auto"/>
        </w:rPr>
        <w:t>Priorities</w:t>
      </w:r>
      <w:r>
        <w:rPr>
          <w:rFonts w:ascii="Times New Roman" w:cs="Times New Roman" w:eastAsia="Times New Roman" w:hAnsi="Times New Roman"/>
          <w:sz w:val="20"/>
          <w:szCs w:val="20"/>
          <w:color w:val="auto"/>
        </w:rPr>
        <w:t xml:space="preserve">. If the Trustee collects any money or property pursuant to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it shall pay out the money and property in the following order:</w:t>
      </w: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the Trustee, its agents and attorneys for amounts due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including payment of all reasonable compensation,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expenses and liabilities incurred, and all advances made, by it and the costs and expenses of collection;</w:t>
      </w:r>
    </w:p>
    <w:p>
      <w:pPr>
        <w:spacing w:after="0" w:line="16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Holders for amounts due and unpaid on the Notes for principal, premium, if any, and interest ratably, without preference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priority of any kind, according to the amounts due and payable on the Notes for principal, premium, if any, and interest, respectively;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without duplication, to the Holders for any other Obligations owing to the Holders under this Indenture and the Notes; and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to the Issuer or to such party as a court of competent jurisdiction shall direct.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The Trustee may fix a record date and payment date for any payment to Holders pursuant to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6.11. </w:t>
      </w:r>
      <w:r>
        <w:rPr>
          <w:rFonts w:ascii="Times New Roman" w:cs="Times New Roman" w:eastAsia="Times New Roman" w:hAnsi="Times New Roman"/>
          <w:sz w:val="20"/>
          <w:szCs w:val="20"/>
          <w:u w:val="single" w:color="auto"/>
          <w:color w:val="auto"/>
        </w:rPr>
        <w:t>Undertaking for Costs</w:t>
      </w:r>
      <w:r>
        <w:rPr>
          <w:rFonts w:ascii="Times New Roman" w:cs="Times New Roman" w:eastAsia="Times New Roman" w:hAnsi="Times New Roman"/>
          <w:sz w:val="20"/>
          <w:szCs w:val="20"/>
          <w:color w:val="auto"/>
        </w:rPr>
        <w:t>. In any suit for the enforcement of any right or remedy under this Indenture or in any suit against the Trustee for any action taken or omitted by it as the Trustee, a court in its discretion may require the filing by any party litigant in the suit of an undertaking to pay the costs of the suit, and the court in its discretion may assess reasonable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13" w:right="339" w:bottom="1440" w:gutter="0" w:footer="0" w:header="0"/>
        </w:sectPr>
      </w:pPr>
    </w:p>
    <w:bookmarkStart w:id="88" w:name="page89"/>
    <w:bookmarkEnd w:id="88"/>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including reasonable attorneys’ fees and expenses, against any party litigant in the suit, having due regard to the merits and good faith of the claims or defenses made by the party litigant. This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does not apply to a suit by the Trustee, a suit by a Holder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6.7</w:t>
      </w:r>
      <w:r>
        <w:rPr>
          <w:rFonts w:ascii="Times New Roman" w:cs="Times New Roman" w:eastAsia="Times New Roman" w:hAnsi="Times New Roman"/>
          <w:sz w:val="20"/>
          <w:szCs w:val="20"/>
          <w:color w:val="auto"/>
        </w:rPr>
        <w:t>, or a suit by Holders of more than 10.0% in principal amount of the then outstanding Notes.</w:t>
      </w:r>
    </w:p>
    <w:p>
      <w:pPr>
        <w:spacing w:after="0" w:line="1"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6.12.</w:t>
      </w:r>
      <w:r>
        <w:rPr>
          <w:sz w:val="20"/>
          <w:szCs w:val="20"/>
          <w:color w:val="auto"/>
        </w:rPr>
        <w:tab/>
      </w:r>
      <w:r>
        <w:rPr>
          <w:rFonts w:ascii="Times New Roman" w:cs="Times New Roman" w:eastAsia="Times New Roman" w:hAnsi="Times New Roman"/>
          <w:sz w:val="19"/>
          <w:szCs w:val="19"/>
          <w:u w:val="single" w:color="auto"/>
          <w:color w:val="auto"/>
        </w:rPr>
        <w:t>Noteholder Direction</w:t>
      </w:r>
      <w:r>
        <w:rPr>
          <w:rFonts w:ascii="Arial" w:cs="Arial" w:eastAsia="Arial" w:hAnsi="Arial"/>
          <w:sz w:val="20"/>
          <w:szCs w:val="20"/>
          <w:color w:val="auto"/>
        </w:rPr>
        <w:t>.</w:t>
      </w:r>
    </w:p>
    <w:p>
      <w:pPr>
        <w:spacing w:after="0" w:line="226" w:lineRule="exact"/>
        <w:rPr>
          <w:sz w:val="20"/>
          <w:szCs w:val="20"/>
          <w:color w:val="auto"/>
        </w:rPr>
      </w:pPr>
    </w:p>
    <w:p>
      <w:pPr>
        <w:jc w:val="both"/>
        <w:ind w:firstLine="656"/>
        <w:spacing w:after="0" w:line="251" w:lineRule="auto"/>
        <w:tabs>
          <w:tab w:leader="none" w:pos="105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Default, notice of acceleration or instruction to the Trustee to provide a notice of Default, notice of acceleration or take any other action (a “</w:t>
      </w:r>
      <w:r>
        <w:rPr>
          <w:rFonts w:ascii="Times New Roman" w:cs="Times New Roman" w:eastAsia="Times New Roman" w:hAnsi="Times New Roman"/>
          <w:sz w:val="20"/>
          <w:szCs w:val="20"/>
          <w:i w:val="1"/>
          <w:iCs w:val="1"/>
          <w:color w:val="auto"/>
        </w:rPr>
        <w:t>Noteholder Direction</w:t>
      </w:r>
      <w:r>
        <w:rPr>
          <w:rFonts w:ascii="Times New Roman" w:cs="Times New Roman" w:eastAsia="Times New Roman" w:hAnsi="Times New Roman"/>
          <w:sz w:val="20"/>
          <w:szCs w:val="20"/>
          <w:color w:val="auto"/>
        </w:rPr>
        <w:t>”) provided by any one or more Holders of Notes (except any Holder that certifies in the Noteholder Direction that it is a Regulated Bank) (each a “</w:t>
      </w:r>
      <w:r>
        <w:rPr>
          <w:rFonts w:ascii="Times New Roman" w:cs="Times New Roman" w:eastAsia="Times New Roman" w:hAnsi="Times New Roman"/>
          <w:sz w:val="20"/>
          <w:szCs w:val="20"/>
          <w:i w:val="1"/>
          <w:iCs w:val="1"/>
          <w:color w:val="auto"/>
        </w:rPr>
        <w:t>Directing Holder</w:t>
      </w:r>
      <w:r>
        <w:rPr>
          <w:rFonts w:ascii="Times New Roman" w:cs="Times New Roman" w:eastAsia="Times New Roman" w:hAnsi="Times New Roman"/>
          <w:sz w:val="20"/>
          <w:szCs w:val="20"/>
          <w:color w:val="auto"/>
        </w:rPr>
        <w:t>”) must be accompanied by a written representation from each such Holder of Notes delivered to the Issuer and the Trustee that such Holder of Notes is not (or, in the case such Holder of Notes is DTC or its nominee, that such Holder of Notes is being instructed solely by beneficial owners that are not) Net Short (a “</w:t>
      </w:r>
      <w:r>
        <w:rPr>
          <w:rFonts w:ascii="Times New Roman" w:cs="Times New Roman" w:eastAsia="Times New Roman" w:hAnsi="Times New Roman"/>
          <w:sz w:val="20"/>
          <w:szCs w:val="20"/>
          <w:i w:val="1"/>
          <w:iCs w:val="1"/>
          <w:color w:val="auto"/>
        </w:rPr>
        <w:t>Position Representation</w:t>
      </w:r>
      <w:r>
        <w:rPr>
          <w:rFonts w:ascii="Times New Roman" w:cs="Times New Roman" w:eastAsia="Times New Roman" w:hAnsi="Times New Roman"/>
          <w:sz w:val="20"/>
          <w:szCs w:val="20"/>
          <w:color w:val="auto"/>
        </w:rPr>
        <w:t>”), which representation, in the case of a Noteholder Direction relating to the delivery of a notice of Default shall be deemed a continuing representation until the resulting Event of Default is cured or otherwise ceases to exist or the Notes are accelerated. In addition, each Directing Holder is deemed, at the time of providing a Noteholder Direction, to covenant to provide the Issuer with such other information as the Issuer may reasonably request from time to time in order to verify the accuracy of such Holder’s Position Representation within five Business Days of request therefor (a “</w:t>
      </w:r>
      <w:r>
        <w:rPr>
          <w:rFonts w:ascii="Times New Roman" w:cs="Times New Roman" w:eastAsia="Times New Roman" w:hAnsi="Times New Roman"/>
          <w:sz w:val="20"/>
          <w:szCs w:val="20"/>
          <w:i w:val="1"/>
          <w:iCs w:val="1"/>
          <w:color w:val="auto"/>
        </w:rPr>
        <w:t>Verification Covenant</w:t>
      </w:r>
      <w:r>
        <w:rPr>
          <w:rFonts w:ascii="Times New Roman" w:cs="Times New Roman" w:eastAsia="Times New Roman" w:hAnsi="Times New Roman"/>
          <w:sz w:val="20"/>
          <w:szCs w:val="20"/>
          <w:color w:val="auto"/>
        </w:rPr>
        <w:t>”). In any case in which the Holder of Notes is DTC or its nominee, any Position Representation or Verification Covenant required hereunder shall be provided by the beneficial owner of the Notes in lieu of DTC or its nominee, and DTC shall be entitled to rely conclusively on such Position Statement and Verification Covenant in delivering its direction to the Trustee.</w:t>
      </w:r>
    </w:p>
    <w:p>
      <w:pPr>
        <w:spacing w:after="0" w:line="180" w:lineRule="exact"/>
        <w:rPr>
          <w:rFonts w:ascii="Times New Roman" w:cs="Times New Roman" w:eastAsia="Times New Roman" w:hAnsi="Times New Roman"/>
          <w:sz w:val="20"/>
          <w:szCs w:val="20"/>
          <w:color w:val="auto"/>
        </w:rPr>
      </w:pPr>
    </w:p>
    <w:p>
      <w:pPr>
        <w:jc w:val="both"/>
        <w:ind w:firstLine="656"/>
        <w:spacing w:after="0" w:line="249" w:lineRule="auto"/>
        <w:tabs>
          <w:tab w:leader="none" w:pos="1113"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an Officers’ Certificate stating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 if, without the participation of such Holder, the percentage of Notes held by the remaining Holders that provided such Noteholder Direction would have been insufficient to validly provide such Noteholder Direction. If, following the delivery of a Noteholder Direction, but prior to acceleration of the Notes,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of Notes, the percentage of Notes held by the remaining Holders of Notes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such voiding of such Noteholder Direction shall not void or invalidate any indemnity or security provided by the Directing Holders to the Trustee, which such indemnification or security obligations shall continue to survive.</w:t>
      </w:r>
    </w:p>
    <w:p>
      <w:pPr>
        <w:spacing w:after="0" w:line="191" w:lineRule="exact"/>
        <w:rPr>
          <w:rFonts w:ascii="Times New Roman" w:cs="Times New Roman" w:eastAsia="Times New Roman" w:hAnsi="Times New Roman"/>
          <w:sz w:val="20"/>
          <w:szCs w:val="20"/>
          <w:color w:val="auto"/>
        </w:rPr>
      </w:pPr>
    </w:p>
    <w:p>
      <w:pPr>
        <w:ind w:firstLine="656"/>
        <w:spacing w:after="0" w:line="283" w:lineRule="auto"/>
        <w:tabs>
          <w:tab w:leader="none" w:pos="1127"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w:t>
      </w:r>
      <w:r>
        <w:rPr>
          <w:rFonts w:ascii="Times New Roman" w:cs="Times New Roman" w:eastAsia="Times New Roman" w:hAnsi="Times New Roman"/>
          <w:sz w:val="20"/>
          <w:szCs w:val="20"/>
          <w:u w:val="single" w:color="auto"/>
          <w:color w:val="auto"/>
        </w:rPr>
        <w:t>Section 6.12(a)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6.12(b)</w:t>
      </w:r>
      <w:r>
        <w:rPr>
          <w:rFonts w:ascii="Times New Roman" w:cs="Times New Roman" w:eastAsia="Times New Roman" w:hAnsi="Times New Roman"/>
          <w:sz w:val="20"/>
          <w:szCs w:val="20"/>
          <w:color w:val="auto"/>
        </w:rPr>
        <w:t xml:space="preserve"> to the contrary, (i) any Noteholder Direction delivered to the Trustee during the pendency of an Event of Default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13" w:right="339" w:bottom="1440" w:gutter="0" w:footer="0" w:header="0"/>
        </w:sectPr>
      </w:pPr>
    </w:p>
    <w:bookmarkStart w:id="89" w:name="page90"/>
    <w:bookmarkEnd w:id="89"/>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result of a bankruptcy or similar proceeding shall not require compliance with </w:t>
      </w:r>
      <w:r>
        <w:rPr>
          <w:rFonts w:ascii="Times New Roman" w:cs="Times New Roman" w:eastAsia="Times New Roman" w:hAnsi="Times New Roman"/>
          <w:sz w:val="20"/>
          <w:szCs w:val="20"/>
          <w:u w:val="single" w:color="auto"/>
          <w:color w:val="auto"/>
        </w:rPr>
        <w:t>Section 6.12(a)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6.12(b)</w:t>
      </w:r>
      <w:r>
        <w:rPr>
          <w:rFonts w:ascii="Times New Roman" w:cs="Times New Roman" w:eastAsia="Times New Roman" w:hAnsi="Times New Roman"/>
          <w:sz w:val="20"/>
          <w:szCs w:val="20"/>
          <w:color w:val="auto"/>
        </w:rPr>
        <w:t xml:space="preserve"> and (ii) a notice of Default may not be given with respect to any action taken, and reported publicly to Holders, more than two years prior to such notice of Default. In addition, for the avoidance of doubt, </w:t>
      </w:r>
      <w:r>
        <w:rPr>
          <w:rFonts w:ascii="Times New Roman" w:cs="Times New Roman" w:eastAsia="Times New Roman" w:hAnsi="Times New Roman"/>
          <w:sz w:val="20"/>
          <w:szCs w:val="20"/>
          <w:u w:val="single" w:color="auto"/>
          <w:color w:val="auto"/>
        </w:rPr>
        <w:t>Section 6.12(a)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6.12(b)</w:t>
      </w:r>
      <w:r>
        <w:rPr>
          <w:rFonts w:ascii="Times New Roman" w:cs="Times New Roman" w:eastAsia="Times New Roman" w:hAnsi="Times New Roman"/>
          <w:sz w:val="20"/>
          <w:szCs w:val="20"/>
          <w:color w:val="auto"/>
        </w:rPr>
        <w:t xml:space="preserve"> shall not apply to any Holder of Notes that is a Regulated Bank and has so stated in the applicable Noteholder Direction. For the avoidance of doubt, (i)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(ii) shall have no obligation to monitor or to determine whether a Directing Holder is Net Short and (iii) can conclusively rely on a Directing Holder’s Position Representation, any Officers’ Certificate delivered by the Issuer to the Trustee and the determinations made by a court of competent jurisdiction. The Trustee shall have no liability to the Issuer, any Holder of Notes or any other Person in acting in good faith on a Noteholder Direction.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TRUSTEE</w:t>
      </w:r>
    </w:p>
    <w:p>
      <w:pPr>
        <w:spacing w:after="0" w:line="207"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7.1.</w:t>
      </w:r>
      <w:r>
        <w:rPr>
          <w:sz w:val="20"/>
          <w:szCs w:val="20"/>
          <w:color w:val="auto"/>
        </w:rPr>
        <w:tab/>
      </w:r>
      <w:r>
        <w:rPr>
          <w:rFonts w:ascii="Times New Roman" w:cs="Times New Roman" w:eastAsia="Times New Roman" w:hAnsi="Times New Roman"/>
          <w:sz w:val="19"/>
          <w:szCs w:val="19"/>
          <w:u w:val="single" w:color="auto"/>
          <w:color w:val="auto"/>
        </w:rPr>
        <w:t>Duties of Trustee</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firstLine="656"/>
        <w:spacing w:after="0" w:line="251" w:lineRule="auto"/>
        <w:tabs>
          <w:tab w:leader="none" w:pos="1113"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his or her own affairs. The Trustee shall not be liable for any action taken or omitted by it in the performance of its duties under this Indenture except for its own gross negligence or willful misconduct.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w:t>
      </w:r>
    </w:p>
    <w:p>
      <w:pPr>
        <w:spacing w:after="0" w:line="216" w:lineRule="exact"/>
        <w:rPr>
          <w:sz w:val="20"/>
          <w:szCs w:val="20"/>
          <w:color w:val="auto"/>
        </w:rPr>
      </w:pPr>
    </w:p>
    <w:p>
      <w:pPr>
        <w:jc w:val="both"/>
        <w:ind w:left="660" w:firstLine="644"/>
        <w:spacing w:after="0" w:line="261" w:lineRule="auto"/>
        <w:tabs>
          <w:tab w:leader="none" w:pos="1793"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52"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may conclusively rely, as to the truth of the statements and the correctness of the opinions expressed therein, upon certificates or opinions furnished to the Trustee and conforming to the requirements of this Indenture (but need not confirm or investigate the accuracy of mathematical calculations or other facts stated therein);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in the case of any such certificates or opinions which by any provision hereof are specifically required to be furnished to the Trustee, the Trustee shall examine the certificates and opinions furnished to it to determine whether or not they conform to the requirements of this Indenture.</w:t>
      </w:r>
    </w:p>
    <w:p>
      <w:pPr>
        <w:spacing w:after="0" w:line="191" w:lineRule="exact"/>
        <w:rPr>
          <w:rFonts w:ascii="Times New Roman" w:cs="Times New Roman" w:eastAsia="Times New Roman" w:hAnsi="Times New Roman"/>
          <w:sz w:val="20"/>
          <w:szCs w:val="20"/>
          <w:color w:val="auto"/>
        </w:rPr>
      </w:pPr>
    </w:p>
    <w:p>
      <w:pPr>
        <w:ind w:firstLine="656"/>
        <w:spacing w:after="0" w:line="283" w:lineRule="auto"/>
        <w:tabs>
          <w:tab w:leader="none" w:pos="107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not be relieved from liabilities for its own grossly negligent actions, its own grossly negligent failure to act, or its own willful misconduct, except that:</w:t>
      </w:r>
    </w:p>
    <w:p>
      <w:pPr>
        <w:spacing w:after="0" w:line="14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paragraph 7.1(c)</w:t>
      </w:r>
      <w:r>
        <w:rPr>
          <w:rFonts w:ascii="Times New Roman" w:cs="Times New Roman" w:eastAsia="Times New Roman" w:hAnsi="Times New Roman"/>
          <w:sz w:val="20"/>
          <w:szCs w:val="20"/>
          <w:color w:val="auto"/>
        </w:rPr>
        <w:t xml:space="preserve"> does not limit the effect of </w:t>
      </w:r>
      <w:r>
        <w:rPr>
          <w:rFonts w:ascii="Times New Roman" w:cs="Times New Roman" w:eastAsia="Times New Roman" w:hAnsi="Times New Roman"/>
          <w:sz w:val="20"/>
          <w:szCs w:val="20"/>
          <w:u w:val="single" w:color="auto"/>
          <w:color w:val="auto"/>
        </w:rPr>
        <w:t>paragraph 7.1(b), 7.1(d) or 7.1(e) or 7.2</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795"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for any error of judgment made in good faith by a Responsible Officer of the Trustee, unless it is proved that the Trustee was grossly negligent in ascertaining the pertinent facts;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13" w:right="339" w:bottom="1440" w:gutter="0" w:footer="0" w:header="0"/>
        </w:sectPr>
      </w:pPr>
    </w:p>
    <w:bookmarkStart w:id="90" w:name="page91"/>
    <w:bookmarkEnd w:id="90"/>
    <w:p>
      <w:pPr>
        <w:ind w:left="660" w:firstLine="644"/>
        <w:spacing w:after="0" w:line="283" w:lineRule="auto"/>
        <w:tabs>
          <w:tab w:leader="none" w:pos="1743"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shall not be liable with respect to any action it takes or omits to take in accordance with a direction received by it pursuant to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and</w:t>
      </w:r>
    </w:p>
    <w:p>
      <w:pPr>
        <w:spacing w:after="0" w:line="14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provision of this Indenture shall require the Trustee to expend or risk its own funds or incur any liability.</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for interest on or the investment of any money received by it except as the Trustee may agree in writing with the Issuer. Money held in trust by the Trustee need not be segregated from other funds except to the extent required by law. The Trustee shall have no investment discretion and the Trustee’s only responsibility for investments shall be to follow the written instructions of the Issuer. Absent written investment instructions, all moneys or deposits held by the Trustee shall be uninvested. The Trustee shall not incur any liability for losses arising from any investments made pursuant to this Indenture. The Trustee shall not be required to determine the suitability or legality of any investments.</w:t>
      </w:r>
    </w:p>
    <w:p>
      <w:pPr>
        <w:spacing w:after="0" w:line="178" w:lineRule="exact"/>
        <w:rPr>
          <w:rFonts w:ascii="Times New Roman" w:cs="Times New Roman" w:eastAsia="Times New Roman" w:hAnsi="Times New Roman"/>
          <w:sz w:val="20"/>
          <w:szCs w:val="20"/>
          <w:color w:val="auto"/>
        </w:rPr>
      </w:pPr>
    </w:p>
    <w:p>
      <w:pPr>
        <w:ind w:firstLine="656"/>
        <w:spacing w:after="0" w:line="283" w:lineRule="auto"/>
        <w:tabs>
          <w:tab w:leader="none" w:pos="108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Whether or not therein expressly so provided, every provision of this Indenture that in any way relates to the Trustee is subject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color w:val="auto"/>
        </w:rPr>
        <w:t>Section 7.2.</w:t>
      </w:r>
      <w:r>
        <w:rPr>
          <w:sz w:val="20"/>
          <w:szCs w:val="20"/>
          <w:color w:val="auto"/>
        </w:rPr>
        <w:tab/>
      </w:r>
      <w:r>
        <w:rPr>
          <w:rFonts w:ascii="Times New Roman" w:cs="Times New Roman" w:eastAsia="Times New Roman" w:hAnsi="Times New Roman"/>
          <w:sz w:val="19"/>
          <w:szCs w:val="19"/>
          <w:u w:val="single" w:color="auto"/>
          <w:color w:val="auto"/>
        </w:rPr>
        <w:t>Rights of Trustee</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firstLine="656"/>
        <w:spacing w:after="0" w:line="251" w:lineRule="auto"/>
        <w:tabs>
          <w:tab w:leader="none" w:pos="1081"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conclusively rely and shall be fully protected in acting or refraining from acting on any resolution, certificate, statement, instrument, opinion, notice, report, request, direction, consent, order, bond, debenture or other document (whether in original, email or facsimile form) believed by it to be genuine and to have been signed or presented by the proper Person. The Trustee need not investigate any fact or matter stated therein.</w:t>
      </w:r>
    </w:p>
    <w:p>
      <w:pPr>
        <w:spacing w:after="0" w:line="190" w:lineRule="exact"/>
        <w:rPr>
          <w:rFonts w:ascii="Times New Roman" w:cs="Times New Roman" w:eastAsia="Times New Roman" w:hAnsi="Times New Roman"/>
          <w:sz w:val="20"/>
          <w:szCs w:val="20"/>
          <w:color w:val="auto"/>
        </w:rPr>
      </w:pPr>
    </w:p>
    <w:p>
      <w:pPr>
        <w:jc w:val="both"/>
        <w:ind w:firstLine="656"/>
        <w:spacing w:after="0" w:line="253" w:lineRule="auto"/>
        <w:tabs>
          <w:tab w:leader="none" w:pos="112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Prior to taking, suffering or admitting any action, the Trustee may consult with counsel of the Trustee’s own choosing, and the Trustee shall be fully protected from liability in respect of any action taken, suffered or omitted by it hereunder in good faith and in conclusive reliance on the advice or opinion of such counsel.</w:t>
      </w:r>
    </w:p>
    <w:p>
      <w:pPr>
        <w:spacing w:after="0" w:line="178" w:lineRule="exact"/>
        <w:rPr>
          <w:rFonts w:ascii="Times New Roman" w:cs="Times New Roman" w:eastAsia="Times New Roman" w:hAnsi="Times New Roman"/>
          <w:sz w:val="20"/>
          <w:szCs w:val="20"/>
          <w:color w:val="auto"/>
        </w:rPr>
      </w:pPr>
    </w:p>
    <w:p>
      <w:pPr>
        <w:ind w:right="20" w:firstLine="656"/>
        <w:spacing w:after="0" w:line="283" w:lineRule="auto"/>
        <w:tabs>
          <w:tab w:leader="none" w:pos="115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act through its attorneys and agents and shall not be responsible for the misconduct or negligence of any attorney or agent appointed with due care.</w:t>
      </w:r>
    </w:p>
    <w:p>
      <w:pPr>
        <w:spacing w:after="0" w:line="159" w:lineRule="exact"/>
        <w:rPr>
          <w:rFonts w:ascii="Times New Roman" w:cs="Times New Roman" w:eastAsia="Times New Roman" w:hAnsi="Times New Roman"/>
          <w:sz w:val="20"/>
          <w:szCs w:val="20"/>
          <w:color w:val="auto"/>
        </w:rPr>
      </w:pPr>
    </w:p>
    <w:p>
      <w:pPr>
        <w:ind w:right="20" w:firstLine="656"/>
        <w:spacing w:after="0" w:line="269" w:lineRule="auto"/>
        <w:tabs>
          <w:tab w:leader="none" w:pos="108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for any action it takes or omits to take in good faith that it believes to be authorized or within the discretion or rights or powers conferred upon it by this Indenture.</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06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specifically provided in this Indenture, any demand, request, direction or notice from the Issuer or a Guarantor shall be sufficient if signed by an Officer of the Issuer or such Guarantor.</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8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under no obligation to exercise any of the rights or powers vested in it by this Indenture at the request or direction of any of the Holders unless such Holders shall have offered to the Trustee security or indemnity satisfactory to the Trustee against the costs, expenses and liabilities that might be incurred by it in compliance with such request or direction.</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75"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documents, but the Trustee, in its discretion, may make such further inquiry or investigation into such facts or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13" w:right="339" w:bottom="1440" w:gutter="0" w:footer="0" w:header="0"/>
        </w:sectPr>
      </w:pPr>
    </w:p>
    <w:bookmarkStart w:id="91" w:name="page92"/>
    <w:bookmarkEnd w:id="91"/>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as it may see fit, and, if the Trustee shall determine to make such further inquiry or investigation, it shall be entitled to examine during normal business hours the books, records and premises of the Issuer, personally or by agent or attorney at the sole cost of the Issuer, and shall incur no liability or additional liability of any kind by reason of such inquiry or investigation.</w:t>
      </w:r>
    </w:p>
    <w:p>
      <w:pPr>
        <w:spacing w:after="0" w:line="181" w:lineRule="exact"/>
        <w:rPr>
          <w:sz w:val="20"/>
          <w:szCs w:val="20"/>
          <w:color w:val="auto"/>
        </w:rPr>
      </w:pPr>
    </w:p>
    <w:p>
      <w:pPr>
        <w:jc w:val="both"/>
        <w:ind w:firstLine="656"/>
        <w:spacing w:after="0" w:line="261" w:lineRule="auto"/>
        <w:tabs>
          <w:tab w:leader="none" w:pos="114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privileges, protections, immunities and benefits given to the Trustee, including, without limitation, its right to be indemnified, are extended to, and shall be enforceable by, the Trustee in each of its capacities hereunder, to the Agents and to each other agent, custodian and Person employed to act hereunder.</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079"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request that the Issuer and each of the Guarantors shall deliver to the Trustee an Officers’ Certificate setting forth the names of individuals and/or titles of Officers of the Issuer and each Guarantor, as applicable, authorized at such time to take specified actions pursuant to this Indenture of the Issuer, the Notes and the Guarantees, which Officers’ Certificate may be signed by any Person authorized to sign an Officers’ Certificate, including any Person specified as so authorized in any such certificate previously delivered and not superseded.</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5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deemed to have notice of any Default or Event of Default, unless a Responsible Officer of the Trustee shall have been notified specifically of the Default or Event of Default in a written instrument or document delivered to it, referring to this Indenture, describing such Event of Default and stating that such notice is a “Notice of Default.”</w:t>
      </w:r>
    </w:p>
    <w:p>
      <w:pPr>
        <w:spacing w:after="0" w:line="167" w:lineRule="exact"/>
        <w:rPr>
          <w:rFonts w:ascii="Times New Roman" w:cs="Times New Roman" w:eastAsia="Times New Roman" w:hAnsi="Times New Roman"/>
          <w:sz w:val="20"/>
          <w:szCs w:val="20"/>
          <w:color w:val="auto"/>
        </w:rPr>
      </w:pPr>
    </w:p>
    <w:p>
      <w:pPr>
        <w:jc w:val="both"/>
        <w:ind w:right="20" w:firstLine="656"/>
        <w:spacing w:after="0" w:line="268" w:lineRule="auto"/>
        <w:tabs>
          <w:tab w:leader="none" w:pos="1092"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61"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required to give any bond or surety in respect of the performance of its powers and duties hereunder.</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142"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will be responsible for making calculations called for under the Notes, including but not limited to determination of redemption price, premium, if any, and any other amounts payable on the Notes. The Issuer will make the calculations in good faith and, absent manifest error, its calculations will be final and binding on the Holders of the Notes. The Issuer will provide a schedule of its calculations to the Trustee when applicable, and the Trustee is entitled to rely conclusively on the accuracy of the Issuer’s calculations without independent verification.</w:t>
      </w:r>
    </w:p>
    <w:p>
      <w:pPr>
        <w:spacing w:after="0" w:line="19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permissive right of the Trustee to do things enumerated in this Indenture shall not be construed as a duty.</w:t>
      </w:r>
    </w:p>
    <w:p>
      <w:pPr>
        <w:spacing w:after="0" w:line="215" w:lineRule="exact"/>
        <w:rPr>
          <w:rFonts w:ascii="Times New Roman" w:cs="Times New Roman" w:eastAsia="Times New Roman" w:hAnsi="Times New Roman"/>
          <w:sz w:val="20"/>
          <w:szCs w:val="20"/>
          <w:color w:val="auto"/>
        </w:rPr>
      </w:pPr>
    </w:p>
    <w:p>
      <w:pPr>
        <w:jc w:val="both"/>
        <w:ind w:firstLine="656"/>
        <w:spacing w:after="0" w:line="261" w:lineRule="auto"/>
        <w:tabs>
          <w:tab w:leader="none" w:pos="133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all of the rights, benefits, privileges and immunities granted to the Trustee and Agents hereunder, and notwithstanding that this Indenture is not qualified under the TIA, all of the rights, benefits, privileges and immunities granted to a trustee under the TIA are incorporated herein.</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12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 entitled to take any action or to refuse to take any action which the Trustee regards as necessary for the Trustee to comply with any applicable law, regulation or fiscal requirement, court order, or the rules, operating procedures or market practice of any relevant stock exchange or other market or clearing system.</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7.3. </w:t>
      </w:r>
      <w:r>
        <w:rPr>
          <w:rFonts w:ascii="Times New Roman" w:cs="Times New Roman" w:eastAsia="Times New Roman" w:hAnsi="Times New Roman"/>
          <w:sz w:val="20"/>
          <w:szCs w:val="20"/>
          <w:u w:val="single" w:color="auto"/>
          <w:color w:val="auto"/>
        </w:rPr>
        <w:t>Individual Rights of the Trustee</w:t>
      </w:r>
      <w:r>
        <w:rPr>
          <w:rFonts w:ascii="Times New Roman" w:cs="Times New Roman" w:eastAsia="Times New Roman" w:hAnsi="Times New Roman"/>
          <w:sz w:val="20"/>
          <w:szCs w:val="20"/>
          <w:color w:val="auto"/>
        </w:rPr>
        <w:t>. The Trustee, in its individual or any other capacity, and any Affiliate of the Trustee, may become the owner or pledgee of Notes and may otherwise deal with the Issuer or any Affiliate of the Issuer with the same rights it would have if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13" w:right="339" w:bottom="1440" w:gutter="0" w:footer="0" w:header="0"/>
        </w:sectPr>
      </w:pPr>
    </w:p>
    <w:bookmarkStart w:id="92" w:name="page93"/>
    <w:bookmarkEnd w:id="92"/>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 xml:space="preserve">were not Trustee or an Affiliate of the Trustee. Any Agent may do the same with like rights and duties. The Trustee is also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7.9</w:t>
      </w:r>
      <w:r>
        <w:rPr>
          <w:rFonts w:ascii="Times New Roman" w:cs="Times New Roman" w:eastAsia="Times New Roman" w:hAnsi="Times New Roman"/>
          <w:sz w:val="20"/>
          <w:szCs w:val="20"/>
          <w:color w:val="auto"/>
        </w:rPr>
        <w:t>.</w:t>
      </w: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7.4. </w:t>
      </w:r>
      <w:r>
        <w:rPr>
          <w:rFonts w:ascii="Times New Roman" w:cs="Times New Roman" w:eastAsia="Times New Roman" w:hAnsi="Times New Roman"/>
          <w:sz w:val="20"/>
          <w:szCs w:val="20"/>
          <w:u w:val="single" w:color="auto"/>
          <w:color w:val="auto"/>
        </w:rPr>
        <w:t>Trustee’s Disclaimer</w:t>
      </w:r>
      <w:r>
        <w:rPr>
          <w:rFonts w:ascii="Times New Roman" w:cs="Times New Roman" w:eastAsia="Times New Roman" w:hAnsi="Times New Roman"/>
          <w:sz w:val="20"/>
          <w:szCs w:val="20"/>
          <w:color w:val="auto"/>
        </w:rPr>
        <w:t>. The Trustee shall not be responsible for and makes no representation as to the validity, enforceability or adequacy of this Indenture, the Notes or any Guarantee, it shall not be accountable for the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any Officers’ Certificate delivered to the Trustee hereunder, or any other document in connection with the sale of the Notes or pursuant to this Indenture other than the Trustee’s certificate of authentication hereunder.</w:t>
      </w:r>
    </w:p>
    <w:p>
      <w:pPr>
        <w:spacing w:after="0" w:line="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7.5. </w:t>
      </w:r>
      <w:r>
        <w:rPr>
          <w:rFonts w:ascii="Times New Roman" w:cs="Times New Roman" w:eastAsia="Times New Roman" w:hAnsi="Times New Roman"/>
          <w:sz w:val="20"/>
          <w:szCs w:val="20"/>
          <w:u w:val="single" w:color="auto"/>
          <w:color w:val="auto"/>
        </w:rPr>
        <w:t>Notice of Defaults</w:t>
      </w:r>
      <w:r>
        <w:rPr>
          <w:rFonts w:ascii="Times New Roman" w:cs="Times New Roman" w:eastAsia="Times New Roman" w:hAnsi="Times New Roman"/>
          <w:sz w:val="20"/>
          <w:szCs w:val="20"/>
          <w:color w:val="auto"/>
        </w:rPr>
        <w:t xml:space="preserve">. If a Default or Event of Default occurs and is continuing and if a Responsible Officer of the Trustee has knowledge thereof as set forth in </w:t>
      </w:r>
      <w:r>
        <w:rPr>
          <w:rFonts w:ascii="Times New Roman" w:cs="Times New Roman" w:eastAsia="Times New Roman" w:hAnsi="Times New Roman"/>
          <w:sz w:val="20"/>
          <w:szCs w:val="20"/>
          <w:u w:val="single" w:color="auto"/>
          <w:color w:val="auto"/>
        </w:rPr>
        <w:t>Section 7.2(j)</w:t>
      </w:r>
      <w:r>
        <w:rPr>
          <w:rFonts w:ascii="Times New Roman" w:cs="Times New Roman" w:eastAsia="Times New Roman" w:hAnsi="Times New Roman"/>
          <w:sz w:val="20"/>
          <w:szCs w:val="20"/>
          <w:color w:val="auto"/>
        </w:rPr>
        <w:t>, the Trustee shall deliver to Holders a notice of the Default or Event of Default within 90 days after it occurs. Except in the case of a Default or Event of Default in payment of principal of, premium, if any, or interest on any Note, the Trustee may withhold the notice if and so long as the board of directors, the executive committee or a trust committee of directors or Responsible Officers of the Trustee in good faith determines that the withholding of such notice is in the interest of the Holders.</w:t>
      </w:r>
    </w:p>
    <w:p>
      <w:pPr>
        <w:spacing w:after="0" w:line="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7.6. </w:t>
      </w:r>
      <w:r>
        <w:rPr>
          <w:rFonts w:ascii="Times New Roman" w:cs="Times New Roman" w:eastAsia="Times New Roman" w:hAnsi="Times New Roman"/>
          <w:sz w:val="20"/>
          <w:szCs w:val="20"/>
          <w:u w:val="single" w:color="auto"/>
          <w:color w:val="auto"/>
        </w:rPr>
        <w:t>Compensation and Indemnity</w:t>
      </w:r>
      <w:r>
        <w:rPr>
          <w:rFonts w:ascii="Times New Roman" w:cs="Times New Roman" w:eastAsia="Times New Roman" w:hAnsi="Times New Roman"/>
          <w:sz w:val="20"/>
          <w:szCs w:val="20"/>
          <w:color w:val="auto"/>
        </w:rPr>
        <w:t>. The Issuer shall pay to the Trustee from time to time compensation for its acceptance of this Indenture and for all services rendered by it hereunder as agreed upon in writing; including but not limited to acting as Registrar or Paying Agent. The Trustee’s compensation shall not be limited by any law on compensation of a trustee of an express trust. The Issuer shall reimburse the Trustee, as applicable,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Each of the Issuer and the Guarantors, jointly and severally, shall indemnify, defend, protect and hold harmless the Trustee (in its individual and trustee capacities or in its capacity as Registrar or Paying Agent) and its officers, directors, employees and agents from and against any and all claims, damages, losses, liabilities, actions, suits, costs or expenses incurred by it (including, without limitation, the fees and expenses of its agents and counsel and court costs) arising out of or in connection with the acceptance or administration of its duties under this Indenture and trusts thereunder, the performance of its obligations and/or exercise of its rights hereunder, including the costs and expenses of enforcing this Indenture against the Issuer or any Guarantor (including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and defending itself against any claim (whether asserted by the Issuer or any Holder or any other Person) or liability in connection with the exercise or performance of any of its powers or duties hereunder, except to the extent any such loss, claim, damage, liability or expense shall be caused by its own gross negligence or willful misconduct as determined by a court of competent jurisdiction in a final, non-appealable judgment. The Trustee shall notify the Issuer promptly of any claim for which it may seek indemnity. Failure by the Trustee to so notify the Issuer shall not relieve the Issuer of its obligations hereunder. The Trustee may have one separate counsel, and the Issuer shall pay the reasonable fees and expenses of such counsel for the Trustee. The liability of any Guarantor organized in Switzerland (a “</w:t>
      </w:r>
      <w:r>
        <w:rPr>
          <w:rFonts w:ascii="Times New Roman" w:cs="Times New Roman" w:eastAsia="Times New Roman" w:hAnsi="Times New Roman"/>
          <w:sz w:val="20"/>
          <w:szCs w:val="20"/>
          <w:i w:val="1"/>
          <w:iCs w:val="1"/>
          <w:color w:val="auto"/>
        </w:rPr>
        <w:t>Swiss Guarantor</w:t>
      </w:r>
      <w:r>
        <w:rPr>
          <w:rFonts w:ascii="Times New Roman" w:cs="Times New Roman" w:eastAsia="Times New Roman" w:hAnsi="Times New Roman"/>
          <w:sz w:val="20"/>
          <w:szCs w:val="20"/>
          <w:color w:val="auto"/>
        </w:rPr>
        <w:t xml:space="preserve">”) under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shall be limited to such Swiss Guarantor’s Swiss Available Amount.</w:t>
      </w:r>
    </w:p>
    <w:p>
      <w:pPr>
        <w:spacing w:after="0" w:line="19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The obligations of the Issuer and the Guarantors under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shall survive the satisfaction and discharge of this Indenture, the payment of the Notes or the resignation or removal of the Trustee.</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To secure the Issuer’s payment obligations in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the Trustee shall have a Lien prior to the Notes on all money or property held or collected by the Trustee, except that held in trust to pay principal or interest, if any, on particular Notes. Such Lien shall survive the satisfaction and discharge of this Indenture, the payment of the Notes and the resignation or removal of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13" w:right="339" w:bottom="1440" w:gutter="0" w:footer="0" w:header="0"/>
        </w:sectPr>
      </w:pPr>
    </w:p>
    <w:bookmarkStart w:id="93" w:name="page94"/>
    <w:bookmarkEnd w:id="93"/>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When the Trustee incurs expenses or renders services after an Event of Default specified in </w:t>
      </w:r>
      <w:r>
        <w:rPr>
          <w:rFonts w:ascii="Times New Roman" w:cs="Times New Roman" w:eastAsia="Times New Roman" w:hAnsi="Times New Roman"/>
          <w:sz w:val="20"/>
          <w:szCs w:val="20"/>
          <w:u w:val="single" w:color="auto"/>
          <w:color w:val="auto"/>
        </w:rPr>
        <w:t>Section 6.1(7)</w:t>
      </w:r>
      <w:r>
        <w:rPr>
          <w:rFonts w:ascii="Times New Roman" w:cs="Times New Roman" w:eastAsia="Times New Roman" w:hAnsi="Times New Roman"/>
          <w:sz w:val="20"/>
          <w:szCs w:val="20"/>
          <w:color w:val="auto"/>
        </w:rPr>
        <w:t xml:space="preserve"> occurs, the expenses and the compensation for the services (including the fees and expenses of its agents and counsel) are intended to constitute expenses of administration under any Bankruptcy Law.</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7.7. </w:t>
      </w:r>
      <w:r>
        <w:rPr>
          <w:rFonts w:ascii="Times New Roman" w:cs="Times New Roman" w:eastAsia="Times New Roman" w:hAnsi="Times New Roman"/>
          <w:sz w:val="20"/>
          <w:szCs w:val="20"/>
          <w:u w:val="single" w:color="auto"/>
          <w:color w:val="auto"/>
        </w:rPr>
        <w:t>Replacement of Trustee</w:t>
      </w:r>
      <w:r>
        <w:rPr>
          <w:rFonts w:ascii="Times New Roman" w:cs="Times New Roman" w:eastAsia="Times New Roman" w:hAnsi="Times New Roman"/>
          <w:sz w:val="20"/>
          <w:szCs w:val="20"/>
          <w:color w:val="auto"/>
        </w:rPr>
        <w:t xml:space="preserve">. A resignation or removal of the Trustee and appointment of a successor Trustee shall become effective only upon the successor trustee’s acceptance of appointment as provided in this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9"/>
          <w:szCs w:val="19"/>
          <w:color w:val="auto"/>
        </w:rPr>
        <w:t>The Trustee may resign in writing at any time and be discharged from the trust hereby created by so notifying the Issuer not less than 30 days prior to the effective date of such resignation. The Holders of a majority in principal amount of the then outstanding Notes may remove the Trustee upon 30 days’ prior notice by so notifying the Trustee and the Issuer in writing. The Issuer may remove the Trustee if:</w:t>
      </w:r>
    </w:p>
    <w:p>
      <w:pPr>
        <w:spacing w:after="0" w:line="173" w:lineRule="exact"/>
        <w:rPr>
          <w:sz w:val="20"/>
          <w:szCs w:val="20"/>
          <w:color w:val="auto"/>
        </w:rPr>
      </w:pPr>
    </w:p>
    <w:p>
      <w:pPr>
        <w:ind w:left="1080" w:hanging="424"/>
        <w:spacing w:after="0"/>
        <w:tabs>
          <w:tab w:leader="none" w:pos="108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Trustee fails to comply with </w:t>
      </w: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656"/>
        <w:spacing w:after="0" w:line="283" w:lineRule="auto"/>
        <w:tabs>
          <w:tab w:leader="none" w:pos="119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is adjudged a bankrupt or an insolvent or an order for relief is entered with respect to the Trustee under any Bankruptcy Law;</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custodian or public officer takes charge of the Trustee or its property; or</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becomes incapable of acting.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the Trustee resigns or is removed or if a vacancy exists in the office of the Trustee for any reason, the Issuer shall promptly appoint a successor trustee. Within one year after the successor trustee takes office, the Holders of a majority in principal amount of the then outstanding Notes may appoint a successor trustee to replace the successor trustee appointed by the Issuer.</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a successor trustee does not take office within 30 days after the retiring Trustee resigns or is removed, such retiring Trustee (at the expense of the Issuer), the Issuer or the Holders of at least 10.0% in principal amount of the then outstanding Notes may petition any court of competent jurisdiction for the appointment of a successor trustee.</w:t>
      </w:r>
    </w:p>
    <w:p>
      <w:pPr>
        <w:spacing w:after="0" w:line="16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If the Trustee, after written request by any Holder who has been a bona fide holder of a Note for at least six months, fails to comply with </w:t>
      </w: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 such Holder may petition any court of competent jurisdiction for the removal of the Trustee and the appointment of a successor trustee.</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the duties of the Trustee under this Indenture. The successor trustee shall mail a notice of its succession to the Holders. The retiring Trustee shall promptly transfer all property held by it as Trustee to the successor Trustee;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all sums owing to such Trustee hereunder have been paid and subject to the Lien provided for in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Notwithstanding replacement of the Trustee pursuant to this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the Issuer’s and the Guarantors’ obligations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shall continue for the benefit of the retiring Trustee.</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7.8. </w:t>
      </w:r>
      <w:r>
        <w:rPr>
          <w:rFonts w:ascii="Times New Roman" w:cs="Times New Roman" w:eastAsia="Times New Roman" w:hAnsi="Times New Roman"/>
          <w:sz w:val="20"/>
          <w:szCs w:val="20"/>
          <w:u w:val="single" w:color="auto"/>
          <w:color w:val="auto"/>
        </w:rPr>
        <w:t>Successor Trustee by Merger, Etc</w:t>
      </w:r>
      <w:r>
        <w:rPr>
          <w:rFonts w:ascii="Times New Roman" w:cs="Times New Roman" w:eastAsia="Times New Roman" w:hAnsi="Times New Roman"/>
          <w:sz w:val="20"/>
          <w:szCs w:val="20"/>
          <w:color w:val="auto"/>
        </w:rPr>
        <w:t>. If the Trustee or any Agent consolidates, merges or converts into, or transfers all or substantially all of its corporate trust business (including this transaction) to, another corporation, the successor corporation without any further act shall be the successor Trustee or any Agent, as applicable.</w:t>
      </w:r>
    </w:p>
    <w:p>
      <w:pPr>
        <w:spacing w:after="0" w:line="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Section 7.9. </w:t>
      </w:r>
      <w:r>
        <w:rPr>
          <w:rFonts w:ascii="Times New Roman" w:cs="Times New Roman" w:eastAsia="Times New Roman" w:hAnsi="Times New Roman"/>
          <w:sz w:val="20"/>
          <w:szCs w:val="20"/>
          <w:u w:val="single" w:color="auto"/>
          <w:color w:val="auto"/>
        </w:rPr>
        <w:t>Eligibility; Disqualification</w:t>
      </w:r>
      <w:r>
        <w:rPr>
          <w:rFonts w:ascii="Times New Roman" w:cs="Times New Roman" w:eastAsia="Times New Roman" w:hAnsi="Times New Roman"/>
          <w:sz w:val="20"/>
          <w:szCs w:val="20"/>
          <w:color w:val="auto"/>
        </w:rPr>
        <w:t>. There shall at all times be a Trustee hereunder that is a corporation organized and doing business under the laws of the United States or of any state thereof that is authorized under such laws to exercise corporate trustee power and that is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13" w:right="339" w:bottom="1440" w:gutter="0" w:footer="0" w:header="0"/>
        </w:sectPr>
      </w:pPr>
    </w:p>
    <w:bookmarkStart w:id="94" w:name="page95"/>
    <w:bookmarkEnd w:id="94"/>
    <w:p>
      <w:pPr>
        <w:jc w:val="both"/>
        <w:spacing w:after="0" w:line="258" w:lineRule="auto"/>
        <w:rPr>
          <w:sz w:val="20"/>
          <w:szCs w:val="20"/>
          <w:color w:val="auto"/>
        </w:rPr>
      </w:pPr>
      <w:r>
        <w:rPr>
          <w:rFonts w:ascii="Times New Roman" w:cs="Times New Roman" w:eastAsia="Times New Roman" w:hAnsi="Times New Roman"/>
          <w:sz w:val="20"/>
          <w:szCs w:val="20"/>
          <w:color w:val="auto"/>
        </w:rPr>
        <w:t>supervision or examination by federal or state authorities. Such Trustee together with its affiliates shall at all times have a combined capital surplus of at least $50.0 million as set forth in its most recent annual report of condition.</w:t>
      </w: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7.10. </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xml:space="preserve"> The Issuer agrees for the benefit of the Trustee that it will not, directly or indirectly, use the proceeds from the issuance of the Notes, or lend, contribute or otherwise make available such proceeds, to any subsidiary, joint venture or other Person, (i) to fund any activities or business of or with any Person, or in any country or territory, that, at the time of such funding, would violate any sanctions enforced by the U.S. Government (including, the Office of Foreign Assets Control of the U.S. Department of the Treasury), or the European Union.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DEFEASANCE; DISCHARGE OF THIS INDENTURE</w:t>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Section 8.1. </w:t>
      </w:r>
      <w:r>
        <w:rPr>
          <w:rFonts w:ascii="Times New Roman" w:cs="Times New Roman" w:eastAsia="Times New Roman" w:hAnsi="Times New Roman"/>
          <w:sz w:val="20"/>
          <w:szCs w:val="20"/>
          <w:u w:val="single" w:color="auto"/>
          <w:color w:val="auto"/>
        </w:rPr>
        <w:t>Option to Effect Legal Defeasance or Covenant Defeasance</w:t>
      </w:r>
      <w:r>
        <w:rPr>
          <w:rFonts w:ascii="Times New Roman" w:cs="Times New Roman" w:eastAsia="Times New Roman" w:hAnsi="Times New Roman"/>
          <w:sz w:val="20"/>
          <w:szCs w:val="20"/>
          <w:color w:val="auto"/>
        </w:rPr>
        <w:t xml:space="preserve">. The Issuer may, by delivery of an Officers’ Certificate, at any time, elect to have either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applied to all outstanding Notes upon compliance with the conditions set forth below in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 xml:space="preserve">Section 8.2. </w:t>
      </w:r>
      <w:r>
        <w:rPr>
          <w:rFonts w:ascii="Times New Roman" w:cs="Times New Roman" w:eastAsia="Times New Roman" w:hAnsi="Times New Roman"/>
          <w:sz w:val="19"/>
          <w:szCs w:val="19"/>
          <w:u w:val="single" w:color="auto"/>
          <w:color w:val="auto"/>
        </w:rPr>
        <w:t>Legal Defeasance</w:t>
      </w:r>
      <w:r>
        <w:rPr>
          <w:rFonts w:ascii="Times New Roman" w:cs="Times New Roman" w:eastAsia="Times New Roman" w:hAnsi="Times New Roman"/>
          <w:sz w:val="19"/>
          <w:szCs w:val="19"/>
          <w:color w:val="auto"/>
        </w:rPr>
        <w:t xml:space="preserve">. Upon the Issuer’s exercise under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of the option applicable to this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the Issuer shall, subject to the satisfaction of the conditions set forth in </w:t>
      </w:r>
      <w:r>
        <w:rPr>
          <w:rFonts w:ascii="Times New Roman" w:cs="Times New Roman" w:eastAsia="Times New Roman" w:hAnsi="Times New Roman"/>
          <w:sz w:val="19"/>
          <w:szCs w:val="19"/>
          <w:u w:val="single" w:color="auto"/>
          <w:color w:val="auto"/>
        </w:rPr>
        <w:t>Section 8.4</w:t>
      </w:r>
      <w:r>
        <w:rPr>
          <w:rFonts w:ascii="Times New Roman" w:cs="Times New Roman" w:eastAsia="Times New Roman" w:hAnsi="Times New Roman"/>
          <w:sz w:val="19"/>
          <w:szCs w:val="19"/>
          <w:color w:val="auto"/>
        </w:rPr>
        <w:t>, be deemed to have been discharged from its obligations with respect to all outstanding Notes on the date the conditions set forth below are satisfied (hereinafter, “</w:t>
      </w:r>
      <w:r>
        <w:rPr>
          <w:rFonts w:ascii="Times New Roman" w:cs="Times New Roman" w:eastAsia="Times New Roman" w:hAnsi="Times New Roman"/>
          <w:sz w:val="19"/>
          <w:szCs w:val="19"/>
          <w:i w:val="1"/>
          <w:iCs w:val="1"/>
          <w:color w:val="auto"/>
        </w:rPr>
        <w:t>Legal Defeasance</w:t>
      </w:r>
      <w:r>
        <w:rPr>
          <w:rFonts w:ascii="Times New Roman" w:cs="Times New Roman" w:eastAsia="Times New Roman" w:hAnsi="Times New Roman"/>
          <w:sz w:val="19"/>
          <w:szCs w:val="19"/>
          <w:color w:val="auto"/>
        </w:rPr>
        <w:t xml:space="preserve">”). For this purpose, Legal Defeasance means that the Issuer and the Guarantors shall be deemed to have paid and discharged the entire Obligations represented by the Notes and the Guarantees, which shall thereafter be deemed to be outstanding only for the purposes of </w:t>
      </w:r>
      <w:r>
        <w:rPr>
          <w:rFonts w:ascii="Times New Roman" w:cs="Times New Roman" w:eastAsia="Times New Roman" w:hAnsi="Times New Roman"/>
          <w:sz w:val="19"/>
          <w:szCs w:val="19"/>
          <w:u w:val="single" w:color="auto"/>
          <w:color w:val="auto"/>
        </w:rPr>
        <w:t>Section 8.5</w:t>
      </w:r>
      <w:r>
        <w:rPr>
          <w:rFonts w:ascii="Times New Roman" w:cs="Times New Roman" w:eastAsia="Times New Roman" w:hAnsi="Times New Roman"/>
          <w:sz w:val="19"/>
          <w:szCs w:val="19"/>
          <w:color w:val="auto"/>
        </w:rPr>
        <w:t xml:space="preserve"> and the other Sections of this Indenture referred to in (a) and (b) below, and to have satisfied all of its other Obligations under such Notes, Guarantees and this Indenture (and the Trustee, on written demand of and at the expense of the Issuer, shall execute instruments acknowledging the same), and this Indenture shall cease to be of further effect as to all such Notes and Guarantees, except for the following provisions which shall survive until otherwise terminated or discharged hereunder: (a) the rights of Holders of outstanding Notes to receive payments in respect of the principal of, and interest and premium, if any, on such Notes when such payments are due from the trust funds referred to in </w:t>
      </w:r>
      <w:r>
        <w:rPr>
          <w:rFonts w:ascii="Times New Roman" w:cs="Times New Roman" w:eastAsia="Times New Roman" w:hAnsi="Times New Roman"/>
          <w:sz w:val="19"/>
          <w:szCs w:val="19"/>
          <w:u w:val="single" w:color="auto"/>
          <w:color w:val="auto"/>
        </w:rPr>
        <w:t>Section 8.4(1)</w:t>
      </w:r>
      <w:r>
        <w:rPr>
          <w:rFonts w:ascii="Times New Roman" w:cs="Times New Roman" w:eastAsia="Times New Roman" w:hAnsi="Times New Roman"/>
          <w:sz w:val="19"/>
          <w:szCs w:val="19"/>
          <w:color w:val="auto"/>
        </w:rPr>
        <w:t>;</w:t>
      </w:r>
    </w:p>
    <w:p>
      <w:pPr>
        <w:spacing w:after="0" w:line="3" w:lineRule="exact"/>
        <w:rPr>
          <w:sz w:val="20"/>
          <w:szCs w:val="20"/>
          <w:color w:val="auto"/>
        </w:rPr>
      </w:pPr>
    </w:p>
    <w:p>
      <w:pPr>
        <w:jc w:val="both"/>
        <w:ind w:firstLine="8"/>
        <w:spacing w:after="0" w:line="247" w:lineRule="auto"/>
        <w:tabs>
          <w:tab w:leader="none" w:pos="28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Issuer’s obligations with respect to such Notes under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(c) the rights, powers, trusts, duties and immunities of the Trustee, including without limitation thereunder,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8.7</w:t>
      </w:r>
      <w:r>
        <w:rPr>
          <w:rFonts w:ascii="Times New Roman" w:cs="Times New Roman" w:eastAsia="Times New Roman" w:hAnsi="Times New Roman"/>
          <w:sz w:val="20"/>
          <w:szCs w:val="20"/>
          <w:color w:val="auto"/>
        </w:rPr>
        <w:t xml:space="preserve"> and the obligations of the Issuer and the Guarantors in connection therewith; and (d) the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Subject to compliance with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the Issuer may exercise its option under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notwithstanding the prior exercise of its option under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4" w:lineRule="exact"/>
        <w:rPr>
          <w:rFonts w:ascii="Times New Roman" w:cs="Times New Roman" w:eastAsia="Times New Roman" w:hAnsi="Times New Roman"/>
          <w:sz w:val="20"/>
          <w:szCs w:val="20"/>
          <w:color w:val="auto"/>
        </w:rPr>
      </w:pPr>
    </w:p>
    <w:p>
      <w:pPr>
        <w:jc w:val="both"/>
        <w:ind w:firstLine="648"/>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Section 8.3. </w:t>
      </w:r>
      <w:r>
        <w:rPr>
          <w:rFonts w:ascii="Times New Roman" w:cs="Times New Roman" w:eastAsia="Times New Roman" w:hAnsi="Times New Roman"/>
          <w:sz w:val="20"/>
          <w:szCs w:val="20"/>
          <w:u w:val="single" w:color="auto"/>
          <w:color w:val="auto"/>
        </w:rPr>
        <w:t>Covenant Defeasance</w:t>
      </w:r>
      <w:r>
        <w:rPr>
          <w:rFonts w:ascii="Times New Roman" w:cs="Times New Roman" w:eastAsia="Times New Roman" w:hAnsi="Times New Roman"/>
          <w:sz w:val="20"/>
          <w:szCs w:val="20"/>
          <w:color w:val="auto"/>
        </w:rPr>
        <w:t xml:space="preserve">. Upon the Issuer’s exercise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above of the option applicable to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the Issuer shall, subject to the satisfaction of the conditions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below, be released from its obligations under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5.1(a)(3)</w:t>
      </w:r>
      <w:r>
        <w:rPr>
          <w:rFonts w:ascii="Times New Roman" w:cs="Times New Roman" w:eastAsia="Times New Roman" w:hAnsi="Times New Roman"/>
          <w:sz w:val="20"/>
          <w:szCs w:val="20"/>
          <w:color w:val="auto"/>
        </w:rPr>
        <w:t xml:space="preserve"> on and after the date the conditions set forth below are satisfied (hereinafter, “</w:t>
      </w:r>
      <w:r>
        <w:rPr>
          <w:rFonts w:ascii="Times New Roman" w:cs="Times New Roman" w:eastAsia="Times New Roman" w:hAnsi="Times New Roman"/>
          <w:sz w:val="20"/>
          <w:szCs w:val="20"/>
          <w:i w:val="1"/>
          <w:iCs w:val="1"/>
          <w:color w:val="auto"/>
        </w:rPr>
        <w:t>Covenant Defeasance</w:t>
      </w:r>
      <w:r>
        <w:rPr>
          <w:rFonts w:ascii="Times New Roman" w:cs="Times New Roman" w:eastAsia="Times New Roman" w:hAnsi="Times New Roman"/>
          <w:sz w:val="20"/>
          <w:szCs w:val="20"/>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 or any of its Subsidiaries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13" w:right="339" w:bottom="1440" w:gutter="0" w:footer="0" w:header="0"/>
        </w:sectPr>
      </w:pPr>
    </w:p>
    <w:bookmarkStart w:id="95" w:name="page96"/>
    <w:bookmarkEnd w:id="95"/>
    <w:p>
      <w:pPr>
        <w:spacing w:after="0" w:line="258" w:lineRule="auto"/>
        <w:rPr>
          <w:sz w:val="20"/>
          <w:szCs w:val="20"/>
          <w:color w:val="auto"/>
        </w:rPr>
      </w:pPr>
      <w:r>
        <w:rPr>
          <w:rFonts w:ascii="Times New Roman" w:cs="Times New Roman" w:eastAsia="Times New Roman" w:hAnsi="Times New Roman"/>
          <w:sz w:val="20"/>
          <w:szCs w:val="20"/>
          <w:color w:val="auto"/>
        </w:rPr>
        <w:t xml:space="preserve">shall not constitute a Default under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but, except as specified above, the remainder of this Indenture and such Notes shall be unaffected thereby.</w:t>
      </w:r>
    </w:p>
    <w:p>
      <w:pPr>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8.4. </w:t>
      </w:r>
      <w:r>
        <w:rPr>
          <w:rFonts w:ascii="Times New Roman" w:cs="Times New Roman" w:eastAsia="Times New Roman" w:hAnsi="Times New Roman"/>
          <w:sz w:val="20"/>
          <w:szCs w:val="20"/>
          <w:u w:val="single" w:color="auto"/>
          <w:color w:val="auto"/>
        </w:rPr>
        <w:t>Conditions to Legal or Covenant Defeasance</w:t>
      </w:r>
      <w:r>
        <w:rPr>
          <w:rFonts w:ascii="Times New Roman" w:cs="Times New Roman" w:eastAsia="Times New Roman" w:hAnsi="Times New Roman"/>
          <w:sz w:val="20"/>
          <w:szCs w:val="20"/>
          <w:color w:val="auto"/>
        </w:rPr>
        <w:t xml:space="preserve">. The following shall be the conditions to the application of either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to the outstanding Notes:</w:t>
      </w:r>
    </w:p>
    <w:p>
      <w:pPr>
        <w:spacing w:after="0" w:line="1" w:lineRule="exact"/>
        <w:rPr>
          <w:sz w:val="20"/>
          <w:szCs w:val="20"/>
          <w:color w:val="auto"/>
        </w:rPr>
      </w:pPr>
    </w:p>
    <w:p>
      <w:pPr>
        <w:jc w:val="both"/>
        <w:ind w:left="660" w:firstLine="644"/>
        <w:spacing w:after="0" w:line="251" w:lineRule="auto"/>
        <w:tabs>
          <w:tab w:leader="none" w:pos="178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must irrevocably deposit with the Trustee, as trust funds, in trust solely for the benefit of the Holders, U.S. dollars,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and addressed to the Trustee, to pay the principal of and interest, if any, on the outstanding Notes on the stated date for payment thereof or on the applicable redemption date, as the case may be,</w:t>
      </w:r>
    </w:p>
    <w:p>
      <w:pPr>
        <w:spacing w:after="0" w:line="179" w:lineRule="exact"/>
        <w:rPr>
          <w:rFonts w:ascii="Times New Roman" w:cs="Times New Roman" w:eastAsia="Times New Roman" w:hAnsi="Times New Roman"/>
          <w:sz w:val="20"/>
          <w:szCs w:val="20"/>
          <w:color w:val="auto"/>
        </w:rPr>
      </w:pPr>
    </w:p>
    <w:p>
      <w:pPr>
        <w:ind w:left="660" w:firstLine="644"/>
        <w:spacing w:after="0" w:line="283" w:lineRule="auto"/>
        <w:tabs>
          <w:tab w:leader="none" w:pos="177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Legal Defeasance, the Issuer shall have delivered to the Trustee an Opinion of Counsel from counsel in the United States confirming that:</w:t>
      </w:r>
    </w:p>
    <w:p>
      <w:pPr>
        <w:spacing w:after="0" w:line="159" w:lineRule="exact"/>
        <w:rPr>
          <w:rFonts w:ascii="Times New Roman" w:cs="Times New Roman" w:eastAsia="Times New Roman" w:hAnsi="Times New Roman"/>
          <w:sz w:val="20"/>
          <w:szCs w:val="20"/>
          <w:color w:val="auto"/>
        </w:rPr>
      </w:pPr>
    </w:p>
    <w:p>
      <w:pPr>
        <w:ind w:left="2500" w:hanging="548"/>
        <w:spacing w:after="0"/>
        <w:tabs>
          <w:tab w:leader="none" w:pos="250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has received from, or there has been published by, the United States Internal Revenue Service a</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ruling, or</w:t>
      </w:r>
    </w:p>
    <w:p>
      <w:pPr>
        <w:spacing w:after="0" w:line="207"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Issue Date, there has been a change in the applicable U.S. federal income tax law,</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either case to the effect that, and based thereon such Opinion of Counsel shall confirm that, the beneficial owners of the outstanding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86" w:lineRule="exact"/>
        <w:rPr>
          <w:sz w:val="20"/>
          <w:szCs w:val="20"/>
          <w:color w:val="auto"/>
        </w:rPr>
      </w:pPr>
    </w:p>
    <w:p>
      <w:pPr>
        <w:jc w:val="both"/>
        <w:ind w:left="660" w:firstLine="644"/>
        <w:spacing w:after="0" w:line="271" w:lineRule="auto"/>
        <w:tabs>
          <w:tab w:leader="none" w:pos="1758"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Covenant Defeasance, the Issuer shall have delivered to the Trustee an Opinion of Counsel from counsel in the United States confirming that the beneficial owners of the outstanding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74" w:lineRule="exact"/>
        <w:rPr>
          <w:rFonts w:ascii="Times New Roman" w:cs="Times New Roman" w:eastAsia="Times New Roman" w:hAnsi="Times New Roman"/>
          <w:sz w:val="19"/>
          <w:szCs w:val="19"/>
          <w:color w:val="auto"/>
        </w:rPr>
      </w:pPr>
    </w:p>
    <w:p>
      <w:pPr>
        <w:ind w:left="660" w:firstLine="644"/>
        <w:spacing w:after="0" w:line="283" w:lineRule="auto"/>
        <w:tabs>
          <w:tab w:leader="none" w:pos="178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have occurred and be continuing on the date of such deposit (other than a Default resulting from the borrowing of funds to be applied to such deposit and the grant of any Lien securing such borrowings),</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69"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 Defeasance or Covenant Defeasance shall not result in a breach or violation of, or constitute a default under any other material agreement or instrument (other than this Indenture and the agreements governing any other Indebtedness being defeased, discharged or replaced) to which the Issuer or any of its Subsidiaries is a party or by which the Issuer or any of its Subsidiaries is bound,</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41"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shall have delivered to the Trustee an Officers’ Certificate stating that the deposit was not made by it with the intent of preferring the Holders over any other of its creditors or with the intent of defeating, hindering, delaying or defrauding any other of its creditors or others, and</w:t>
      </w:r>
    </w:p>
    <w:p>
      <w:pPr>
        <w:spacing w:after="0" w:line="167" w:lineRule="exact"/>
        <w:rPr>
          <w:rFonts w:ascii="Times New Roman" w:cs="Times New Roman" w:eastAsia="Times New Roman" w:hAnsi="Times New Roman"/>
          <w:sz w:val="20"/>
          <w:szCs w:val="20"/>
          <w:color w:val="auto"/>
        </w:rPr>
      </w:pPr>
    </w:p>
    <w:p>
      <w:pPr>
        <w:ind w:left="660" w:firstLine="644"/>
        <w:spacing w:after="0" w:line="283" w:lineRule="auto"/>
        <w:tabs>
          <w:tab w:leader="none" w:pos="178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Issuer shall have delivered to the Trustee an Officers’ Certificate and an Opinion of Counsel to the effect that the conditions precedent provided for in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have been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13" w:right="339" w:bottom="1440" w:gutter="0" w:footer="0" w:header="0"/>
        </w:sectPr>
      </w:pPr>
    </w:p>
    <w:bookmarkStart w:id="96" w:name="page97"/>
    <w:bookmarkEnd w:id="96"/>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 xml:space="preserve">Section 8.5. </w:t>
      </w:r>
      <w:r>
        <w:rPr>
          <w:rFonts w:ascii="Times New Roman" w:cs="Times New Roman" w:eastAsia="Times New Roman" w:hAnsi="Times New Roman"/>
          <w:sz w:val="19"/>
          <w:szCs w:val="19"/>
          <w:u w:val="single" w:color="auto"/>
          <w:color w:val="auto"/>
        </w:rPr>
        <w:t>Deposited Money and U.S. Government Obligations to Be Held in Trust; Other Miscellaneous Provisions</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8.6</w:t>
      </w:r>
      <w:r>
        <w:rPr>
          <w:rFonts w:ascii="Times New Roman" w:cs="Times New Roman" w:eastAsia="Times New Roman" w:hAnsi="Times New Roman"/>
          <w:sz w:val="19"/>
          <w:szCs w:val="19"/>
          <w:color w:val="auto"/>
        </w:rPr>
        <w:t xml:space="preserve">, all U.S. dollar and U.S. Government Obligations (including the proceeds thereof) deposited with the Trustee (or other qualifying trustee, collectively for purposes of this </w:t>
      </w:r>
      <w:r>
        <w:rPr>
          <w:rFonts w:ascii="Times New Roman" w:cs="Times New Roman" w:eastAsia="Times New Roman" w:hAnsi="Times New Roman"/>
          <w:sz w:val="19"/>
          <w:szCs w:val="19"/>
          <w:u w:val="single" w:color="auto"/>
          <w:color w:val="auto"/>
        </w:rPr>
        <w:t>Section 8.5</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i w:val="1"/>
          <w:iCs w:val="1"/>
          <w:color w:val="auto"/>
        </w:rPr>
        <w:t>Deposit Trustee</w:t>
      </w:r>
      <w:r>
        <w:rPr>
          <w:rFonts w:ascii="Times New Roman" w:cs="Times New Roman" w:eastAsia="Times New Roman" w:hAnsi="Times New Roman"/>
          <w:sz w:val="19"/>
          <w:szCs w:val="19"/>
          <w:color w:val="auto"/>
        </w:rPr>
        <w:t xml:space="preserve">”) pursuant to </w:t>
      </w:r>
      <w:r>
        <w:rPr>
          <w:rFonts w:ascii="Times New Roman" w:cs="Times New Roman" w:eastAsia="Times New Roman" w:hAnsi="Times New Roman"/>
          <w:sz w:val="19"/>
          <w:szCs w:val="19"/>
          <w:u w:val="single" w:color="auto"/>
          <w:color w:val="auto"/>
        </w:rPr>
        <w:t>Section 8.4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8.8</w:t>
      </w:r>
      <w:r>
        <w:rPr>
          <w:rFonts w:ascii="Times New Roman" w:cs="Times New Roman" w:eastAsia="Times New Roman" w:hAnsi="Times New Roman"/>
          <w:sz w:val="19"/>
          <w:szCs w:val="19"/>
          <w:color w:val="auto"/>
        </w:rPr>
        <w:t xml:space="preserve"> in respect of the outstanding Notes shall be held in trust, shall not be invested, and shall be applied by the Deposit Trustee in accordance with the provisions of such Notes and this Indenture to the payment, either directly or through any Paying Agent (including the Issuer or any Subsidiary acting as Paying Agent) as the Deposit Trustee may determine, to the Holders of such Notes of all sums due and to become due thereon in respect of principal, premium, if any, and interest, if any, but such money need not be segregated from other funds except to the extent required by law.</w:t>
      </w: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The Issuer shall pay and indemnify the Deposit Trustee against any tax, fee or other charge imposed on or assessed against the cash or non-callable U.S. Government Obligations deposited pursuant to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or the principal and interest received in respect thereof other than any such tax, fee or other charge which by law is for the account of the Holders of the outstanding Notes.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Anything in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to the contrary notwithstanding, the Deposit Trustee shall deliver or pay to the Issuer from time to time upon the written request of the Issuer and be relieved of all liability with respect to any U.S. dollars or non-callable U.S. Government Obligations held by it as provided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which, in the opinion of a nationally recognized firm of independent public accountants expressed in a written certification thereof delivered to the Deposit Trustee (which may be the opinion delivered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8.4(1)</w:t>
      </w:r>
      <w:r>
        <w:rPr>
          <w:rFonts w:ascii="Times New Roman" w:cs="Times New Roman" w:eastAsia="Times New Roman" w:hAnsi="Times New Roman"/>
          <w:sz w:val="20"/>
          <w:szCs w:val="20"/>
          <w:color w:val="auto"/>
        </w:rPr>
        <w:t>), are in excess of the amount thereof that would then be required to be deposited to effect an equivalent Legal Defeasance or Covenant Defeasance or satisfaction and discharge, as the case may be.</w:t>
      </w:r>
    </w:p>
    <w:p>
      <w:pPr>
        <w:spacing w:after="0" w:line="19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Section 8.6. </w:t>
      </w:r>
      <w:r>
        <w:rPr>
          <w:rFonts w:ascii="Times New Roman" w:cs="Times New Roman" w:eastAsia="Times New Roman" w:hAnsi="Times New Roman"/>
          <w:sz w:val="20"/>
          <w:szCs w:val="20"/>
          <w:u w:val="single" w:color="auto"/>
          <w:color w:val="auto"/>
        </w:rPr>
        <w:t>Repayment to Issuer</w:t>
      </w:r>
      <w:r>
        <w:rPr>
          <w:rFonts w:ascii="Times New Roman" w:cs="Times New Roman" w:eastAsia="Times New Roman" w:hAnsi="Times New Roman"/>
          <w:sz w:val="20"/>
          <w:szCs w:val="20"/>
          <w:color w:val="auto"/>
        </w:rPr>
        <w:t xml:space="preserve">. Subject to any applicable abandoned property law, any money deposited with the Trustee or any Paying Agent, or then held by the Issuer, in trust for the payment of the principal of, premium, if any, or interest, if any, on any Note and remaining unclaimed for two years after such principal and premium, if any, or interest has become due and payable shall be paid to the Issuer on its written request or (if then held by the Issuer) shall be discharged from such trust; and the Holder of such Note shall thereafter, as an unsecured general creditor, look only to the Issuer for payment thereof; and all liability of the Trustee or such Paying Agent with respect to such trust money, and all liability of the Issuer as trustee thereof, shall thereupon cease;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Trustee or such Paying Agent, before being required to make any such repayment, may at the expense of the Issuer cause to be published once, in the New York Times and The Wall Street Journal (national edition), notice that such money remains unclaimed and that, after a date specified therein, which shall not be less than 30 days from the date of such notification or publication, any unclaimed balance of such money then remaining shall be repaid to the Issuer.</w:t>
      </w:r>
    </w:p>
    <w:p>
      <w:pPr>
        <w:spacing w:after="0" w:line="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Section 8.7. </w:t>
      </w:r>
      <w:r>
        <w:rPr>
          <w:rFonts w:ascii="Times New Roman" w:cs="Times New Roman" w:eastAsia="Times New Roman" w:hAnsi="Times New Roman"/>
          <w:sz w:val="20"/>
          <w:szCs w:val="20"/>
          <w:u w:val="single" w:color="auto"/>
          <w:color w:val="auto"/>
        </w:rPr>
        <w:t>Reinstatement</w:t>
      </w:r>
      <w:r>
        <w:rPr>
          <w:rFonts w:ascii="Times New Roman" w:cs="Times New Roman" w:eastAsia="Times New Roman" w:hAnsi="Times New Roman"/>
          <w:sz w:val="20"/>
          <w:szCs w:val="20"/>
          <w:color w:val="auto"/>
        </w:rPr>
        <w:t xml:space="preserve">. If the Trustee or Paying Agent is unable to apply any U.S. dollars or U.S. Government Obligations in accordance with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as the case may be, by reason of any order or judgment of any court or governmental authority enjoining, restraining or otherwise prohibiting such application, then the obligations of the Issuer and the Guarantors under this Indenture and the Notes shall be revived and reinstated as though no deposit had occurred pursuant to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until such time as the Trustee or Paying Agent is permitted to apply all such money in accordance with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8.8</w:t>
      </w:r>
      <w:r>
        <w:rPr>
          <w:rFonts w:ascii="Times New Roman" w:cs="Times New Roman" w:eastAsia="Times New Roman" w:hAnsi="Times New Roman"/>
          <w:sz w:val="20"/>
          <w:szCs w:val="20"/>
          <w:color w:val="auto"/>
        </w:rPr>
        <w:t xml:space="preserve">, as the case may be;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spacing w:after="0" w:line="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Section 8.8. </w:t>
      </w:r>
      <w:r>
        <w:rPr>
          <w:rFonts w:ascii="Times New Roman" w:cs="Times New Roman" w:eastAsia="Times New Roman" w:hAnsi="Times New Roman"/>
          <w:sz w:val="20"/>
          <w:szCs w:val="20"/>
          <w:u w:val="single" w:color="auto"/>
          <w:color w:val="auto"/>
        </w:rPr>
        <w:t>Discharge</w:t>
      </w:r>
      <w:r>
        <w:rPr>
          <w:rFonts w:ascii="Times New Roman" w:cs="Times New Roman" w:eastAsia="Times New Roman" w:hAnsi="Times New Roman"/>
          <w:sz w:val="20"/>
          <w:szCs w:val="20"/>
          <w:color w:val="auto"/>
        </w:rPr>
        <w:t>. This Indenture will be discharged and will cease to be of further effect (except as to rights, protections and immunities of the Trustee) as to all outstanding Notes when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13" w:right="339" w:bottom="1440" w:gutter="0" w:footer="0" w:header="0"/>
        </w:sectPr>
      </w:pPr>
    </w:p>
    <w:bookmarkStart w:id="97" w:name="page98"/>
    <w:bookmarkEnd w:id="97"/>
    <w:p>
      <w:pPr>
        <w:jc w:val="both"/>
        <w:ind w:left="660" w:firstLine="644"/>
        <w:spacing w:after="0" w:line="261" w:lineRule="auto"/>
        <w:tabs>
          <w:tab w:leader="none" w:pos="1855"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the Notes that have been authenticated and delivered (except lost, stolen or destroyed Notes which have been replaced or paid and Notes for whose payment money has been deposited in trust or segregated and held in trust by the Issuer and thereafter repaid to the Issuer or discharged from this trust), have been delivered to the Trustee for cancellation; or</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75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all Notes not delivered to the Trustee for cancellation otherwise (i) have become due and payable, (ii) will become due and payable, or may be called for redemption, within one year or (iii) have been called for redemption pursuant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and, in any case, the Issuer has irrevocably deposited or caused to be deposited with the Trustee as trust funds in trust solely for the benefit of the Holders, cash in U.S. dollars, U.S. Government Obligations or a combination thereof, in such amounts as will be sufficient without consideration of any reinvestment of interest (which in the case of a deposit of U.S. Government Obligations will be in the opinion of a nationally recognized investment bank, appraisal firm or firm of independent public accountants selected by the Issuer and delivered to the Trustee) to pay and discharge the entire Indebtedness (including all principal and accrued interest, if any) on the Notes not theretofore delivered to the Trustee for cancellation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redemption is made as provided under </w:t>
      </w:r>
      <w:r>
        <w:rPr>
          <w:rFonts w:ascii="Times New Roman" w:cs="Times New Roman" w:eastAsia="Times New Roman" w:hAnsi="Times New Roman"/>
          <w:sz w:val="20"/>
          <w:szCs w:val="20"/>
          <w:u w:val="single" w:color="auto"/>
          <w:color w:val="auto"/>
        </w:rPr>
        <w:t>Section 3.7(a)</w:t>
      </w:r>
      <w:r>
        <w:rPr>
          <w:rFonts w:ascii="Times New Roman" w:cs="Times New Roman" w:eastAsia="Times New Roman" w:hAnsi="Times New Roman"/>
          <w:sz w:val="20"/>
          <w:szCs w:val="20"/>
          <w:color w:val="auto"/>
        </w:rPr>
        <w:t>, (x) the amount of cash in U.S. dollars, non-callable Government Securities, or a combination thereof, that must be irrevocably deposited will be determined using an assumed Applicable Premium calculated as of the date of such deposit and (y) the depositor must irrevocably deposit or cause to be deposited additional money in trust on the redemption date as necessary to pay the Applicable Premium as determined by such date) (any such amount, the “</w:t>
      </w:r>
      <w:r>
        <w:rPr>
          <w:rFonts w:ascii="Times New Roman" w:cs="Times New Roman" w:eastAsia="Times New Roman" w:hAnsi="Times New Roman"/>
          <w:sz w:val="20"/>
          <w:szCs w:val="20"/>
          <w:i w:val="1"/>
          <w:iCs w:val="1"/>
          <w:color w:val="auto"/>
        </w:rPr>
        <w:t>Applicable Premium Deficit</w:t>
      </w:r>
      <w:r>
        <w:rPr>
          <w:rFonts w:ascii="Times New Roman" w:cs="Times New Roman" w:eastAsia="Times New Roman" w:hAnsi="Times New Roman"/>
          <w:sz w:val="20"/>
          <w:szCs w:val="20"/>
          <w:color w:val="auto"/>
        </w:rPr>
        <w:t xml:space="preserve">”) (it being understood that any satisfaction and discharge shall be subject to the condition subsequent that such Applicable Premium Deficit is in fact paid);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Trustee shall have no liability whatsoever in the event that such Applicable Premium Deficit is not in fact paid after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satisfaction and discharge of this Indenture and that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196"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has paid or caused to be paid all other sums payable by it under this Indenture; and</w:t>
      </w:r>
    </w:p>
    <w:p>
      <w:pPr>
        <w:spacing w:after="0" w:line="215" w:lineRule="exact"/>
        <w:rPr>
          <w:rFonts w:ascii="Times New Roman" w:cs="Times New Roman" w:eastAsia="Times New Roman" w:hAnsi="Times New Roman"/>
          <w:sz w:val="20"/>
          <w:szCs w:val="20"/>
          <w:color w:val="auto"/>
        </w:rPr>
      </w:pPr>
    </w:p>
    <w:p>
      <w:pPr>
        <w:ind w:left="660" w:firstLine="1292"/>
        <w:spacing w:after="0" w:line="283" w:lineRule="auto"/>
        <w:tabs>
          <w:tab w:leader="none" w:pos="252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Issuer has delivered irrevocable instructions to the Trustee under this Indenture to apply the deposited money toward the payment of the Notes at maturity or on the date of redemption, as the case may be.</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addition, the Issuer must deliver an Officers’ Certificate and an Opinion of Counsel to the Trustee stating that all conditions precedent to satisfaction and discharge of this Indenture have been complied with.</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After the Notes are no longer outstanding, the Issuer’s and the Guarantors’ obligations in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8.7</w:t>
      </w:r>
      <w:r>
        <w:rPr>
          <w:rFonts w:ascii="Times New Roman" w:cs="Times New Roman" w:eastAsia="Times New Roman" w:hAnsi="Times New Roman"/>
          <w:sz w:val="20"/>
          <w:szCs w:val="20"/>
          <w:color w:val="auto"/>
        </w:rPr>
        <w:t xml:space="preserve"> shall survive any discharge pursuant to this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After such delivery or irrevocable deposit and receipt of the Officers’ Certificate and Opinion of Counsel, the Trustee, upon written request, shall acknowledge in writing the discharge of the Issuer’s obligations under the Notes and this Indenture except for those surviving obligations specified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13"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SUPPLEMENT AND WAIVER</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9.1. </w:t>
      </w:r>
      <w:r>
        <w:rPr>
          <w:rFonts w:ascii="Times New Roman" w:cs="Times New Roman" w:eastAsia="Times New Roman" w:hAnsi="Times New Roman"/>
          <w:sz w:val="20"/>
          <w:szCs w:val="20"/>
          <w:u w:val="single" w:color="auto"/>
          <w:color w:val="auto"/>
        </w:rPr>
        <w:t>Without Consent of Holders of the Notes</w:t>
      </w:r>
      <w:r>
        <w:rPr>
          <w:rFonts w:ascii="Times New Roman" w:cs="Times New Roman" w:eastAsia="Times New Roman" w:hAnsi="Times New Roman"/>
          <w:sz w:val="20"/>
          <w:szCs w:val="20"/>
          <w:color w:val="auto"/>
        </w:rPr>
        <w:t xml:space="preserve">. Notwithstanding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without the consent of any Holders, the Issuer, the Guarantors and the Trustee, at any time and from time to time, may amend or supplement this Indenture, the Guarantees or the Notes issued hereunder for any of the following purposes:</w:t>
      </w:r>
    </w:p>
    <w:p>
      <w:pPr>
        <w:spacing w:after="0" w:line="1" w:lineRule="exact"/>
        <w:rPr>
          <w:sz w:val="20"/>
          <w:szCs w:val="20"/>
          <w:color w:val="auto"/>
        </w:rPr>
      </w:pPr>
    </w:p>
    <w:p>
      <w:pPr>
        <w:ind w:left="1740" w:hanging="436"/>
        <w:spacing w:after="0"/>
        <w:tabs>
          <w:tab w:leader="none" w:pos="174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cure any ambiguity, defect or inconsistency;</w:t>
      </w:r>
    </w:p>
    <w:p>
      <w:pPr>
        <w:spacing w:after="0" w:line="209" w:lineRule="exact"/>
        <w:rPr>
          <w:rFonts w:ascii="Times New Roman" w:cs="Times New Roman" w:eastAsia="Times New Roman" w:hAnsi="Times New Roman"/>
          <w:sz w:val="20"/>
          <w:szCs w:val="20"/>
          <w:color w:val="auto"/>
        </w:rPr>
      </w:pPr>
    </w:p>
    <w:p>
      <w:pPr>
        <w:ind w:left="660" w:firstLine="644"/>
        <w:spacing w:after="0" w:line="273" w:lineRule="auto"/>
        <w:tabs>
          <w:tab w:leader="none" w:pos="183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uncertificated Notes in addition to or in place of certificated Notes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Notes are in registered form within the meaning of Section 163(f) of the Code);</w:t>
      </w:r>
    </w:p>
    <w:p>
      <w:pPr>
        <w:spacing w:after="0" w:line="16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49"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provide for the assumption of the Issuer’s or a Guarantor’s obligations to the Holders in the case of a merger, consolidation or sale of all or substantially all of the Issuer’s or such Guarantor’s assets, or sale, lease, transfer, conveyance or other disposition or assignment in accordance with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793"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add any Guarantee or to effect the release of any Guarantor from any of its obligations under its Guarantee or the provisions of this Indenture (to the extent in accordance with this Indenture);</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4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any change that would provide any additional rights or benefits to the Holders or does not materially adversely affect the rights of any Holder, including to comply with requirements of the SEC or DTC in order to maintain the transferability of the notes pursuant to Rule 144A under the Securities Act or Regulation S under the Securities Act;</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74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secure the Notes or any Guarantees or any other obligation under this Indenture or effect the release of any collateral in respect thereof (to the extent in accordance with the provisions of this Indenture);</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evidence and provide for the acceptance of appointment by a successor Trustee;</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3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conform the text of this Indenture or the Notes to any provision of the “Description of Notes” contained in the Offering Memorandum, to the extent that such provision in the “Description of Notes” was intended to be a substantially verbatim recitation of a provision of this Indenture, the Guarantees or the Notes, as evidenced by an Officers’ Certificate of the Issuer;</w:t>
      </w:r>
    </w:p>
    <w:p>
      <w:pPr>
        <w:spacing w:after="0" w:line="18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issuance of Additional Notes in accordance with this Indenture;</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871"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Issuer’s election to comply with the requirements of the SEC in order to effect or maintain the qualification of this Indenture under the Trust Indenture Act;</w:t>
      </w:r>
    </w:p>
    <w:p>
      <w:pPr>
        <w:spacing w:after="0" w:line="172" w:lineRule="exact"/>
        <w:rPr>
          <w:rFonts w:ascii="Times New Roman" w:cs="Times New Roman" w:eastAsia="Times New Roman" w:hAnsi="Times New Roman"/>
          <w:sz w:val="20"/>
          <w:szCs w:val="20"/>
          <w:color w:val="auto"/>
        </w:rPr>
      </w:pPr>
    </w:p>
    <w:p>
      <w:pPr>
        <w:ind w:left="660" w:firstLine="644"/>
        <w:spacing w:after="0" w:line="269" w:lineRule="auto"/>
        <w:tabs>
          <w:tab w:leader="none" w:pos="182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amend the provisions of this Indenture relating to the transfer and legending of Notes as permitted by this Indenture, including to facilitate the issuance and administration of the Notes; or</w:t>
      </w:r>
    </w:p>
    <w:p>
      <w:pPr>
        <w:spacing w:after="0" w:line="172"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867"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 covenants of the Issuer and its Restricted Subsidiaries or Events of Default for the benefit of Holders or to make changes that would provide additional rights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09" w:right="3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20"/>
          <w:szCs w:val="20"/>
          <w:color w:val="auto"/>
        </w:rPr>
        <w:t>the Holders under this Indenture of any Holder or to surrender any right or power conferred upon the Issuer or any Guarantor.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After an amendment under this Indenture becomes effective, the Issuer shall deliver to Holders of the Notes a notice briefly describing such amendment. However, the failure to give such notice to all Holders, or any defect therein, will not impair or affect the validity of the amendment.</w:t>
      </w:r>
    </w:p>
    <w:p>
      <w:pPr>
        <w:spacing w:after="0" w:line="1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9.2. </w:t>
      </w:r>
      <w:r>
        <w:rPr>
          <w:rFonts w:ascii="Times New Roman" w:cs="Times New Roman" w:eastAsia="Times New Roman" w:hAnsi="Times New Roman"/>
          <w:sz w:val="20"/>
          <w:szCs w:val="20"/>
          <w:u w:val="single" w:color="auto"/>
          <w:color w:val="auto"/>
        </w:rPr>
        <w:t>With Consent of Holders of Notes</w:t>
      </w:r>
      <w:r>
        <w:rPr>
          <w:rFonts w:ascii="Times New Roman" w:cs="Times New Roman" w:eastAsia="Times New Roman" w:hAnsi="Times New Roman"/>
          <w:sz w:val="20"/>
          <w:szCs w:val="20"/>
          <w:color w:val="auto"/>
        </w:rPr>
        <w:t xml:space="preserve">. With the consent of the Holders of not less than a majority in aggregate principal amount of the Notes then outstanding (including, without limitation, consents obtained in connection with a purchase of, or tender offer or exchange offer for, the Notes), the Issuer, the Guarantors and the Trustee may amend or supplement this Indenture, the Notes or any Guarantees or, subject to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waive any existing Default or Event of Default or compliance with any provision of this Indenture or the Notes;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such amendment, supplement or waiver shall, without the consent of the Holder of each outstanding Note affected thereby (including, without limitation, consents obtained in connection with a purchase of, or tender offer or exchange offer for, the Notes):</w:t>
      </w:r>
    </w:p>
    <w:p>
      <w:pPr>
        <w:spacing w:after="0" w:line="6" w:lineRule="exact"/>
        <w:rPr>
          <w:sz w:val="20"/>
          <w:szCs w:val="20"/>
          <w:color w:val="auto"/>
        </w:rPr>
      </w:pPr>
    </w:p>
    <w:p>
      <w:pPr>
        <w:ind w:left="1740" w:hanging="436"/>
        <w:spacing w:after="0"/>
        <w:tabs>
          <w:tab w:leader="none" w:pos="17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or change the maturity of, the principal (or Additional Amounts, if any) of any Note;</w:t>
      </w:r>
    </w:p>
    <w:p>
      <w:pPr>
        <w:spacing w:after="0" w:line="20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rate of or extend the time for payment of interest (or Additional Amounts, if any) on any Note;</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35"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any premium payable upon redemption of the Notes or change the date on which any Notes are subject to redemption (other than the notice provisions) or waive any payment with respect to the redemption of the Notes;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solely for the avoidance of doubt, and without any other implication, any purchase or repurchase of Notes (including pursuant to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shall not be deemed a redemption of the Notes;</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Note payable in money or currency other than that stated in the Notes;</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percentage of Holders necessary to consent to an amendment or waiver to this Indenture or the Notes;</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27"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 default in the payment of principal of or premium or interest, if any, on any Notes (except a rescission of acceleration of the Notes by the Holders thereof as provided in this Indenture and a waiver of the payment default that resulted from such acceleration);</w:t>
      </w:r>
    </w:p>
    <w:p>
      <w:pPr>
        <w:spacing w:after="0" w:line="181" w:lineRule="exact"/>
        <w:rPr>
          <w:rFonts w:ascii="Times New Roman" w:cs="Times New Roman" w:eastAsia="Times New Roman" w:hAnsi="Times New Roman"/>
          <w:sz w:val="20"/>
          <w:szCs w:val="20"/>
          <w:color w:val="auto"/>
        </w:rPr>
      </w:pPr>
    </w:p>
    <w:p>
      <w:pPr>
        <w:ind w:left="660" w:firstLine="644"/>
        <w:spacing w:after="0" w:line="283" w:lineRule="auto"/>
        <w:tabs>
          <w:tab w:leader="none" w:pos="1771"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modify the contractual rights of Holders to receive payments of principal of or interest or Additional Amounts, if any, on the Notes on or after the due date therefor or to institute suit for the enforcement of any payment on the Notes;</w:t>
      </w:r>
    </w:p>
    <w:p>
      <w:pPr>
        <w:spacing w:after="0" w:line="146" w:lineRule="exact"/>
        <w:rPr>
          <w:rFonts w:ascii="Times New Roman" w:cs="Times New Roman" w:eastAsia="Times New Roman" w:hAnsi="Times New Roman"/>
          <w:sz w:val="20"/>
          <w:szCs w:val="20"/>
          <w:color w:val="auto"/>
        </w:rPr>
      </w:pPr>
    </w:p>
    <w:p>
      <w:pPr>
        <w:ind w:left="1820" w:hanging="516"/>
        <w:spacing w:after="0"/>
        <w:tabs>
          <w:tab w:leader="none" w:pos="182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any Guarantor from any of its obligations under its Guarantee or this Indenture, except as permitted by this</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Indenture; or</w:t>
      </w:r>
    </w:p>
    <w:p>
      <w:pPr>
        <w:spacing w:after="0" w:line="20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these amendment and waiver provisions.</w:t>
      </w:r>
    </w:p>
    <w:p>
      <w:pPr>
        <w:spacing w:after="0" w:line="229"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It shall not be necessary for the consent of the Holders under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to approve the particular form of any proposed amendment or waiver, but it shall be sufficient if such consent approves the substance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13" w:right="339" w:bottom="1440" w:gutter="0" w:footer="0" w:header="0"/>
        </w:sectPr>
      </w:pPr>
    </w:p>
    <w:bookmarkStart w:id="100" w:name="page101"/>
    <w:bookmarkEnd w:id="100"/>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9.3. </w:t>
      </w:r>
      <w:r>
        <w:rPr>
          <w:rFonts w:ascii="Times New Roman" w:cs="Times New Roman" w:eastAsia="Times New Roman" w:hAnsi="Times New Roman"/>
          <w:sz w:val="20"/>
          <w:szCs w:val="20"/>
          <w:u w:val="single" w:color="auto"/>
          <w:color w:val="auto"/>
        </w:rPr>
        <w:t>Revocation and Effect of Consents</w:t>
      </w:r>
      <w:r>
        <w:rPr>
          <w:rFonts w:ascii="Times New Roman" w:cs="Times New Roman" w:eastAsia="Times New Roman" w:hAnsi="Times New Roman"/>
          <w:sz w:val="20"/>
          <w:szCs w:val="20"/>
          <w:color w:val="auto"/>
        </w:rPr>
        <w:t>. Until an amendment, supplement or waiver becomes effective, a consent to it by a Holder of a Note is a continuing consent by the Holder and every subsequent Holder of that Note or portion of the Note that evidences the same debt as the consenting Holder’s Note, even if notation of the consent is not made on the Note. However, any such Holder or subsequent Holder may revoke the consent as to its Note if the Trustee receives written notice of revocation before the date the waiver, supplement or amendment becomes effective. When an amendment, supplement or waiver becomes effective in accordance with its terms, it thereafter binds every Holder.</w:t>
      </w:r>
    </w:p>
    <w:p>
      <w:pPr>
        <w:spacing w:after="0" w:line="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Issuer may, but shall not be obligated to, fix a record date for determining which Holders consent to such amendment, supplement or waiver.</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9.4. </w:t>
      </w:r>
      <w:r>
        <w:rPr>
          <w:rFonts w:ascii="Times New Roman" w:cs="Times New Roman" w:eastAsia="Times New Roman" w:hAnsi="Times New Roman"/>
          <w:sz w:val="20"/>
          <w:szCs w:val="20"/>
          <w:u w:val="single" w:color="auto"/>
          <w:color w:val="auto"/>
        </w:rPr>
        <w:t>Notation on or Exchange of Notes</w:t>
      </w:r>
      <w:r>
        <w:rPr>
          <w:rFonts w:ascii="Times New Roman" w:cs="Times New Roman" w:eastAsia="Times New Roman" w:hAnsi="Times New Roman"/>
          <w:sz w:val="20"/>
          <w:szCs w:val="20"/>
          <w:color w:val="auto"/>
        </w:rPr>
        <w:t>. The Trustee may place an appropriate notation about an amendment, supplement or waiver on any Note thereafter authenticated. The Issuer in exchange for all Notes may issue and the Trustee shall authenticate new Notes that reflect the amendment, supplement or waiver.</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Failure to make the appropriate notation or issue a new Note shall not affect the validity and effect of such amendment, supplement or waiver.</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9.5. </w:t>
      </w:r>
      <w:r>
        <w:rPr>
          <w:rFonts w:ascii="Times New Roman" w:cs="Times New Roman" w:eastAsia="Times New Roman" w:hAnsi="Times New Roman"/>
          <w:sz w:val="20"/>
          <w:szCs w:val="20"/>
          <w:u w:val="single" w:color="auto"/>
          <w:color w:val="auto"/>
        </w:rPr>
        <w:t>Trustee to Sign Amendments, Etc</w:t>
      </w:r>
      <w:r>
        <w:rPr>
          <w:rFonts w:ascii="Times New Roman" w:cs="Times New Roman" w:eastAsia="Times New Roman" w:hAnsi="Times New Roman"/>
          <w:sz w:val="20"/>
          <w:szCs w:val="20"/>
          <w:color w:val="auto"/>
        </w:rPr>
        <w:t xml:space="preserve">. The Trustee shall sign any amended or supplemental indenture authorized pursuant to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if the amendment or supplement does not adversely affect the rights, duties, liabilities or immunities of the Trustee. In signing or refusing to sign any amendment or supplemental indenture, the Trustee shall be provided with and (subject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shall be fully protected in relying upon an Officers’ Certificate and an Opinion of Counsel stating that the execution of such amendment or supplemental indenture is authorized or permitted by this Indenture and that all conditions precedent thereto have been met or waived.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GUARANTEES</w:t>
      </w:r>
    </w:p>
    <w:p>
      <w:pPr>
        <w:spacing w:after="0" w:line="207"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u w:val="single" w:color="auto"/>
          <w:color w:val="auto"/>
        </w:rPr>
        <w:t>Guarantees</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firstLine="656"/>
        <w:spacing w:after="0" w:line="249" w:lineRule="auto"/>
        <w:tabs>
          <w:tab w:leader="none" w:pos="118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hereby jointly and severally, fully and unconditionally guarantees the Notes and obligations of the Issuer hereunder and thereunder, and guarantees to each Holder of a Note authenticated and delivered by the Trustee and to the Trustee, that: (i) the principal of and premium, if any, and interest, if any, on the Notes shall be paid in full when due, whether at Stated Maturity, by acceleration, call for redemption or otherwise, together with interest on the overdue principal, if any, and interest on any overdue interest, if any, to the extent lawful, and all other Obligations of the Issuer to the Holders or the Trustee or any Agent under this Indenture or the Notes shall be paid in full or performed, all in accordance with the terms hereof and thereof; and (ii) in case of any extension of time of payment or renewal of any Notes or of any such other obligations, the same shall be paid in full when due or performed in accordance with the terms of the extension or renewal, whether at Stated Maturity, by acceleration or otherwise. Each of the Guarantees shall be a guarantee of payment and not of collection.</w:t>
      </w:r>
    </w:p>
    <w:p>
      <w:pPr>
        <w:spacing w:after="0" w:line="193" w:lineRule="exact"/>
        <w:rPr>
          <w:rFonts w:ascii="Times New Roman" w:cs="Times New Roman" w:eastAsia="Times New Roman" w:hAnsi="Times New Roman"/>
          <w:sz w:val="20"/>
          <w:szCs w:val="20"/>
          <w:color w:val="auto"/>
        </w:rPr>
      </w:pPr>
    </w:p>
    <w:p>
      <w:pPr>
        <w:jc w:val="both"/>
        <w:ind w:firstLine="656"/>
        <w:spacing w:after="0" w:line="258" w:lineRule="auto"/>
        <w:tabs>
          <w:tab w:leader="none" w:pos="1149"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hereby agrees that its obligations hereunder shall be unconditional, irrespective of the validity, regularity or enforceability of the Notes or this Indenture, the absence of any action to enforce the same, any waiver or consent by any Holder with respect to any provisions hereof or thereof, the recovery of any judgment against the Issuer, any action to enforce the same or any other circumstance which might otherwise constitute a legal or equitable discharge or defense of a Guarantor.</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96"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hereby waives the benefits of diligence, presentment, demand for payment, filing of claims with a court in the event of insolvency or bankruptcy of the Issuer, any right to require a proceeding first against the Issuer or any other Person, protest, notice and all demands whatsoever and covenants that the Guarantee of such Guarantor shall not be discharged as to any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13" w:right="339" w:bottom="1440" w:gutter="0" w:footer="0" w:header="0"/>
        </w:sectPr>
      </w:pPr>
    </w:p>
    <w:bookmarkStart w:id="101" w:name="page102"/>
    <w:bookmarkEnd w:id="101"/>
    <w:p>
      <w:pPr>
        <w:jc w:val="both"/>
        <w:spacing w:after="0" w:line="250" w:lineRule="auto"/>
        <w:rPr>
          <w:sz w:val="20"/>
          <w:szCs w:val="20"/>
          <w:color w:val="auto"/>
        </w:rPr>
      </w:pPr>
      <w:r>
        <w:rPr>
          <w:rFonts w:ascii="Times New Roman" w:cs="Times New Roman" w:eastAsia="Times New Roman" w:hAnsi="Times New Roman"/>
          <w:sz w:val="20"/>
          <w:szCs w:val="20"/>
          <w:color w:val="auto"/>
        </w:rPr>
        <w:t>or this Indenture except by complete performance of the obligations contained in such Note and this Indenture and such Guarantee. Each of the Guarantors hereby agrees that, in the event of a Default in payment of principal or premium, if any, or interest on any Note, whether at its Stated Maturity, by acceleration, call for redemption, purchase or otherwise, legal proceedings may be instituted by the Trustee on behalf of, or by, the Holder of such Note, subject to the terms and conditions set forth in this Indenture, directly against each of the Guarantors to enforce each such Guarantor’s Guarantee without first proceeding against the Issuer or any other Guarantor. Each Guarantor agrees that if, after the occurrence and during the continuance of an Event of Default, the Trustee or any of the Holders are prevented by applicable law from exercising their respective rights to accelerate the maturity of the Notes, to collect interest on the Notes, or to enforce or exercise any other right or remedy with respect to the Notes, such Guarantor shall pay to the Trustee for the account of the Holders, upon demand therefor, the amount that would otherwise have been due and payable had such rights and remedies been permitted to be exercised by the Trustee or any of the Holders and any other amounts due and owing to the Trustee under this Indenture.</w:t>
      </w:r>
    </w:p>
    <w:p>
      <w:pPr>
        <w:spacing w:after="0" w:line="196" w:lineRule="exact"/>
        <w:rPr>
          <w:sz w:val="20"/>
          <w:szCs w:val="20"/>
          <w:color w:val="auto"/>
        </w:rPr>
      </w:pPr>
    </w:p>
    <w:p>
      <w:pPr>
        <w:jc w:val="both"/>
        <w:ind w:firstLine="656"/>
        <w:spacing w:after="0" w:line="253" w:lineRule="auto"/>
        <w:tabs>
          <w:tab w:leader="none" w:pos="1135"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Holder or the Trustee is required by any court or otherwise to return to the Issuer or any Guarantor, or any custodian, trustee, liquidator or other similar official acting in relation to the Issuer or any Guarantor, any amount paid by any of them to the Trustee or such Holder, the Guarantee of each of the Guarantors, to the extent theretofore discharged, shall be reinstated in full force and effect. This </w:t>
      </w:r>
      <w:r>
        <w:rPr>
          <w:rFonts w:ascii="Times New Roman" w:cs="Times New Roman" w:eastAsia="Times New Roman" w:hAnsi="Times New Roman"/>
          <w:sz w:val="20"/>
          <w:szCs w:val="20"/>
          <w:u w:val="single" w:color="auto"/>
          <w:color w:val="auto"/>
        </w:rPr>
        <w:t>paragraph 10.1(d)</w:t>
      </w:r>
      <w:r>
        <w:rPr>
          <w:rFonts w:ascii="Times New Roman" w:cs="Times New Roman" w:eastAsia="Times New Roman" w:hAnsi="Times New Roman"/>
          <w:sz w:val="20"/>
          <w:szCs w:val="20"/>
          <w:color w:val="auto"/>
        </w:rPr>
        <w:t xml:space="preserve"> shall remain effective notwithstanding any contrary action which may be taken by the Trustee or any Holder in reliance upon such amount required to be returned. This </w:t>
      </w:r>
      <w:r>
        <w:rPr>
          <w:rFonts w:ascii="Times New Roman" w:cs="Times New Roman" w:eastAsia="Times New Roman" w:hAnsi="Times New Roman"/>
          <w:sz w:val="20"/>
          <w:szCs w:val="20"/>
          <w:u w:val="single" w:color="auto"/>
          <w:color w:val="auto"/>
        </w:rPr>
        <w:t>paragraph 10.1(d)</w:t>
      </w:r>
      <w:r>
        <w:rPr>
          <w:rFonts w:ascii="Times New Roman" w:cs="Times New Roman" w:eastAsia="Times New Roman" w:hAnsi="Times New Roman"/>
          <w:sz w:val="20"/>
          <w:szCs w:val="20"/>
          <w:color w:val="auto"/>
        </w:rPr>
        <w:t xml:space="preserve"> shall survive the termination of this Indenture.</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Guarantor further agrees that, as between each Guarantor, on the one hand, and the Holders and the Trustee, on the other hand, (x) the maturity of the obligations guaranteed hereby may be accelerated as provided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for the purposes of the Guarantee of such Guarantor, notwithstanding any stay, injunction or other prohibition preventing such acceleration in respect of the obligations guaranteed hereby, and (y) in the event of any acceleration of such obligations as provided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such obligations (whether or not due and payable) shall forthwith become due and payable by each Guarantor for the purpose of the Guarantee of such Guarantor.</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11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that makes a payment for distribution under its Guarantee is entitled upon payment in full of all guaranteed obligations under this Indenture to seek contribution from each other Guarantor in a pro rata amount of such payment based on the respective net assets of all the Guarantors at the time of such payment in accordance with GAAP.</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Execution and Delivery of Guarantee</w:t>
      </w:r>
      <w:r>
        <w:rPr>
          <w:rFonts w:ascii="Times New Roman" w:cs="Times New Roman" w:eastAsia="Times New Roman" w:hAnsi="Times New Roman"/>
          <w:sz w:val="20"/>
          <w:szCs w:val="20"/>
          <w:color w:val="auto"/>
        </w:rPr>
        <w:t xml:space="preserve">. To evidence its Guarantee set forth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each Guarantor agrees that this Indenture or a supplemental indenture in substantially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shall be executed on behalf of such Guarantor by an Officer of such Guarantor (or, if an officer is not available, by a board member or director) on behalf of such Guarantor by manual or facsimile signature. Each Guarantor hereby agrees that its Guarantee set forth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hereof shall remain in full force and effect notwithstanding the absence of the endorsement of any notation of such Guarantee on the Notes. In case the Officer, board member or director of such Guarantor whose signature is on this Indenture or supplemental indenture, as applicable, no longer holds office at the time the Trustee authenticates any Note, the Guarantee shall be valid nevertheless.</w:t>
      </w:r>
    </w:p>
    <w:p>
      <w:pPr>
        <w:spacing w:after="0" w:line="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delivery of any Note by the Trustee, after the authentication thereof hereunder, shall constitute due delivery of the Guarantee set forth in this Indenture on behalf of the Guarantors.</w:t>
      </w:r>
    </w:p>
    <w:p>
      <w:pPr>
        <w:spacing w:after="0" w:line="18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of any Guarantee shall be invalid, illegal or unenforceable, the validity, legality and enforceability of the remaining provisions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13" w:right="339" w:bottom="1440" w:gutter="0" w:footer="0" w:header="0"/>
        </w:sectPr>
      </w:pPr>
    </w:p>
    <w:bookmarkStart w:id="102" w:name="page103"/>
    <w:bookmarkEnd w:id="102"/>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Limitation of Guarantors’ Liability</w:t>
      </w:r>
      <w:r>
        <w:rPr>
          <w:rFonts w:ascii="Times New Roman" w:cs="Times New Roman" w:eastAsia="Times New Roman" w:hAnsi="Times New Roman"/>
          <w:sz w:val="20"/>
          <w:szCs w:val="20"/>
          <w:color w:val="auto"/>
        </w:rPr>
        <w:t>. Each Guarantor and by its acceptance hereof each Holder confirms that it is the intention of all such parties that the Guarantee of such Guarantor not constitute a fraudulent transfer or conveyance for purposes of the Bankruptcy Law, the Uniform Fraudulent Conveyance Act, the Uniform Fraudulent Transfer Act or any similar federal or state law or the provisions of its local law relating to fraudulent transfer or conveyance. To effectuate the foregoing intention, the Trustee, the Holders and Guarantors hereby irrevocably agree that the obligations of such Guarantor under its Guarantee (other than a company that is a direct or indirect parent of the Issuer) shall be limited to the maximum amount that will not, after giving effect to all other contingent and fixed liabilities of such Guarantor (including, without limitation, any guarantees under the RCF Credit Agreement) and after giving effect to any collections from, rights to receive contribution from or payments made by or on behalf of any other Guarantor in respect of the obligations of such other Guarantor under its Guarantee, result in the obligations of such Guarantor under its Guarantee constituting a fraudulent conveyance, fraudulent preference or fraudulent transfer or otherwise reviewable under applicable law.</w:t>
      </w:r>
    </w:p>
    <w:p>
      <w:pPr>
        <w:spacing w:after="0" w:line="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0"/>
          <w:szCs w:val="20"/>
          <w:color w:val="auto"/>
        </w:rPr>
        <w:t>Section 10.5.</w:t>
      </w:r>
      <w:r>
        <w:rPr>
          <w:sz w:val="20"/>
          <w:szCs w:val="20"/>
          <w:color w:val="auto"/>
        </w:rPr>
        <w:tab/>
      </w:r>
      <w:r>
        <w:rPr>
          <w:rFonts w:ascii="Times New Roman" w:cs="Times New Roman" w:eastAsia="Times New Roman" w:hAnsi="Times New Roman"/>
          <w:sz w:val="20"/>
          <w:szCs w:val="20"/>
          <w:u w:val="single" w:color="auto"/>
          <w:color w:val="auto"/>
        </w:rPr>
        <w:t>Releases</w:t>
      </w:r>
      <w:r>
        <w:rPr>
          <w:rFonts w:ascii="Times New Roman" w:cs="Times New Roman" w:eastAsia="Times New Roman" w:hAnsi="Times New Roman"/>
          <w:sz w:val="20"/>
          <w:szCs w:val="20"/>
          <w:color w:val="auto"/>
        </w:rPr>
        <w:t>. A Guarantor shall be automatically released of any Obligations under its Guarantee and this Indenture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w:t>
      </w:r>
    </w:p>
    <w:p>
      <w:pPr>
        <w:spacing w:after="0" w:line="6" w:lineRule="exact"/>
        <w:rPr>
          <w:sz w:val="20"/>
          <w:szCs w:val="20"/>
          <w:color w:val="auto"/>
        </w:rPr>
      </w:pPr>
    </w:p>
    <w:p>
      <w:pPr>
        <w:jc w:val="both"/>
        <w:ind w:firstLine="656"/>
        <w:spacing w:after="0" w:line="249" w:lineRule="auto"/>
        <w:tabs>
          <w:tab w:leader="none" w:pos="1078"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sale or other disposition of all or substantially all of the assets of such Guarantor (by merger, consolidation or otherwise) to a Person that is not (either before or after giving effect to such transaction) the Issuer or a Restricted Subsidiary, if the sale or other disposition does not violate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of this Indenture;</w:t>
      </w:r>
    </w:p>
    <w:p>
      <w:pPr>
        <w:spacing w:after="0" w:line="193" w:lineRule="exact"/>
        <w:rPr>
          <w:rFonts w:ascii="Times New Roman" w:cs="Times New Roman" w:eastAsia="Times New Roman" w:hAnsi="Times New Roman"/>
          <w:sz w:val="20"/>
          <w:szCs w:val="20"/>
          <w:color w:val="auto"/>
        </w:rPr>
      </w:pPr>
    </w:p>
    <w:p>
      <w:pPr>
        <w:ind w:right="20" w:firstLine="656"/>
        <w:spacing w:after="0" w:line="310" w:lineRule="auto"/>
        <w:tabs>
          <w:tab w:leader="none" w:pos="1093"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sale, exchange or transfer (by merger, consolidation or otherwise) of the Equity Interests of such Guarantor after which the applicable Guarantor is no longer a Restricted Subsidiary, which sale, exchange or transfer does not violate </w:t>
      </w:r>
      <w:r>
        <w:rPr>
          <w:rFonts w:ascii="Times New Roman" w:cs="Times New Roman" w:eastAsia="Times New Roman" w:hAnsi="Times New Roman"/>
          <w:sz w:val="19"/>
          <w:szCs w:val="19"/>
          <w:u w:val="single" w:color="auto"/>
          <w:color w:val="auto"/>
        </w:rPr>
        <w:t>Section 4.10</w:t>
      </w:r>
      <w:r>
        <w:rPr>
          <w:rFonts w:ascii="Times New Roman" w:cs="Times New Roman" w:eastAsia="Times New Roman" w:hAnsi="Times New Roman"/>
          <w:sz w:val="19"/>
          <w:szCs w:val="19"/>
          <w:color w:val="auto"/>
        </w:rPr>
        <w:t xml:space="preserve"> of this Indenture;</w:t>
      </w:r>
    </w:p>
    <w:p>
      <w:pPr>
        <w:spacing w:after="0" w:line="124" w:lineRule="exact"/>
        <w:rPr>
          <w:rFonts w:ascii="Times New Roman" w:cs="Times New Roman" w:eastAsia="Times New Roman" w:hAnsi="Times New Roman"/>
          <w:sz w:val="19"/>
          <w:szCs w:val="19"/>
          <w:color w:val="auto"/>
        </w:rPr>
      </w:pPr>
    </w:p>
    <w:p>
      <w:pPr>
        <w:ind w:left="1180" w:hanging="524"/>
        <w:spacing w:after="0"/>
        <w:tabs>
          <w:tab w:leader="none" w:pos="118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 Designation of such Guarantor by the Issuer as an Unrestricted Subsidiary in accordance with the terms of this</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Indenture;</w:t>
      </w:r>
    </w:p>
    <w:p>
      <w:pPr>
        <w:spacing w:after="0" w:line="200" w:lineRule="exact"/>
        <w:rPr>
          <w:rFonts w:ascii="Times New Roman" w:cs="Times New Roman" w:eastAsia="Times New Roman" w:hAnsi="Times New Roman"/>
          <w:sz w:val="20"/>
          <w:szCs w:val="20"/>
          <w:color w:val="auto"/>
        </w:rPr>
      </w:pPr>
    </w:p>
    <w:p>
      <w:pPr>
        <w:jc w:val="both"/>
        <w:ind w:firstLine="656"/>
        <w:spacing w:after="0" w:line="257" w:lineRule="auto"/>
        <w:tabs>
          <w:tab w:leader="none" w:pos="1107"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 the release or discharge of such Guarantor’s obligations under the RCF Credit Agreement other than a release or discharge as a result of payment in full thereon and termination of the commitments thereunder or (y) in the case of any Restricted Subsidiary that after the Issue Date is required to provide a Guarantee pursuant to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 the release or discharge of the guarantee by, or direct obligation of, such Guarantor with respect to the RCF Credit Agreement, Debt Facility or capital markets debt securities that resulted in the creation of such Guarantee;</w:t>
      </w:r>
    </w:p>
    <w:p>
      <w:pPr>
        <w:spacing w:after="0" w:line="172"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legal or covenant defeasance or satisfaction and discharge of this Indenture pursuant to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w:t>
      </w:r>
    </w:p>
    <w:p>
      <w:pPr>
        <w:spacing w:after="0" w:line="196"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dissolution of such Guarantor;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no Default has occurred that is continuing; or</w:t>
      </w:r>
    </w:p>
    <w:p>
      <w:pPr>
        <w:spacing w:after="0" w:line="233"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the delivery by the Issuer to the Trustee of the Officers’ Certificate on the Termination Date under </w:t>
      </w:r>
      <w:r>
        <w:rPr>
          <w:rFonts w:ascii="Times New Roman" w:cs="Times New Roman" w:eastAsia="Times New Roman" w:hAnsi="Times New Roman"/>
          <w:sz w:val="20"/>
          <w:szCs w:val="20"/>
          <w:u w:val="single" w:color="auto"/>
          <w:color w:val="auto"/>
        </w:rPr>
        <w:t>Section 4.17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Upon delivery to the Trustee of an Officers’ Certificate and an Opinion of Counsel to the effect that the conditions to release of a Guarantor’s Guarantee set forth above have been satisfied, the Trustee shall execute any documents reasonably requested by the Issuer to evidence such release.</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Any Guarantor not released from its obligations under its Guarantee shall remain liable for the full amount of principal of and interest on the Notes and for the other obligations of any Guarantor under this Indenture as provided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Benefits Acknowledged</w:t>
      </w:r>
      <w:r>
        <w:rPr>
          <w:rFonts w:ascii="Times New Roman" w:cs="Times New Roman" w:eastAsia="Times New Roman" w:hAnsi="Times New Roman"/>
          <w:sz w:val="20"/>
          <w:szCs w:val="20"/>
          <w:color w:val="auto"/>
        </w:rPr>
        <w:t>. Each Guarantor acknowledges that it will receive direct and indirect benefits from the financing arrangements contemplated by this Indenture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1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color w:val="auto"/>
        </w:rPr>
        <w:t>its guarantee and waivers pursuant to its Guarantee are knowingly made in contemplation of such benefits.</w:t>
      </w:r>
    </w:p>
    <w:p>
      <w:pPr>
        <w:spacing w:after="0" w:line="28"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color w:val="auto"/>
        </w:rPr>
        <w:t>Section 10.7.</w:t>
      </w:r>
      <w:r>
        <w:rPr>
          <w:sz w:val="20"/>
          <w:szCs w:val="20"/>
          <w:color w:val="auto"/>
        </w:rPr>
        <w:tab/>
      </w:r>
      <w:r>
        <w:rPr>
          <w:rFonts w:ascii="Times New Roman" w:cs="Times New Roman" w:eastAsia="Times New Roman" w:hAnsi="Times New Roman"/>
          <w:sz w:val="19"/>
          <w:szCs w:val="19"/>
          <w:u w:val="single" w:color="auto"/>
          <w:color w:val="auto"/>
        </w:rPr>
        <w:t>Foreign Limitations</w:t>
      </w:r>
      <w:r>
        <w:rPr>
          <w:rFonts w:ascii="Times New Roman" w:cs="Times New Roman" w:eastAsia="Times New Roman" w:hAnsi="Times New Roman"/>
          <w:sz w:val="19"/>
          <w:szCs w:val="19"/>
          <w:color w:val="auto"/>
        </w:rPr>
        <w:t>.</w:t>
      </w:r>
    </w:p>
    <w:p>
      <w:pPr>
        <w:spacing w:after="0" w:line="6" w:lineRule="exact"/>
        <w:rPr>
          <w:sz w:val="20"/>
          <w:szCs w:val="20"/>
          <w:color w:val="auto"/>
        </w:rPr>
      </w:pPr>
    </w:p>
    <w:p>
      <w:pPr>
        <w:ind w:left="1080" w:hanging="424"/>
        <w:spacing w:after="0"/>
        <w:tabs>
          <w:tab w:leader="none" w:pos="108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Luxembourg</w:t>
      </w:r>
      <w:r>
        <w:rPr>
          <w:rFonts w:ascii="Times New Roman" w:cs="Times New Roman" w:eastAsia="Times New Roman" w:hAnsi="Times New Roman"/>
          <w:sz w:val="20"/>
          <w:szCs w:val="20"/>
          <w:color w:val="auto"/>
        </w:rPr>
        <w:t>.  Notwithstanding anything to the contrary in this Indenture, for the avoidance of doubt:</w:t>
      </w:r>
    </w:p>
    <w:p>
      <w:pPr>
        <w:spacing w:after="0" w:line="207"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09"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Obligations of any Luxembourg Guarantor for the Obligations of any Issuer or Guarantor which is not a direct or indirect subsidiary of the relevant Luxembourg Guarantor shall be limited at any time to an aggregate amount not exceeding the higher of:</w:t>
      </w:r>
    </w:p>
    <w:p>
      <w:pPr>
        <w:spacing w:after="0" w:line="177" w:lineRule="exact"/>
        <w:rPr>
          <w:rFonts w:ascii="Times New Roman" w:cs="Times New Roman" w:eastAsia="Times New Roman" w:hAnsi="Times New Roman"/>
          <w:sz w:val="20"/>
          <w:szCs w:val="20"/>
          <w:color w:val="auto"/>
        </w:rPr>
      </w:pPr>
    </w:p>
    <w:p>
      <w:pPr>
        <w:jc w:val="both"/>
        <w:ind w:left="660" w:firstLine="1292"/>
        <w:spacing w:after="0" w:line="254" w:lineRule="auto"/>
        <w:tabs>
          <w:tab w:leader="none" w:pos="2489" w:val="left"/>
        </w:tabs>
        <w:numPr>
          <w:ilvl w:val="2"/>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99% of such Luxembourg Guarantor’s </w:t>
      </w:r>
      <w:r>
        <w:rPr>
          <w:rFonts w:ascii="Times New Roman" w:cs="Times New Roman" w:eastAsia="Times New Roman" w:hAnsi="Times New Roman"/>
          <w:sz w:val="20"/>
          <w:szCs w:val="20"/>
          <w:i w:val="1"/>
          <w:iCs w:val="1"/>
          <w:color w:val="auto"/>
        </w:rPr>
        <w:t>capitaux propres</w:t>
      </w:r>
      <w:r>
        <w:rPr>
          <w:rFonts w:ascii="Times New Roman" w:cs="Times New Roman" w:eastAsia="Times New Roman" w:hAnsi="Times New Roman"/>
          <w:sz w:val="20"/>
          <w:szCs w:val="20"/>
          <w:color w:val="auto"/>
        </w:rPr>
        <w:t xml:space="preserve"> (as referred to in article 34 of the Luxembourg law dated 19 December 2002 on the commercial register and annual accounts, as amended (the “</w:t>
      </w:r>
      <w:r>
        <w:rPr>
          <w:rFonts w:ascii="Times New Roman" w:cs="Times New Roman" w:eastAsia="Times New Roman" w:hAnsi="Times New Roman"/>
          <w:sz w:val="20"/>
          <w:szCs w:val="20"/>
          <w:i w:val="1"/>
          <w:iCs w:val="1"/>
          <w:color w:val="auto"/>
        </w:rPr>
        <w:t>2002 Law</w:t>
      </w:r>
      <w:r>
        <w:rPr>
          <w:rFonts w:ascii="Times New Roman" w:cs="Times New Roman" w:eastAsia="Times New Roman" w:hAnsi="Times New Roman"/>
          <w:sz w:val="20"/>
          <w:szCs w:val="20"/>
          <w:color w:val="auto"/>
        </w:rPr>
        <w:t>”), and as implemented by the Grand-Ducal regulation dated 18 December 2015 setting out the form and the content of the presentation of the balance sheet and profit and loss account (the “</w:t>
      </w:r>
      <w:r>
        <w:rPr>
          <w:rFonts w:ascii="Times New Roman" w:cs="Times New Roman" w:eastAsia="Times New Roman" w:hAnsi="Times New Roman"/>
          <w:sz w:val="20"/>
          <w:szCs w:val="20"/>
          <w:i w:val="1"/>
          <w:iCs w:val="1"/>
          <w:color w:val="auto"/>
        </w:rPr>
        <w:t>Regulation</w:t>
      </w:r>
      <w:r>
        <w:rPr>
          <w:rFonts w:ascii="Times New Roman" w:cs="Times New Roman" w:eastAsia="Times New Roman" w:hAnsi="Times New Roman"/>
          <w:sz w:val="20"/>
          <w:szCs w:val="20"/>
          <w:color w:val="auto"/>
        </w:rPr>
        <w:t>”)), increased by the amount of any Intra-Group Liabilities and each determined as at the date of this Indenture, and</w:t>
      </w:r>
    </w:p>
    <w:p>
      <w:pPr>
        <w:spacing w:after="0" w:line="187" w:lineRule="exact"/>
        <w:rPr>
          <w:rFonts w:ascii="Times New Roman" w:cs="Times New Roman" w:eastAsia="Times New Roman" w:hAnsi="Times New Roman"/>
          <w:sz w:val="20"/>
          <w:szCs w:val="20"/>
          <w:color w:val="auto"/>
        </w:rPr>
      </w:pPr>
    </w:p>
    <w:p>
      <w:pPr>
        <w:jc w:val="both"/>
        <w:ind w:left="660" w:firstLine="1292"/>
        <w:spacing w:after="0" w:line="263" w:lineRule="auto"/>
        <w:tabs>
          <w:tab w:leader="none" w:pos="2544" w:val="left"/>
        </w:tabs>
        <w:numPr>
          <w:ilvl w:val="2"/>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99% of such Luxembourg Guarantor’s </w:t>
      </w:r>
      <w:r>
        <w:rPr>
          <w:rFonts w:ascii="Times New Roman" w:cs="Times New Roman" w:eastAsia="Times New Roman" w:hAnsi="Times New Roman"/>
          <w:sz w:val="20"/>
          <w:szCs w:val="20"/>
          <w:i w:val="1"/>
          <w:iCs w:val="1"/>
          <w:color w:val="auto"/>
        </w:rPr>
        <w:t>capitaux propres</w:t>
      </w:r>
      <w:r>
        <w:rPr>
          <w:rFonts w:ascii="Times New Roman" w:cs="Times New Roman" w:eastAsia="Times New Roman" w:hAnsi="Times New Roman"/>
          <w:sz w:val="20"/>
          <w:szCs w:val="20"/>
          <w:color w:val="auto"/>
        </w:rPr>
        <w:t xml:space="preserve"> (as referred to in article 34 of the 2002 Law as implemented by the Regulation), increased by the amount of any Intra-Group Liabilities and each determined as at the date on which a demand is made under this guaranty.</w:t>
      </w:r>
    </w:p>
    <w:p>
      <w:pPr>
        <w:spacing w:after="0" w:line="161" w:lineRule="exact"/>
        <w:rPr>
          <w:rFonts w:ascii="Times New Roman" w:cs="Times New Roman" w:eastAsia="Times New Roman" w:hAnsi="Times New Roman"/>
          <w:sz w:val="20"/>
          <w:szCs w:val="20"/>
          <w:color w:val="auto"/>
        </w:rPr>
      </w:pPr>
    </w:p>
    <w:p>
      <w:pPr>
        <w:jc w:val="both"/>
        <w:ind w:left="660" w:firstLine="1292"/>
        <w:spacing w:after="0" w:line="270" w:lineRule="auto"/>
        <w:tabs>
          <w:tab w:leader="none" w:pos="2624" w:val="left"/>
        </w:tabs>
        <w:numPr>
          <w:ilvl w:val="2"/>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this Clause 10.7, “</w:t>
      </w:r>
      <w:r>
        <w:rPr>
          <w:rFonts w:ascii="Times New Roman" w:cs="Times New Roman" w:eastAsia="Times New Roman" w:hAnsi="Times New Roman"/>
          <w:sz w:val="20"/>
          <w:szCs w:val="20"/>
          <w:i w:val="1"/>
          <w:iCs w:val="1"/>
          <w:color w:val="auto"/>
        </w:rPr>
        <w:t>Intra-Group Liabilities</w:t>
      </w:r>
      <w:r>
        <w:rPr>
          <w:rFonts w:ascii="Times New Roman" w:cs="Times New Roman" w:eastAsia="Times New Roman" w:hAnsi="Times New Roman"/>
          <w:sz w:val="20"/>
          <w:szCs w:val="20"/>
          <w:color w:val="auto"/>
        </w:rPr>
        <w:t>” shall mean any amounts owed by the Luxembourg Guarantor to any other member of the group to which such Luxembourg Guarantor belongs and that have not been financed (directly or indirectly) by a borrowing under any other Debt Facilities.</w:t>
      </w:r>
    </w:p>
    <w:p>
      <w:pPr>
        <w:spacing w:after="0" w:line="155" w:lineRule="exact"/>
        <w:rPr>
          <w:rFonts w:ascii="Times New Roman" w:cs="Times New Roman" w:eastAsia="Times New Roman" w:hAnsi="Times New Roman"/>
          <w:sz w:val="20"/>
          <w:szCs w:val="20"/>
          <w:color w:val="auto"/>
        </w:rPr>
      </w:pPr>
    </w:p>
    <w:p>
      <w:pPr>
        <w:jc w:val="both"/>
        <w:ind w:left="660" w:firstLine="1292"/>
        <w:spacing w:after="0" w:line="263" w:lineRule="auto"/>
        <w:tabs>
          <w:tab w:leader="none" w:pos="2436" w:val="left"/>
        </w:tabs>
        <w:numPr>
          <w:ilvl w:val="2"/>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the Luxembourg Guarantor’s </w:t>
      </w:r>
      <w:r>
        <w:rPr>
          <w:rFonts w:ascii="Times New Roman" w:cs="Times New Roman" w:eastAsia="Times New Roman" w:hAnsi="Times New Roman"/>
          <w:sz w:val="20"/>
          <w:szCs w:val="20"/>
          <w:i w:val="1"/>
          <w:iCs w:val="1"/>
          <w:color w:val="auto"/>
        </w:rPr>
        <w:t>capitaux propres</w:t>
      </w:r>
      <w:r>
        <w:rPr>
          <w:rFonts w:ascii="Times New Roman" w:cs="Times New Roman" w:eastAsia="Times New Roman" w:hAnsi="Times New Roman"/>
          <w:sz w:val="20"/>
          <w:szCs w:val="20"/>
          <w:color w:val="auto"/>
        </w:rPr>
        <w:t xml:space="preserve"> under this section shall be (a) determined by the Trustee on the basis of the latest available annual accounts, and (b) adjusted (by derogation to the rules contained in the 2002 Law and the Regulation) to take into account the fair value rather than book value of the assets of the Luxembourg Guarantor.</w:t>
      </w:r>
    </w:p>
    <w:p>
      <w:pPr>
        <w:spacing w:after="0" w:line="179" w:lineRule="exact"/>
        <w:rPr>
          <w:rFonts w:ascii="Times New Roman" w:cs="Times New Roman" w:eastAsia="Times New Roman" w:hAnsi="Times New Roman"/>
          <w:sz w:val="20"/>
          <w:szCs w:val="20"/>
          <w:color w:val="auto"/>
        </w:rPr>
      </w:pPr>
    </w:p>
    <w:p>
      <w:pPr>
        <w:jc w:val="both"/>
        <w:ind w:left="660" w:firstLine="1292"/>
        <w:spacing w:after="0" w:line="250" w:lineRule="auto"/>
        <w:tabs>
          <w:tab w:leader="none" w:pos="2452" w:val="left"/>
        </w:tabs>
        <w:numPr>
          <w:ilvl w:val="2"/>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Where, for the purpose of the above determinations, (i) no duly established annual accounts are available for the relevant reference period (which, for the avoidance of doubt, includes a situation where no final annual accounts have been established in due time in respect of the then most recently ended financial year) or (ii) where the relevant annual accounts do not adequately reflect the status of the Luxembourg Guarantor’s </w:t>
      </w:r>
      <w:r>
        <w:rPr>
          <w:rFonts w:ascii="Times New Roman" w:cs="Times New Roman" w:eastAsia="Times New Roman" w:hAnsi="Times New Roman"/>
          <w:sz w:val="20"/>
          <w:szCs w:val="20"/>
          <w:i w:val="1"/>
          <w:iCs w:val="1"/>
          <w:color w:val="auto"/>
        </w:rPr>
        <w:t>capitaux propres</w:t>
      </w:r>
      <w:r>
        <w:rPr>
          <w:rFonts w:ascii="Times New Roman" w:cs="Times New Roman" w:eastAsia="Times New Roman" w:hAnsi="Times New Roman"/>
          <w:sz w:val="20"/>
          <w:szCs w:val="20"/>
          <w:color w:val="auto"/>
        </w:rPr>
        <w:t xml:space="preserve"> or Intra-Group Liabilities as envisaged above since the close of its last financial year, the determination of the relevant amount will be made by the Trustee (acting reasonably) and in order to prepare such determination, the Trustee shall take into consideration such available elements and facts at such time, including without limitation, the latest annual accounts of such Luxembourg Guarantor and any entities in which it has a direct or indirect equity interest, any recent valuation of the assets of such Luxembourg Guarantor and any entities in which it has a direct or indirect equity interest (if available), the fair value of the assets of such Luxembourg Guarantor and any entities in which it has a direct or indirect equity interest.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above limitation shall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13" w:right="339" w:bottom="1440" w:gutter="0" w:footer="0" w:header="0"/>
        </w:sectPr>
      </w:pPr>
    </w:p>
    <w:bookmarkStart w:id="104" w:name="page105"/>
    <w:bookmarkEnd w:id="104"/>
    <w:p>
      <w:pPr>
        <w:ind w:left="4" w:firstLine="1292"/>
        <w:spacing w:after="0" w:line="283" w:lineRule="auto"/>
        <w:tabs>
          <w:tab w:leader="none" w:pos="1772"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any amounts due under any other Debt Facilities by an Issuer or a Guarantor which is a direct or indirect subsidiary of that Luxembourg Guarantor; or</w:t>
      </w:r>
    </w:p>
    <w:p>
      <w:pPr>
        <w:spacing w:after="0" w:line="146" w:lineRule="exact"/>
        <w:rPr>
          <w:rFonts w:ascii="Times New Roman" w:cs="Times New Roman" w:eastAsia="Times New Roman" w:hAnsi="Times New Roman"/>
          <w:sz w:val="20"/>
          <w:szCs w:val="20"/>
          <w:color w:val="auto"/>
        </w:rPr>
      </w:pPr>
    </w:p>
    <w:p>
      <w:pPr>
        <w:jc w:val="both"/>
        <w:ind w:left="4" w:firstLine="1292"/>
        <w:spacing w:after="0" w:line="261" w:lineRule="auto"/>
        <w:tabs>
          <w:tab w:leader="none" w:pos="1785"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any amounts due under any other Debt Facilities by an Issuer or a Guarantor which is not a direct or indirect subsidiary of that Luxembourg Guarantor and which have been on-lent to or made available by whatever means, directly or indirectly, to that Luxembourg Guarantor or any of its direct or indirect subsidiaries.</w:t>
      </w:r>
    </w:p>
    <w:p>
      <w:pPr>
        <w:spacing w:after="0" w:line="181"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20"/>
          <w:szCs w:val="20"/>
          <w:color w:val="auto"/>
        </w:rPr>
        <w:t>Notwithstanding anything to the contrary, no Luxembourg Guarantor guarantees any amounts due under any other Debt Facilities if and to the extent the granting of a guaranty for such amounts would constitute an unlawful financial assistance violating articles 430-19 (where applicable) and 1500-7 of the Luxembourg law dated 10 August 1915 on commercial companies, as amended.</w:t>
      </w:r>
    </w:p>
    <w:p>
      <w:pPr>
        <w:spacing w:after="0" w:line="177" w:lineRule="exact"/>
        <w:rPr>
          <w:sz w:val="20"/>
          <w:szCs w:val="20"/>
          <w:color w:val="auto"/>
        </w:rPr>
      </w:pPr>
    </w:p>
    <w:p>
      <w:pPr>
        <w:ind w:left="424" w:hanging="424"/>
        <w:spacing w:after="0"/>
        <w:tabs>
          <w:tab w:leader="none" w:pos="42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Denmark</w:t>
      </w:r>
      <w:r>
        <w:rPr>
          <w:rFonts w:ascii="Times New Roman" w:cs="Times New Roman" w:eastAsia="Times New Roman" w:hAnsi="Times New Roman"/>
          <w:sz w:val="20"/>
          <w:szCs w:val="20"/>
          <w:color w:val="auto"/>
        </w:rPr>
        <w:t>.  Notwithstanding anything in the contrary in this Indenture or the Notes:</w:t>
      </w:r>
    </w:p>
    <w:p>
      <w:pPr>
        <w:spacing w:after="0" w:line="219" w:lineRule="exact"/>
        <w:rPr>
          <w:rFonts w:ascii="Times New Roman" w:cs="Times New Roman" w:eastAsia="Times New Roman" w:hAnsi="Times New Roman"/>
          <w:sz w:val="20"/>
          <w:szCs w:val="20"/>
          <w:color w:val="auto"/>
        </w:rPr>
      </w:pPr>
    </w:p>
    <w:p>
      <w:pPr>
        <w:jc w:val="both"/>
        <w:ind w:left="4" w:firstLine="644"/>
        <w:spacing w:after="0" w:line="258" w:lineRule="auto"/>
        <w:tabs>
          <w:tab w:leader="none" w:pos="1102"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Specified Obligations of each Restricted Guarantor shall be limited if and to the extent required to comply with Danish statutory provisions on unlawful financial assistance including, without limitation, (i) section 206(1) of Consolidated Act No. 1451 of 11 September 2022 on public and private limited liability companies as amended and supplemented from time to time (the “</w:t>
      </w:r>
      <w:r>
        <w:rPr>
          <w:rFonts w:ascii="Times New Roman" w:cs="Times New Roman" w:eastAsia="Times New Roman" w:hAnsi="Times New Roman"/>
          <w:sz w:val="20"/>
          <w:szCs w:val="20"/>
          <w:i w:val="1"/>
          <w:iCs w:val="1"/>
          <w:color w:val="auto"/>
        </w:rPr>
        <w:t>Danish Companies Act</w:t>
      </w:r>
      <w:r>
        <w:rPr>
          <w:rFonts w:ascii="Times New Roman" w:cs="Times New Roman" w:eastAsia="Times New Roman" w:hAnsi="Times New Roman"/>
          <w:sz w:val="20"/>
          <w:szCs w:val="20"/>
          <w:color w:val="auto"/>
        </w:rPr>
        <w:t>”) and/or (ii) section 210(1) (as modified by sections 211 and 212 of the Danish Companies Act).</w:t>
      </w:r>
    </w:p>
    <w:p>
      <w:pPr>
        <w:spacing w:after="0" w:line="185" w:lineRule="exact"/>
        <w:rPr>
          <w:rFonts w:ascii="Times New Roman" w:cs="Times New Roman" w:eastAsia="Times New Roman" w:hAnsi="Times New Roman"/>
          <w:sz w:val="20"/>
          <w:szCs w:val="20"/>
          <w:color w:val="auto"/>
        </w:rPr>
      </w:pPr>
    </w:p>
    <w:p>
      <w:pPr>
        <w:jc w:val="both"/>
        <w:ind w:left="4" w:right="100" w:firstLine="644"/>
        <w:spacing w:after="0" w:line="258" w:lineRule="auto"/>
        <w:tabs>
          <w:tab w:leader="none" w:pos="1088"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paragraph (i) above, the Specified Obligations of any Danish Guarantor shall further be limited to the amount equivalent to the higher of the Equity (A) at the date of this Indenture (or, if later, on the date upon which it accedes to this Indenture as a Guarantor) and (B) at the time(s) that a payment is requested from it in respect of any Specified Obligations.</w:t>
      </w:r>
    </w:p>
    <w:p>
      <w:pPr>
        <w:spacing w:after="0" w:line="199" w:lineRule="exact"/>
        <w:rPr>
          <w:rFonts w:ascii="Times New Roman" w:cs="Times New Roman" w:eastAsia="Times New Roman" w:hAnsi="Times New Roman"/>
          <w:sz w:val="20"/>
          <w:szCs w:val="20"/>
          <w:color w:val="auto"/>
        </w:rPr>
      </w:pPr>
    </w:p>
    <w:p>
      <w:pPr>
        <w:ind w:left="1144" w:hanging="496"/>
        <w:spacing w:after="0"/>
        <w:tabs>
          <w:tab w:leader="none" w:pos="114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10.7(b)</w:t>
      </w:r>
      <w:r>
        <w:rPr>
          <w:rFonts w:ascii="Times New Roman" w:cs="Times New Roman" w:eastAsia="Times New Roman" w:hAnsi="Times New Roman"/>
          <w:sz w:val="20"/>
          <w:szCs w:val="20"/>
          <w:color w:val="auto"/>
        </w:rPr>
        <w:t>:</w:t>
      </w:r>
    </w:p>
    <w:p>
      <w:pPr>
        <w:spacing w:after="0" w:line="252" w:lineRule="exact"/>
        <w:rPr>
          <w:sz w:val="20"/>
          <w:szCs w:val="20"/>
          <w:color w:val="auto"/>
        </w:rPr>
      </w:pPr>
    </w:p>
    <w:p>
      <w:pPr>
        <w:jc w:val="both"/>
        <w:ind w:left="644"/>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Additional Guaranteed Debt</w:t>
      </w:r>
      <w:r>
        <w:rPr>
          <w:rFonts w:ascii="Times New Roman" w:cs="Times New Roman" w:eastAsia="Times New Roman" w:hAnsi="Times New Roman"/>
          <w:sz w:val="20"/>
          <w:szCs w:val="20"/>
          <w:color w:val="auto"/>
        </w:rPr>
        <w:t xml:space="preserve">” means indebtedness of the Issuer and any of its Restricted Subsidiaries (other than inter-group indebtedness and indebtedness pursuant to the Credit Documents, this Indenture and the Notes) that is guaranteed by the relevant Danish Guarantor and the obligations under that guarantee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to such Danish Guarantor’s guarantee obligations in respect of this Indenture.</w:t>
      </w:r>
    </w:p>
    <w:p>
      <w:pPr>
        <w:spacing w:after="0" w:line="18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Collateral Documents</w:t>
      </w:r>
      <w:r>
        <w:rPr>
          <w:rFonts w:ascii="Times New Roman" w:cs="Times New Roman" w:eastAsia="Times New Roman" w:hAnsi="Times New Roman"/>
          <w:sz w:val="20"/>
          <w:szCs w:val="20"/>
          <w:color w:val="auto"/>
        </w:rPr>
        <w:t>” has the meaning ascribed to such term in the RCF Credit Agreement.</w:t>
      </w:r>
    </w:p>
    <w:p>
      <w:pPr>
        <w:spacing w:after="0" w:line="22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Credit Documents</w:t>
      </w:r>
      <w:r>
        <w:rPr>
          <w:rFonts w:ascii="Times New Roman" w:cs="Times New Roman" w:eastAsia="Times New Roman" w:hAnsi="Times New Roman"/>
          <w:sz w:val="20"/>
          <w:szCs w:val="20"/>
          <w:color w:val="auto"/>
        </w:rPr>
        <w:t>” has the meaning ascribed to such term in the RCF Credit Agreement.</w:t>
      </w:r>
    </w:p>
    <w:p>
      <w:pPr>
        <w:spacing w:after="0" w:line="21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Danish Guarantor</w:t>
      </w:r>
      <w:r>
        <w:rPr>
          <w:rFonts w:ascii="Times New Roman" w:cs="Times New Roman" w:eastAsia="Times New Roman" w:hAnsi="Times New Roman"/>
          <w:sz w:val="20"/>
          <w:szCs w:val="20"/>
          <w:color w:val="auto"/>
        </w:rPr>
        <w:t>” means each Guarantor incorporated under Danish law.</w:t>
      </w:r>
    </w:p>
    <w:p>
      <w:pPr>
        <w:spacing w:after="0" w:line="229" w:lineRule="exact"/>
        <w:rPr>
          <w:sz w:val="20"/>
          <w:szCs w:val="20"/>
          <w:color w:val="auto"/>
        </w:rPr>
      </w:pPr>
    </w:p>
    <w:p>
      <w:pPr>
        <w:jc w:val="both"/>
        <w:ind w:left="644"/>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Direct Obligations</w:t>
      </w:r>
      <w:r>
        <w:rPr>
          <w:rFonts w:ascii="Times New Roman" w:cs="Times New Roman" w:eastAsia="Times New Roman" w:hAnsi="Times New Roman"/>
          <w:sz w:val="20"/>
          <w:szCs w:val="20"/>
          <w:color w:val="auto"/>
        </w:rPr>
        <w:t>” means, in respect of any Danish Guarantor (and its Danish and foreign Subsidiaries, as applicable) its (and such Subsidiaries’) liabilities in respect of Indebtedness under a Credit Document in its capacity as a RCF Borrower to the extent that it (and/or such Subsidiaries) is or becomes a primary debtor of such Indebtedness under the relevant Credit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0584"/>
          </w:cols>
          <w:pgMar w:left="976" w:top="1413" w:right="339" w:bottom="1440" w:gutter="0" w:footer="0" w:header="0"/>
        </w:sectPr>
      </w:pPr>
    </w:p>
    <w:bookmarkStart w:id="105" w:name="page106"/>
    <w:bookmarkEnd w:id="105"/>
    <w:p>
      <w:pPr>
        <w:jc w:val="both"/>
        <w:ind w:left="180"/>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Equity</w:t>
      </w:r>
      <w:r>
        <w:rPr>
          <w:rFonts w:ascii="Times New Roman" w:cs="Times New Roman" w:eastAsia="Times New Roman" w:hAnsi="Times New Roman"/>
          <w:sz w:val="20"/>
          <w:szCs w:val="20"/>
          <w:color w:val="auto"/>
        </w:rPr>
        <w:t xml:space="preserve">” means in respect of a Danish Guarantor its equity (in Danish: </w:t>
      </w:r>
      <w:r>
        <w:rPr>
          <w:rFonts w:ascii="Times New Roman" w:cs="Times New Roman" w:eastAsia="Times New Roman" w:hAnsi="Times New Roman"/>
          <w:sz w:val="20"/>
          <w:szCs w:val="20"/>
          <w:i w:val="1"/>
          <w:iCs w:val="1"/>
          <w:color w:val="auto"/>
        </w:rPr>
        <w:t>egenkapital</w:t>
      </w:r>
      <w:r>
        <w:rPr>
          <w:rFonts w:ascii="Times New Roman" w:cs="Times New Roman" w:eastAsia="Times New Roman" w:hAnsi="Times New Roman"/>
          <w:sz w:val="20"/>
          <w:szCs w:val="20"/>
          <w:color w:val="auto"/>
        </w:rPr>
        <w:t>) at the relevant time based on its most recent financial statements prepared in accordance with the accounting principles applied by such Danish Guarantor, which must be in accordance with Danish law, however, adjusted:</w:t>
      </w:r>
    </w:p>
    <w:p>
      <w:pPr>
        <w:spacing w:after="0" w:line="179" w:lineRule="exact"/>
        <w:rPr>
          <w:sz w:val="20"/>
          <w:szCs w:val="20"/>
          <w:color w:val="auto"/>
        </w:rPr>
      </w:pPr>
    </w:p>
    <w:p>
      <w:pPr>
        <w:jc w:val="both"/>
        <w:ind w:left="-460" w:firstLine="1292"/>
        <w:spacing w:after="0" w:line="261" w:lineRule="auto"/>
        <w:tabs>
          <w:tab w:leader="none" w:pos="1343"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by recognising (if not already so recognised) the unpaid portion, if any, of the subscription price for shares issued by the Danish Guarantor in accordance with the gross method (Da: </w:t>
      </w:r>
      <w:r>
        <w:rPr>
          <w:rFonts w:ascii="Times New Roman" w:cs="Times New Roman" w:eastAsia="Times New Roman" w:hAnsi="Times New Roman"/>
          <w:sz w:val="20"/>
          <w:szCs w:val="20"/>
          <w:i w:val="1"/>
          <w:iCs w:val="1"/>
          <w:color w:val="auto"/>
        </w:rPr>
        <w:t>bruttometoden</w:t>
      </w:r>
      <w:r>
        <w:rPr>
          <w:rFonts w:ascii="Times New Roman" w:cs="Times New Roman" w:eastAsia="Times New Roman" w:hAnsi="Times New Roman"/>
          <w:sz w:val="20"/>
          <w:szCs w:val="20"/>
          <w:color w:val="auto"/>
        </w:rPr>
        <w:t xml:space="preserve">) pursuant to section 35b of the Danish Financial Statements Act (Da: </w:t>
      </w:r>
      <w:r>
        <w:rPr>
          <w:rFonts w:ascii="Times New Roman" w:cs="Times New Roman" w:eastAsia="Times New Roman" w:hAnsi="Times New Roman"/>
          <w:sz w:val="20"/>
          <w:szCs w:val="20"/>
          <w:i w:val="1"/>
          <w:iCs w:val="1"/>
          <w:color w:val="auto"/>
        </w:rPr>
        <w:t>årsregnskabsloven</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1140" w:hanging="470"/>
        <w:spacing w:after="0"/>
        <w:tabs>
          <w:tab w:leader="none" w:pos="114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upwards if and to the extent any book value is not equal to market value:</w:t>
      </w:r>
    </w:p>
    <w:p>
      <w:pPr>
        <w:spacing w:after="0" w:line="215" w:lineRule="exact"/>
        <w:rPr>
          <w:rFonts w:ascii="Times New Roman" w:cs="Times New Roman" w:eastAsia="Times New Roman" w:hAnsi="Times New Roman"/>
          <w:sz w:val="20"/>
          <w:szCs w:val="20"/>
          <w:color w:val="auto"/>
        </w:rPr>
      </w:pPr>
    </w:p>
    <w:p>
      <w:pPr>
        <w:jc w:val="both"/>
        <w:ind w:left="680" w:hanging="10"/>
        <w:spacing w:after="0" w:line="253" w:lineRule="auto"/>
        <w:tabs>
          <w:tab w:leader="none" w:pos="1157"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adding back any loans owed by the Danish Guarantor to its direct shareholder that are generally subordinated (that is, subordinated to all other creditors of the Danish Guarantor) to the extent they have not been included in the calculation of the equity, provided always that any payment made by the Danish Guarantor under any Credit Document, this Indenture, the Notes or in respect of any Additional Guaranteed Debt in respect of such obligations of the Danish Guarantor shall reduce pro tanto the outstanding amount of such subordinated loan by the Danish Guarantor; and</w:t>
      </w:r>
    </w:p>
    <w:p>
      <w:pPr>
        <w:spacing w:after="0" w:line="192" w:lineRule="exact"/>
        <w:rPr>
          <w:rFonts w:ascii="Times New Roman" w:cs="Times New Roman" w:eastAsia="Times New Roman" w:hAnsi="Times New Roman"/>
          <w:sz w:val="20"/>
          <w:szCs w:val="20"/>
          <w:color w:val="auto"/>
        </w:rPr>
      </w:pPr>
    </w:p>
    <w:p>
      <w:pPr>
        <w:jc w:val="both"/>
        <w:ind w:left="680" w:hanging="10"/>
        <w:spacing w:after="0" w:line="250" w:lineRule="auto"/>
        <w:tabs>
          <w:tab w:leader="none" w:pos="121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adding back obligations (in the amounts outstanding at the time when a claim for payment is made) of the Danish Guarantor in respect of any intercompany loan owing by the Danish Guarantor to a RCF Borrower as borrower under the RCF Credit Agreement, the Issuer as issuer of the Notes or the borrower or issuer of any Additional Guaranteed Debt, as the case may be, and originally borrowed by that RCF Borrower under the RCF Credit Agreement, by the Issuer as issuer of the Notes or by that borrower or issuer under the Additional Guaranteed Debt, as the case may be, and on-lent by that RCF Borrower, the Issuer as issuer of the Notes or by that borrower or issuer of the Additional Guaranteed Debt, as the case may be, to the Danish Guarantor provided always that any payment made by the Danish Guarantor under the Guaranty and Collateral Agreement or any other Credit Document, this Indenture, the Notes or any similar documentation for any Additional Guaranteed Debt, as the case may be, in respect of the Specified Obligations shall reduce pro tanto the outstanding amount of the intercompany loan owing by the Danish Guarantor.</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Guaranty and Collateral Agreement</w:t>
      </w:r>
      <w:r>
        <w:rPr>
          <w:rFonts w:ascii="Times New Roman" w:cs="Times New Roman" w:eastAsia="Times New Roman" w:hAnsi="Times New Roman"/>
          <w:sz w:val="20"/>
          <w:szCs w:val="20"/>
          <w:color w:val="auto"/>
        </w:rPr>
        <w:t>” has the meaning ascribed to such term in the RCF Credit Agreement.</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Liens</w:t>
      </w:r>
      <w:r>
        <w:rPr>
          <w:rFonts w:ascii="Times New Roman" w:cs="Times New Roman" w:eastAsia="Times New Roman" w:hAnsi="Times New Roman"/>
          <w:sz w:val="20"/>
          <w:szCs w:val="20"/>
          <w:color w:val="auto"/>
        </w:rPr>
        <w:t>” has the meaning ascribed to such term in the RCF Credit Agreement.</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RCF Borrower</w:t>
      </w:r>
      <w:r>
        <w:rPr>
          <w:rFonts w:ascii="Times New Roman" w:cs="Times New Roman" w:eastAsia="Times New Roman" w:hAnsi="Times New Roman"/>
          <w:sz w:val="20"/>
          <w:szCs w:val="20"/>
          <w:color w:val="auto"/>
        </w:rPr>
        <w:t>” has the meaning ascribed to the term “Borrower” in the RCF Credit Agreement.</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Restricted Guarantor</w:t>
      </w:r>
      <w:r>
        <w:rPr>
          <w:rFonts w:ascii="Times New Roman" w:cs="Times New Roman" w:eastAsia="Times New Roman" w:hAnsi="Times New Roman"/>
          <w:sz w:val="20"/>
          <w:szCs w:val="20"/>
          <w:color w:val="auto"/>
        </w:rPr>
        <w:t>” means each Danish Guarantor and its Danish and non-Danish Subsidiaries.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Secured Obligations</w:t>
      </w:r>
      <w:r>
        <w:rPr>
          <w:rFonts w:ascii="Times New Roman" w:cs="Times New Roman" w:eastAsia="Times New Roman" w:hAnsi="Times New Roman"/>
          <w:sz w:val="20"/>
          <w:szCs w:val="20"/>
          <w:color w:val="auto"/>
        </w:rPr>
        <w:t>” has the meaning ascribed to such term in the RCF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0120"/>
          </w:cols>
          <w:pgMar w:left="1440" w:top="1409" w:right="339" w:bottom="1440" w:gutter="0" w:footer="0" w:header="0"/>
        </w:sectPr>
      </w:pPr>
    </w:p>
    <w:bookmarkStart w:id="106" w:name="page107"/>
    <w:bookmarkEnd w:id="106"/>
    <w:p>
      <w:pPr>
        <w:jc w:val="both"/>
        <w:ind w:left="644"/>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Specified Obligations</w:t>
      </w:r>
      <w:r>
        <w:rPr>
          <w:rFonts w:ascii="Times New Roman" w:cs="Times New Roman" w:eastAsia="Times New Roman" w:hAnsi="Times New Roman"/>
          <w:sz w:val="19"/>
          <w:szCs w:val="19"/>
          <w:color w:val="auto"/>
        </w:rPr>
        <w:t>” means in respect of any relevant Restricted Guarantor, its obligations and liabilities under the guaranty contained in Section 2 of the Guaranty and Collateral Agreement, Section 2.14(d) of the Credit Agreement and Section 10.1 of this Indenture or a similar provision of the documentation for any Additional Guaranteed Debt and in respect of the security and other Liens granted under or pursuant to any Collateral Documents to secure any Secured Obligations and under any other guarantee, indemnity, security, collateral, subordination of rights and/or claims, subordination and/or turnover of rights of recourse, application of proceeds (including mandatory prepayments) provision and any other means or direct or indirect financial assistance under or pursuant to any Credit Documents, this Indenture, the Notes or the documentation for any Additional Guaranteed Debt (including under any Collateral Documents under which it grants security and other Liens to the extent that it secures obligation that are not its or its relevant subsidiaries’ Direct Obligations).</w:t>
      </w:r>
    </w:p>
    <w:p>
      <w:pPr>
        <w:spacing w:after="0" w:line="162" w:lineRule="exact"/>
        <w:rPr>
          <w:sz w:val="20"/>
          <w:szCs w:val="20"/>
          <w:color w:val="auto"/>
        </w:rPr>
      </w:pPr>
    </w:p>
    <w:p>
      <w:pPr>
        <w:ind w:left="424" w:hanging="424"/>
        <w:spacing w:after="0"/>
        <w:tabs>
          <w:tab w:leader="none" w:pos="42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Switzerland</w:t>
      </w:r>
      <w:r>
        <w:rPr>
          <w:rFonts w:ascii="Times New Roman" w:cs="Times New Roman" w:eastAsia="Times New Roman" w:hAnsi="Times New Roman"/>
          <w:sz w:val="20"/>
          <w:szCs w:val="20"/>
          <w:color w:val="auto"/>
        </w:rPr>
        <w:t>.  Notwithstanding anything to the contrary in this Indenture, for the avoidance of doubt:</w:t>
      </w:r>
    </w:p>
    <w:p>
      <w:pPr>
        <w:spacing w:after="0" w:line="233" w:lineRule="exact"/>
        <w:rPr>
          <w:rFonts w:ascii="Times New Roman" w:cs="Times New Roman" w:eastAsia="Times New Roman" w:hAnsi="Times New Roman"/>
          <w:sz w:val="20"/>
          <w:szCs w:val="20"/>
          <w:color w:val="auto"/>
        </w:rPr>
      </w:pPr>
    </w:p>
    <w:p>
      <w:pPr>
        <w:jc w:val="both"/>
        <w:ind w:left="4" w:firstLine="1292"/>
        <w:spacing w:after="0" w:line="250" w:lineRule="auto"/>
        <w:tabs>
          <w:tab w:leader="none" w:pos="1829"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to the extent that a Swiss Guarantor becomes liable for obligations of its Affiliates other than its Subsidiaries and if complying with such obligations would constitute a repayment of capital (</w:t>
      </w:r>
      <w:r>
        <w:rPr>
          <w:rFonts w:ascii="Times New Roman" w:cs="Times New Roman" w:eastAsia="Times New Roman" w:hAnsi="Times New Roman"/>
          <w:sz w:val="20"/>
          <w:szCs w:val="20"/>
          <w:i w:val="1"/>
          <w:iCs w:val="1"/>
          <w:color w:val="auto"/>
        </w:rPr>
        <w:t>Einlagerückgewähr</w:t>
      </w:r>
      <w:r>
        <w:rPr>
          <w:rFonts w:ascii="Times New Roman" w:cs="Times New Roman" w:eastAsia="Times New Roman" w:hAnsi="Times New Roman"/>
          <w:sz w:val="20"/>
          <w:szCs w:val="20"/>
          <w:color w:val="auto"/>
        </w:rPr>
        <w:t>), a violation of the legally protected reserves (</w:t>
      </w:r>
      <w:r>
        <w:rPr>
          <w:rFonts w:ascii="Times New Roman" w:cs="Times New Roman" w:eastAsia="Times New Roman" w:hAnsi="Times New Roman"/>
          <w:sz w:val="20"/>
          <w:szCs w:val="20"/>
          <w:i w:val="1"/>
          <w:iCs w:val="1"/>
          <w:color w:val="auto"/>
        </w:rPr>
        <w:t>gesetzlich geschützte Reserven</w:t>
      </w:r>
      <w:r>
        <w:rPr>
          <w:rFonts w:ascii="Times New Roman" w:cs="Times New Roman" w:eastAsia="Times New Roman" w:hAnsi="Times New Roman"/>
          <w:sz w:val="20"/>
          <w:szCs w:val="20"/>
          <w:color w:val="auto"/>
        </w:rPr>
        <w:t>) or the payment of a (constructive) dividend ((</w:t>
      </w:r>
      <w:r>
        <w:rPr>
          <w:rFonts w:ascii="Times New Roman" w:cs="Times New Roman" w:eastAsia="Times New Roman" w:hAnsi="Times New Roman"/>
          <w:sz w:val="20"/>
          <w:szCs w:val="20"/>
          <w:i w:val="1"/>
          <w:iCs w:val="1"/>
          <w:color w:val="auto"/>
        </w:rPr>
        <w:t>verdeckte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Gewinnausschüttung</w:t>
      </w:r>
      <w:r>
        <w:rPr>
          <w:rFonts w:ascii="Times New Roman" w:cs="Times New Roman" w:eastAsia="Times New Roman" w:hAnsi="Times New Roman"/>
          <w:sz w:val="20"/>
          <w:szCs w:val="20"/>
          <w:color w:val="auto"/>
        </w:rPr>
        <w:t>) by such Swiss Guarantor or would otherwise be restricted under then applicable Swiss law (the “</w:t>
      </w:r>
      <w:r>
        <w:rPr>
          <w:rFonts w:ascii="Times New Roman" w:cs="Times New Roman" w:eastAsia="Times New Roman" w:hAnsi="Times New Roman"/>
          <w:sz w:val="20"/>
          <w:szCs w:val="20"/>
          <w:i w:val="1"/>
          <w:iCs w:val="1"/>
          <w:color w:val="auto"/>
        </w:rPr>
        <w:t>Swiss Restricted Obligations</w:t>
      </w:r>
      <w:r>
        <w:rPr>
          <w:rFonts w:ascii="Times New Roman" w:cs="Times New Roman" w:eastAsia="Times New Roman" w:hAnsi="Times New Roman"/>
          <w:sz w:val="20"/>
          <w:szCs w:val="20"/>
          <w:color w:val="auto"/>
        </w:rPr>
        <w:t>”), the aggregate liability of the Swiss Guarantor for Swiss Restricted Obligations shall be limited at such time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amount of unrestricted equity capital available for distribution as dividends to the shareholders or quotaholders, respectively, of the Swiss Guarantor (the “</w:t>
      </w:r>
      <w:r>
        <w:rPr>
          <w:rFonts w:ascii="Times New Roman" w:cs="Times New Roman" w:eastAsia="Times New Roman" w:hAnsi="Times New Roman"/>
          <w:sz w:val="20"/>
          <w:szCs w:val="20"/>
          <w:i w:val="1"/>
          <w:iCs w:val="1"/>
          <w:color w:val="auto"/>
        </w:rPr>
        <w:t>Swiss Available Amount</w:t>
      </w:r>
      <w:r>
        <w:rPr>
          <w:rFonts w:ascii="Times New Roman" w:cs="Times New Roman" w:eastAsia="Times New Roman" w:hAnsi="Times New Roman"/>
          <w:sz w:val="20"/>
          <w:szCs w:val="20"/>
          <w:color w:val="auto"/>
        </w:rPr>
        <w:t xml:space="preserve">”). The Swiss Available Amount shall be determined on the basis of an audited interim balance sheet of the Swiss Guarantor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this limitation shall only apply to the extent it is a requirement under applicable Swiss law at the time the Swiss Guarantor is required to perform under the Swiss Restricted Obligations, and (B) such limitation shall not free the Swiss Guarantor from its obligations in excess of the Swiss Available Amount, but merely postpone the performance date therefor until such times as performance is again permitted.</w:t>
      </w:r>
    </w:p>
    <w:p>
      <w:pPr>
        <w:spacing w:after="0" w:line="186" w:lineRule="exact"/>
        <w:rPr>
          <w:rFonts w:ascii="Times New Roman" w:cs="Times New Roman" w:eastAsia="Times New Roman" w:hAnsi="Times New Roman"/>
          <w:sz w:val="20"/>
          <w:szCs w:val="20"/>
          <w:color w:val="auto"/>
        </w:rPr>
      </w:pPr>
    </w:p>
    <w:p>
      <w:pPr>
        <w:ind w:left="1744" w:hanging="448"/>
        <w:spacing w:after="0"/>
        <w:tabs>
          <w:tab w:leader="none" w:pos="1744"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payments made under the Swiss Restricted Obligations, the Swiss Guarantor shall:</w:t>
      </w:r>
    </w:p>
    <w:p>
      <w:pPr>
        <w:spacing w:after="0" w:line="229" w:lineRule="exact"/>
        <w:rPr>
          <w:sz w:val="20"/>
          <w:szCs w:val="20"/>
          <w:color w:val="auto"/>
        </w:rPr>
      </w:pPr>
    </w:p>
    <w:p>
      <w:pPr>
        <w:jc w:val="both"/>
        <w:ind w:left="4" w:firstLine="1292"/>
        <w:spacing w:after="0" w:line="261" w:lineRule="auto"/>
        <w:tabs>
          <w:tab w:leader="none" w:pos="1832"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procure that such payments can be made without deduction of Swiss Withholding Tax, or with deduction of Swiss Withholding Tax at a reduced rate, by discharging the liability to such tax by notification pursuant to applicable law (including double tax treaties) rather than payment of the tax;</w:t>
      </w:r>
    </w:p>
    <w:p>
      <w:pPr>
        <w:spacing w:after="0" w:line="181" w:lineRule="exact"/>
        <w:rPr>
          <w:rFonts w:ascii="Times New Roman" w:cs="Times New Roman" w:eastAsia="Times New Roman" w:hAnsi="Times New Roman"/>
          <w:sz w:val="20"/>
          <w:szCs w:val="20"/>
          <w:color w:val="auto"/>
        </w:rPr>
      </w:pPr>
    </w:p>
    <w:p>
      <w:pPr>
        <w:ind w:left="1764" w:hanging="468"/>
        <w:spacing w:after="0"/>
        <w:tabs>
          <w:tab w:leader="none" w:pos="176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notification procedure pursuant to </w:t>
      </w:r>
      <w:r>
        <w:rPr>
          <w:rFonts w:ascii="Times New Roman" w:cs="Times New Roman" w:eastAsia="Times New Roman" w:hAnsi="Times New Roman"/>
          <w:sz w:val="20"/>
          <w:szCs w:val="20"/>
          <w:u w:val="single" w:color="auto"/>
          <w:color w:val="auto"/>
        </w:rPr>
        <w:t>Section 10.7(c)(ii)(A)</w:t>
      </w:r>
      <w:r>
        <w:rPr>
          <w:rFonts w:ascii="Times New Roman" w:cs="Times New Roman" w:eastAsia="Times New Roman" w:hAnsi="Times New Roman"/>
          <w:sz w:val="20"/>
          <w:szCs w:val="20"/>
          <w:color w:val="auto"/>
        </w:rPr>
        <w:t xml:space="preserve"> does not apply:</w:t>
      </w:r>
    </w:p>
    <w:p>
      <w:pPr>
        <w:spacing w:after="0" w:line="215" w:lineRule="exact"/>
        <w:rPr>
          <w:rFonts w:ascii="Times New Roman" w:cs="Times New Roman" w:eastAsia="Times New Roman" w:hAnsi="Times New Roman"/>
          <w:sz w:val="20"/>
          <w:szCs w:val="20"/>
          <w:color w:val="auto"/>
        </w:rPr>
      </w:pPr>
    </w:p>
    <w:p>
      <w:pPr>
        <w:jc w:val="both"/>
        <w:ind w:left="644" w:right="20" w:firstLine="1300"/>
        <w:spacing w:after="0" w:line="258" w:lineRule="auto"/>
        <w:tabs>
          <w:tab w:leader="none" w:pos="2381"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deduct Swiss Withholding Tax at the rate of 35 per cent (or such other rate as is in force at that time) from any such payment or if the notification procedure pursuant to </w:t>
      </w:r>
      <w:r>
        <w:rPr>
          <w:rFonts w:ascii="Times New Roman" w:cs="Times New Roman" w:eastAsia="Times New Roman" w:hAnsi="Times New Roman"/>
          <w:sz w:val="20"/>
          <w:szCs w:val="20"/>
          <w:u w:val="single" w:color="auto"/>
          <w:color w:val="auto"/>
        </w:rPr>
        <w:t>Section 10.7(c)(ii)(A)</w:t>
      </w:r>
      <w:r>
        <w:rPr>
          <w:rFonts w:ascii="Times New Roman" w:cs="Times New Roman" w:eastAsia="Times New Roman" w:hAnsi="Times New Roman"/>
          <w:sz w:val="20"/>
          <w:szCs w:val="20"/>
          <w:color w:val="auto"/>
        </w:rPr>
        <w:t xml:space="preserve"> applies for a part of the Swiss Withholding Tax only, deduct Swiss Withholding Tax at the reduced rate resulting after the discharge of part of such tax by notification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0584"/>
          </w:cols>
          <w:pgMar w:left="976" w:top="1409" w:right="339" w:bottom="1440" w:gutter="0" w:footer="0" w:header="0"/>
        </w:sectPr>
      </w:pPr>
    </w:p>
    <w:bookmarkStart w:id="107" w:name="page108"/>
    <w:bookmarkEnd w:id="107"/>
    <w:p>
      <w:pPr>
        <w:ind w:left="1480"/>
        <w:spacing w:after="0"/>
        <w:tabs>
          <w:tab w:leader="none" w:pos="1920" w:val="left"/>
        </w:tabs>
        <w:rPr>
          <w:sz w:val="20"/>
          <w:szCs w:val="20"/>
          <w:color w:val="auto"/>
        </w:rPr>
      </w:pPr>
      <w:r>
        <w:rPr>
          <w:rFonts w:ascii="Times New Roman" w:cs="Times New Roman" w:eastAsia="Times New Roman" w:hAnsi="Times New Roman"/>
          <w:sz w:val="20"/>
          <w:szCs w:val="20"/>
          <w:color w:val="auto"/>
        </w:rPr>
        <w:t>(II)</w:t>
      </w:r>
      <w:r>
        <w:rPr>
          <w:sz w:val="20"/>
          <w:szCs w:val="20"/>
          <w:color w:val="auto"/>
        </w:rPr>
        <w:tab/>
      </w:r>
      <w:r>
        <w:rPr>
          <w:rFonts w:ascii="Times New Roman" w:cs="Times New Roman" w:eastAsia="Times New Roman" w:hAnsi="Times New Roman"/>
          <w:sz w:val="19"/>
          <w:szCs w:val="19"/>
          <w:color w:val="auto"/>
        </w:rPr>
        <w:t>pay any such deduction to the Swiss Federal Tax Administration;</w:t>
      </w:r>
    </w:p>
    <w:p>
      <w:pPr>
        <w:spacing w:after="0" w:line="229" w:lineRule="exact"/>
        <w:rPr>
          <w:sz w:val="20"/>
          <w:szCs w:val="20"/>
          <w:color w:val="auto"/>
        </w:rPr>
      </w:pPr>
    </w:p>
    <w:p>
      <w:pPr>
        <w:ind w:left="180" w:firstLine="1300"/>
        <w:spacing w:after="0" w:line="269" w:lineRule="auto"/>
        <w:tabs>
          <w:tab w:leader="none" w:pos="2021"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and provide evidence to the Trustee that the Swiss Withholding Tax has been paid to the Swiss Federal Tax Administration; and</w:t>
      </w:r>
    </w:p>
    <w:p>
      <w:pPr>
        <w:spacing w:after="0" w:line="173" w:lineRule="exact"/>
        <w:rPr>
          <w:sz w:val="20"/>
          <w:szCs w:val="20"/>
          <w:color w:val="auto"/>
        </w:rPr>
      </w:pPr>
    </w:p>
    <w:p>
      <w:pPr>
        <w:jc w:val="both"/>
        <w:ind w:left="180" w:firstLine="1296"/>
        <w:spacing w:after="0" w:line="251" w:lineRule="auto"/>
        <w:rPr>
          <w:sz w:val="20"/>
          <w:szCs w:val="20"/>
          <w:color w:val="auto"/>
        </w:rPr>
      </w:pPr>
      <w:r>
        <w:rPr>
          <w:rFonts w:ascii="Times New Roman" w:cs="Times New Roman" w:eastAsia="Times New Roman" w:hAnsi="Times New Roman"/>
          <w:sz w:val="20"/>
          <w:szCs w:val="20"/>
          <w:color w:val="auto"/>
        </w:rPr>
        <w:t>(IV) (x) use its best efforts to ensure that any person other than the Trustee, which is entitled to a full or partial refund of the Swiss Withholding Tax deducted from such payment in respect of Swiss Restricted Obligations, will, as soon as possible after such deduction, request a refund of Swiss Withholding Tax under applicable law (including treaties) and pay to the Trustee upon receipt any amounts so refunded; or (y) if the Trustee is entitled to a full or partial refund of the Swiss Withholding Tax deducted from such payment, and if requested by the Trustee, provide the Trustee those documents that are required by law and applicable treaties to be provided by the payer of such tax, for the Trustee, to prepare a claim for refund of Swiss Withholding Tax.</w:t>
      </w:r>
    </w:p>
    <w:p>
      <w:pPr>
        <w:spacing w:after="0" w:line="193" w:lineRule="exact"/>
        <w:rPr>
          <w:sz w:val="20"/>
          <w:szCs w:val="20"/>
          <w:color w:val="auto"/>
        </w:rPr>
      </w:pPr>
    </w:p>
    <w:p>
      <w:pPr>
        <w:jc w:val="both"/>
        <w:ind w:left="-460" w:firstLine="1292"/>
        <w:spacing w:after="0" w:line="266" w:lineRule="auto"/>
        <w:tabs>
          <w:tab w:leader="none" w:pos="1396"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Where a deduction for Swiss Withholding Tax is required to be made in respect of any payment under this </w:t>
      </w:r>
      <w:r>
        <w:rPr>
          <w:rFonts w:ascii="Times New Roman" w:cs="Times New Roman" w:eastAsia="Times New Roman" w:hAnsi="Times New Roman"/>
          <w:sz w:val="19"/>
          <w:szCs w:val="19"/>
          <w:u w:val="single" w:color="auto"/>
          <w:color w:val="auto"/>
        </w:rPr>
        <w:t>Section 10.7(c)(iii)</w:t>
      </w:r>
      <w:r>
        <w:rPr>
          <w:rFonts w:ascii="Times New Roman" w:cs="Times New Roman" w:eastAsia="Times New Roman" w:hAnsi="Times New Roman"/>
          <w:sz w:val="19"/>
          <w:szCs w:val="19"/>
          <w:color w:val="auto"/>
        </w:rPr>
        <w:t xml:space="preserve"> pursuant to </w:t>
      </w:r>
      <w:r>
        <w:rPr>
          <w:rFonts w:ascii="Times New Roman" w:cs="Times New Roman" w:eastAsia="Times New Roman" w:hAnsi="Times New Roman"/>
          <w:sz w:val="19"/>
          <w:szCs w:val="19"/>
          <w:u w:val="single" w:color="auto"/>
          <w:color w:val="auto"/>
        </w:rPr>
        <w:t>Section 10.7(c)(ii)</w:t>
      </w:r>
      <w:r>
        <w:rPr>
          <w:rFonts w:ascii="Times New Roman" w:cs="Times New Roman" w:eastAsia="Times New Roman" w:hAnsi="Times New Roman"/>
          <w:sz w:val="19"/>
          <w:szCs w:val="19"/>
          <w:color w:val="auto"/>
        </w:rPr>
        <w:t xml:space="preserve">, the Trustee shall be entitled to further enforce the Guarantee and other indemnity granted by the Swiss Guarantor under this Indenture and apply proceeds therefrom against the Swiss Restricted Obligations (and the Swiss Guarantor shall withhold Swiss Withholding Tax on the additional amount in accordance with </w:t>
      </w:r>
      <w:r>
        <w:rPr>
          <w:rFonts w:ascii="Times New Roman" w:cs="Times New Roman" w:eastAsia="Times New Roman" w:hAnsi="Times New Roman"/>
          <w:sz w:val="19"/>
          <w:szCs w:val="19"/>
          <w:u w:val="single" w:color="auto"/>
          <w:color w:val="auto"/>
        </w:rPr>
        <w:t>Section 10.7(c)(ii)</w:t>
      </w:r>
      <w:r>
        <w:rPr>
          <w:rFonts w:ascii="Times New Roman" w:cs="Times New Roman" w:eastAsia="Times New Roman" w:hAnsi="Times New Roman"/>
          <w:sz w:val="19"/>
          <w:szCs w:val="19"/>
          <w:color w:val="auto"/>
        </w:rPr>
        <w:t xml:space="preserve">) so that after making any required deduction of Swiss Withholding Tax, the aggregate amount paid net of Swiss Withholding Tax is equal to the amount which would have resulted if no deduction of Swiss Withholding Tax had been required, subject always to the limitations set out in </w:t>
      </w:r>
      <w:r>
        <w:rPr>
          <w:rFonts w:ascii="Times New Roman" w:cs="Times New Roman" w:eastAsia="Times New Roman" w:hAnsi="Times New Roman"/>
          <w:sz w:val="19"/>
          <w:szCs w:val="19"/>
          <w:u w:val="single" w:color="auto"/>
          <w:color w:val="auto"/>
        </w:rPr>
        <w:t>Section 10.7(c)(ii)</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u w:val="single" w:color="auto"/>
          <w:color w:val="auto"/>
        </w:rPr>
        <w:t>Section 10.7(c)(iii)</w:t>
      </w:r>
      <w:r>
        <w:rPr>
          <w:rFonts w:ascii="Times New Roman" w:cs="Times New Roman" w:eastAsia="Times New Roman" w:hAnsi="Times New Roman"/>
          <w:sz w:val="19"/>
          <w:szCs w:val="19"/>
          <w:color w:val="auto"/>
        </w:rPr>
        <w:t xml:space="preserve"> is without prejudice to the indemnification obligations of the Issuer or any Guarantor other than the Swiss Guarantor in respect of any amounts deducted for the account of Swiss Withholding Tax.</w:t>
      </w:r>
    </w:p>
    <w:p>
      <w:pPr>
        <w:spacing w:after="0" w:line="182" w:lineRule="exact"/>
        <w:rPr>
          <w:rFonts w:ascii="Times New Roman" w:cs="Times New Roman" w:eastAsia="Times New Roman" w:hAnsi="Times New Roman"/>
          <w:sz w:val="19"/>
          <w:szCs w:val="19"/>
          <w:color w:val="auto"/>
        </w:rPr>
      </w:pPr>
    </w:p>
    <w:p>
      <w:pPr>
        <w:jc w:val="both"/>
        <w:ind w:left="-460" w:firstLine="1292"/>
        <w:spacing w:after="0" w:line="261" w:lineRule="auto"/>
        <w:tabs>
          <w:tab w:leader="none" w:pos="133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to the extent requested by the Trustee, the Swiss Guarantor shall promptly implement all such measures and/or promptly procure the fulfilment of all prerequisites allowing it to promptly make the requested payment(s) from time to time, including the following:</w:t>
      </w:r>
    </w:p>
    <w:p>
      <w:pPr>
        <w:spacing w:after="0" w:line="168" w:lineRule="exact"/>
        <w:rPr>
          <w:sz w:val="20"/>
          <w:szCs w:val="20"/>
          <w:color w:val="auto"/>
        </w:rPr>
      </w:pPr>
    </w:p>
    <w:p>
      <w:pPr>
        <w:ind w:left="-460" w:firstLine="1292"/>
        <w:spacing w:after="0" w:line="283" w:lineRule="auto"/>
        <w:tabs>
          <w:tab w:leader="none" w:pos="138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preparation of an up-to-date audited interim balance sheet of the Swiss Guarantor to the extent required by Swiss corporate law, on the basis of which the Swiss Available Amount will be determined;</w:t>
      </w:r>
    </w:p>
    <w:p>
      <w:pPr>
        <w:spacing w:after="0" w:line="159" w:lineRule="exact"/>
        <w:rPr>
          <w:rFonts w:ascii="Times New Roman" w:cs="Times New Roman" w:eastAsia="Times New Roman" w:hAnsi="Times New Roman"/>
          <w:sz w:val="20"/>
          <w:szCs w:val="20"/>
          <w:color w:val="auto"/>
        </w:rPr>
      </w:pPr>
    </w:p>
    <w:p>
      <w:pPr>
        <w:ind w:left="-460" w:firstLine="1292"/>
        <w:spacing w:after="0" w:line="269" w:lineRule="auto"/>
        <w:tabs>
          <w:tab w:leader="none" w:pos="1325"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confirmation of the auditors of the Swiss Guarantor that the relevant amount represents (the maximum of) the Swiss Available Amount;</w:t>
      </w:r>
    </w:p>
    <w:p>
      <w:pPr>
        <w:spacing w:after="0" w:line="172" w:lineRule="exact"/>
        <w:rPr>
          <w:rFonts w:ascii="Times New Roman" w:cs="Times New Roman" w:eastAsia="Times New Roman" w:hAnsi="Times New Roman"/>
          <w:sz w:val="20"/>
          <w:szCs w:val="20"/>
          <w:color w:val="auto"/>
        </w:rPr>
      </w:pPr>
    </w:p>
    <w:p>
      <w:pPr>
        <w:ind w:left="-460" w:firstLine="1292"/>
        <w:spacing w:after="0" w:line="269" w:lineRule="auto"/>
        <w:tabs>
          <w:tab w:leader="none" w:pos="1311"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a shareholders’ or quotaholders’ meeting of the Swiss Guarantor of the distribution of the relevant requested amount (within the limits of the Swiss Available Amount);</w:t>
      </w:r>
    </w:p>
    <w:p>
      <w:pPr>
        <w:spacing w:after="0" w:line="172" w:lineRule="exact"/>
        <w:rPr>
          <w:rFonts w:ascii="Times New Roman" w:cs="Times New Roman" w:eastAsia="Times New Roman" w:hAnsi="Times New Roman"/>
          <w:sz w:val="20"/>
          <w:szCs w:val="20"/>
          <w:color w:val="auto"/>
        </w:rPr>
      </w:pPr>
    </w:p>
    <w:p>
      <w:pPr>
        <w:jc w:val="both"/>
        <w:ind w:left="-460" w:firstLine="1292"/>
        <w:spacing w:after="0" w:line="253" w:lineRule="auto"/>
        <w:tabs>
          <w:tab w:leader="none" w:pos="1397"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enforcement of obligations of the Swiss Guarantor were limited due to the effects referred to in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and to the extent permitted by applicable Swiss law, write up and/or, to the extent permitted under its Guarantee, realize any of its assets that are shown in its balance sheet with a book value that is lower than the market value of the assets (in case of realization, however, only if such assets are not necessary for the Swiss Guarantor’s business (</w:t>
      </w:r>
      <w:r>
        <w:rPr>
          <w:rFonts w:ascii="Times New Roman" w:cs="Times New Roman" w:eastAsia="Times New Roman" w:hAnsi="Times New Roman"/>
          <w:sz w:val="20"/>
          <w:szCs w:val="20"/>
          <w:i w:val="1"/>
          <w:iCs w:val="1"/>
          <w:color w:val="auto"/>
        </w:rPr>
        <w:t>nicht betriebsnotwendige Aktiven</w:t>
      </w:r>
      <w:r>
        <w:rPr>
          <w:rFonts w:ascii="Times New Roman" w:cs="Times New Roman" w:eastAsia="Times New Roman" w:hAnsi="Times New Roman"/>
          <w:sz w:val="20"/>
          <w:szCs w:val="20"/>
          <w:color w:val="auto"/>
        </w:rPr>
        <w:t>)), and/or convert share capital and statutory reserves into freely available reserves unless prohibited by mandatory law;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0120"/>
          </w:cols>
          <w:pgMar w:left="1440" w:top="1413" w:right="339" w:bottom="1440" w:gutter="0" w:footer="0" w:header="0"/>
        </w:sectPr>
      </w:pPr>
    </w:p>
    <w:bookmarkStart w:id="108" w:name="page109"/>
    <w:bookmarkEnd w:id="108"/>
    <w:p>
      <w:pPr>
        <w:ind w:left="660" w:right="20" w:firstLine="1292"/>
        <w:spacing w:after="0" w:line="283" w:lineRule="auto"/>
        <w:tabs>
          <w:tab w:leader="none" w:pos="2423"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such measures necessary or useful, and permitted under applicable Swiss law, to allow the Swiss Guarantor to make prompt payments or perform promptly Swiss Restricted Obligations with a minimum of limitations.</w:t>
      </w:r>
    </w:p>
    <w:p>
      <w:pPr>
        <w:spacing w:after="0" w:line="146" w:lineRule="exact"/>
        <w:rPr>
          <w:sz w:val="20"/>
          <w:szCs w:val="20"/>
          <w:color w:val="auto"/>
        </w:rPr>
      </w:pPr>
    </w:p>
    <w:p>
      <w:pPr>
        <w:jc w:val="both"/>
        <w:ind w:left="660" w:firstLine="1292"/>
        <w:spacing w:after="0" w:line="261" w:lineRule="auto"/>
        <w:tabs>
          <w:tab w:leader="none" w:pos="2441"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proceeds from the Notes shall be applied in any manner that may be illegal or contravene any applicable law or regulation in any relevant jurisdiction, including those laws or regulations concerning financial assistance by a company for the acquisition of, or subscription for, shares or concerning the protection of shareholders’ capital.</w:t>
      </w:r>
    </w:p>
    <w:p>
      <w:pPr>
        <w:spacing w:after="0" w:line="181"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463"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proceeds from the Notes shall be used (and neither the Issuer nor any Guarantor shall, and the Issuer shall ensure that none of its Subsidiaries or Affiliates will, use such proceeds) in a manner which constitutes a “use of proceeds in Switzerland” as interpreted by the Swiss Federal Tax Administration for the purposes of Swiss Withholding Tax, unless and to the extent that a written confirmation or countersigned tax ruling application from the Swiss Federal Tax Administration has been obtained and provided in a form satisfactory in advance to the Trustee (acting reasonably), confirming that the intended “use of proceeds in Switzerland” does not result therein that payments in respect of any of the Notes become subject to Swiss Withholding Tax.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0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11.1. </w:t>
      </w:r>
      <w:r>
        <w:rPr>
          <w:rFonts w:ascii="Times New Roman" w:cs="Times New Roman" w:eastAsia="Times New Roman" w:hAnsi="Times New Roman"/>
          <w:sz w:val="20"/>
          <w:szCs w:val="20"/>
          <w:u w:val="single" w:color="auto"/>
          <w:color w:val="auto"/>
        </w:rPr>
        <w:t>Concerning the Trust Indenture Act</w:t>
      </w:r>
      <w:r>
        <w:rPr>
          <w:rFonts w:ascii="Times New Roman" w:cs="Times New Roman" w:eastAsia="Times New Roman" w:hAnsi="Times New Roman"/>
          <w:sz w:val="20"/>
          <w:szCs w:val="20"/>
          <w:color w:val="auto"/>
        </w:rPr>
        <w:t>. The TIA shall not be applicable to, and shall not govern, this Indenture, the Notes or the Guarantees.</w:t>
      </w:r>
    </w:p>
    <w:p>
      <w:pPr>
        <w:spacing w:after="0" w:line="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11.2.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request, direction, instruction or communication by the Issuer, any Guarantor or the Trustee to the others is duly given if in writing and delivered in person or mailed by first class mail (registered or certified, return receipt requested), electronic image scan, facsimile transmission or overnight air courier guaranteeing next day delivery, to the addresses set forth below:</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the Issuer or any Guarantor: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Noble Finance II LLC</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2101 City West Boulevard, Suite 600</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Houston, Texas 77042</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the Trustee: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HSBC Bank USA, National Association</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66 Hudson Boulevard East, 5th Floor</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New York, NY 10001</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Issuer Services / Deal Management</w:t>
      </w:r>
    </w:p>
    <w:p>
      <w:pPr>
        <w:spacing w:after="0" w:line="22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parties hereto, by written notice to the others, may designate additional or different addresses for subsequent notices or communications.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All notices and communications (other than those sent to Holders and the Trustee) shall be deemed to have been duly given: at the time delivered by hand, if personally delivered; five Business Days after being deposited in the mail, postage prepaid, if mailed; when receipt acknowledged, if telecopied; and the next Business Day after timely delivery to the courier, if sent by overnight air courier promising next Business Day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13" w:right="339" w:bottom="1440" w:gutter="0" w:footer="0" w:header="0"/>
        </w:sectPr>
      </w:pPr>
    </w:p>
    <w:bookmarkStart w:id="109" w:name="page110"/>
    <w:bookmarkEnd w:id="109"/>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Any notice or communication to a Holder and the Trustee shall be mailed by first class mail or by overnight air courier promising next Business Day delivery to its address shown on the register kept by the Registrar. Notwithstanding the foregoing, as long as the Notes are Global Notes, notices to be given to the Holders shall be given to the Depositary, in accordance with its applicable policies as in effect from time to time. Failure to mail a notice or communication to a Holder or any defect in it shall not affect its sufficiency with respect to other Holders.</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respect of this Indenture, the Trustee shall not have any duty or obligation to verify or confirm that the Person sending instructions, directors, reports, notices or other communications or information by electronic transmission is, in fact, a Person authorized to give such instructions, directors, reports notices or other communications or information on behalf of the party purporting to send such electronic transmission; and the Trustee shall not have any liability for any losses, liability, costs or expenses incurred or sustained by any party as a result of such reliance upon or compliance with such instructions directors, reports, notices or other communications or information. Each other party, agrees to assume all risks arising out of the use of electronic methods to submit instructions, directions, reports, notices or other communications or indemnifications to the Trustee, including without limitation the risk of the Trustee acting on unauthorized instructions, notices, reports or other communications or information, and the risks of interception and misuse by third parties.</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a notice or communication is delivered in the manner provided above within the time prescribed, it is duly given, whether or not the addressee receives it, except in the case of notices or communications given to the Trustee, which shall be effective only upon actual receipt.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the Issuer delivers a notice or communication to Holders, it shall mail a copy to the Trustee and each Agent at the same time.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11.3. </w:t>
      </w:r>
      <w:r>
        <w:rPr>
          <w:rFonts w:ascii="Times New Roman" w:cs="Times New Roman" w:eastAsia="Times New Roman" w:hAnsi="Times New Roman"/>
          <w:sz w:val="20"/>
          <w:szCs w:val="20"/>
          <w:u w:val="single" w:color="auto"/>
          <w:color w:val="auto"/>
        </w:rPr>
        <w:t>Certificate and Opinion as to Conditions Precedent</w:t>
      </w:r>
      <w:r>
        <w:rPr>
          <w:rFonts w:ascii="Times New Roman" w:cs="Times New Roman" w:eastAsia="Times New Roman" w:hAnsi="Times New Roman"/>
          <w:sz w:val="20"/>
          <w:szCs w:val="20"/>
          <w:color w:val="auto"/>
        </w:rPr>
        <w:t>. Upon any request or application by the Issuer to the Trustee to take any action under this Indenture, the Issuer shall furnish to the Trustee upon request:</w:t>
      </w:r>
    </w:p>
    <w:p>
      <w:pPr>
        <w:jc w:val="both"/>
        <w:ind w:firstLine="656"/>
        <w:spacing w:after="0" w:line="249" w:lineRule="auto"/>
        <w:tabs>
          <w:tab w:leader="none" w:pos="1217"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Officers’ Certificate (which shall include the statements set forth in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in form and substance reasonably satisfactory to the Trustee stating that, in the opinion of the signers, all conditions precedent and covenants, if any, provided for in this Indenture relating to the proposed action have been satisfied; and</w:t>
      </w:r>
    </w:p>
    <w:p>
      <w:pPr>
        <w:spacing w:after="0" w:line="193" w:lineRule="exact"/>
        <w:rPr>
          <w:rFonts w:ascii="Times New Roman" w:cs="Times New Roman" w:eastAsia="Times New Roman" w:hAnsi="Times New Roman"/>
          <w:sz w:val="20"/>
          <w:szCs w:val="20"/>
          <w:color w:val="auto"/>
        </w:rPr>
      </w:pPr>
    </w:p>
    <w:p>
      <w:pPr>
        <w:ind w:firstLine="656"/>
        <w:spacing w:after="0" w:line="283" w:lineRule="auto"/>
        <w:tabs>
          <w:tab w:leader="none" w:pos="1225"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Opinion of Counsel (which shall include the statements set forth in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in form and substance reasonably satisfactory to the Trustee stating that, in the opinion of such counsel, all such conditions precedent and covenants have been satisfied.</w:t>
      </w:r>
    </w:p>
    <w:p>
      <w:pPr>
        <w:spacing w:after="0" w:line="14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11.4. </w:t>
      </w:r>
      <w:r>
        <w:rPr>
          <w:rFonts w:ascii="Times New Roman" w:cs="Times New Roman" w:eastAsia="Times New Roman" w:hAnsi="Times New Roman"/>
          <w:sz w:val="20"/>
          <w:szCs w:val="20"/>
          <w:u w:val="single" w:color="auto"/>
          <w:color w:val="auto"/>
        </w:rPr>
        <w:t>Statements Required in Certificate or Opinion</w:t>
      </w:r>
      <w:r>
        <w:rPr>
          <w:rFonts w:ascii="Times New Roman" w:cs="Times New Roman" w:eastAsia="Times New Roman" w:hAnsi="Times New Roman"/>
          <w:sz w:val="20"/>
          <w:szCs w:val="20"/>
          <w:color w:val="auto"/>
        </w:rPr>
        <w:t>. Each certificate or opinion with respect to compliance with a condition or covenant provided for in this Indenture shall include:</w:t>
      </w:r>
    </w:p>
    <w:p>
      <w:pPr>
        <w:ind w:left="1080" w:hanging="424"/>
        <w:spacing w:after="0"/>
        <w:tabs>
          <w:tab w:leader="none" w:pos="108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the Person making such certificate or opinion has read and understands such covenant or condition;</w:t>
      </w:r>
    </w:p>
    <w:p>
      <w:pPr>
        <w:spacing w:after="0" w:line="207" w:lineRule="exact"/>
        <w:rPr>
          <w:rFonts w:ascii="Times New Roman" w:cs="Times New Roman" w:eastAsia="Times New Roman" w:hAnsi="Times New Roman"/>
          <w:sz w:val="20"/>
          <w:szCs w:val="20"/>
          <w:color w:val="auto"/>
        </w:rPr>
      </w:pPr>
    </w:p>
    <w:p>
      <w:pPr>
        <w:ind w:right="20" w:firstLine="656"/>
        <w:spacing w:after="0" w:line="283" w:lineRule="auto"/>
        <w:tabs>
          <w:tab w:leader="none" w:pos="1077"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statement as to the nature and scope of the examination or investigation upon which the statements or opinions contained in such certificate or opinion are based;</w:t>
      </w:r>
    </w:p>
    <w:p>
      <w:pPr>
        <w:spacing w:after="0" w:line="146" w:lineRule="exact"/>
        <w:rPr>
          <w:rFonts w:ascii="Times New Roman" w:cs="Times New Roman" w:eastAsia="Times New Roman" w:hAnsi="Times New Roman"/>
          <w:sz w:val="20"/>
          <w:szCs w:val="20"/>
          <w:color w:val="auto"/>
        </w:rPr>
      </w:pPr>
    </w:p>
    <w:p>
      <w:pPr>
        <w:ind w:right="20" w:firstLine="656"/>
        <w:spacing w:after="0" w:line="283" w:lineRule="auto"/>
        <w:tabs>
          <w:tab w:leader="none" w:pos="1095"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that, in the opinion of such Person, he or she has made such examination or investigation as is necessary to enable him to express an informed opinion as to whether or not such covenant or condition has been satisfied; and</w:t>
      </w:r>
    </w:p>
    <w:p>
      <w:pPr>
        <w:spacing w:after="0" w:line="146"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as to whether or not, in the opinion of such Person, such condition or covenant has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13" w:right="339" w:bottom="1440" w:gutter="0" w:footer="0" w:header="0"/>
        </w:sectPr>
      </w:pPr>
    </w:p>
    <w:bookmarkStart w:id="110" w:name="page111"/>
    <w:bookmarkEnd w:id="110"/>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11.5. </w:t>
      </w:r>
      <w:r>
        <w:rPr>
          <w:rFonts w:ascii="Times New Roman" w:cs="Times New Roman" w:eastAsia="Times New Roman" w:hAnsi="Times New Roman"/>
          <w:sz w:val="20"/>
          <w:szCs w:val="20"/>
          <w:u w:val="single" w:color="auto"/>
          <w:color w:val="auto"/>
        </w:rPr>
        <w:t>Rules by Trustee and Agents</w:t>
      </w:r>
      <w:r>
        <w:rPr>
          <w:rFonts w:ascii="Times New Roman" w:cs="Times New Roman" w:eastAsia="Times New Roman" w:hAnsi="Times New Roman"/>
          <w:sz w:val="20"/>
          <w:szCs w:val="20"/>
          <w:color w:val="auto"/>
        </w:rPr>
        <w:t>. The Trustee may make reasonable rules for action by or at a meeting of Holders. Each of the Agents may make reasonable rules and set reasonable requirements for its functions.</w:t>
      </w:r>
    </w:p>
    <w:p>
      <w:pPr>
        <w:ind w:left="660"/>
        <w:spacing w:after="0"/>
        <w:tabs>
          <w:tab w:leader="none" w:pos="2140" w:val="left"/>
        </w:tabs>
        <w:rPr>
          <w:sz w:val="20"/>
          <w:szCs w:val="20"/>
          <w:color w:val="auto"/>
        </w:rPr>
      </w:pPr>
      <w:r>
        <w:rPr>
          <w:rFonts w:ascii="Times New Roman" w:cs="Times New Roman" w:eastAsia="Times New Roman" w:hAnsi="Times New Roman"/>
          <w:sz w:val="20"/>
          <w:szCs w:val="20"/>
          <w:color w:val="auto"/>
        </w:rPr>
        <w:t>Section 11.6.</w:t>
      </w:r>
      <w:r>
        <w:rPr>
          <w:sz w:val="20"/>
          <w:szCs w:val="20"/>
          <w:color w:val="auto"/>
        </w:rPr>
        <w:tab/>
      </w:r>
      <w:r>
        <w:rPr>
          <w:rFonts w:ascii="Times New Roman" w:cs="Times New Roman" w:eastAsia="Times New Roman" w:hAnsi="Times New Roman"/>
          <w:sz w:val="20"/>
          <w:szCs w:val="20"/>
          <w:u w:val="single" w:color="auto"/>
          <w:color w:val="auto"/>
        </w:rPr>
        <w:t>No Personal Liability of Directors, Officers, Employees and Stockholders</w:t>
      </w:r>
      <w:r>
        <w:rPr>
          <w:rFonts w:ascii="Times New Roman" w:cs="Times New Roman" w:eastAsia="Times New Roman" w:hAnsi="Times New Roman"/>
          <w:sz w:val="20"/>
          <w:szCs w:val="20"/>
          <w:color w:val="auto"/>
        </w:rPr>
        <w:t>. No director, officer, employee,</w:t>
      </w:r>
    </w:p>
    <w:p>
      <w:pPr>
        <w:spacing w:after="0" w:line="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incorporator or stockholder, partner or member of the Issuer or any Guarantor, as such, will have any liability for any indebtedness, obligations or liabilities of the Issuer under the Notes or this Indenture or of any Guarantor under its Guarantee or for any claim based on, in respect of, or by reason of, such obligations or their creation. Each Holder by accepting a Note waives and releases all such liability. The waiver and release are part of the consideration for issuance of the Notes and the Guarantees.</w:t>
      </w:r>
    </w:p>
    <w:p>
      <w:pPr>
        <w:spacing w:after="0" w:line="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11.7. </w:t>
      </w:r>
      <w:r>
        <w:rPr>
          <w:rFonts w:ascii="Times New Roman" w:cs="Times New Roman" w:eastAsia="Times New Roman" w:hAnsi="Times New Roman"/>
          <w:sz w:val="20"/>
          <w:szCs w:val="20"/>
          <w:u w:val="single" w:color="auto"/>
          <w:color w:val="auto"/>
        </w:rPr>
        <w:t>Governing Law; Consent to Jurisdiction</w:t>
      </w:r>
      <w:r>
        <w:rPr>
          <w:rFonts w:ascii="Times New Roman" w:cs="Times New Roman" w:eastAsia="Times New Roman" w:hAnsi="Times New Roman"/>
          <w:sz w:val="20"/>
          <w:szCs w:val="20"/>
          <w:color w:val="auto"/>
        </w:rPr>
        <w:t>. THE LAW OF THE STATE OF NEW YORK SHALL GOVERN AND BE USED TO CONSTRUE THIS INDENTURE, THE NOTES AND THE GUARANTEES (including, without limitation, non-contractual disputes or claims). Each of the parties to this Indenture each hereby irrevocably submits to the non-exclusive jurisdiction of any New York State or federal court sitting in the Borough of Manhattan in The City of New York in any action or proceeding arising out of or relating to the Notes, the Guarantees or this Indenture, and all such parties hereby irrevocably agree that all claims in respect of such action or proceeding may be heard and determined in such New York State or federal court and hereby irrevocably waive, to the fullest extent that they may legally do so, the defense of an inconvenient forum to the maintenance of such action or proceeding. Each of the Issuer and each of the Guarantors agrees that final judgment in any such suit, action or proceeding brought in such court shall be conclusive and binding upon the Issuer and each Guarantor, as applicable, and may be enforced in any court to the jurisdiction of which Issuer and each Guarantor, as applicable, is subject by a suit upon such judgment. The Issuer and the Guarantors each irrevocably appoints Noble Services Company at 2102 City West Boulevard, Suite 600, Houston, TX 77042 as its authorized agent (the “</w:t>
      </w:r>
      <w:r>
        <w:rPr>
          <w:rFonts w:ascii="Times New Roman" w:cs="Times New Roman" w:eastAsia="Times New Roman" w:hAnsi="Times New Roman"/>
          <w:sz w:val="20"/>
          <w:szCs w:val="20"/>
          <w:i w:val="1"/>
          <w:iCs w:val="1"/>
          <w:color w:val="auto"/>
        </w:rPr>
        <w:t>Authorized Agent</w:t>
      </w:r>
      <w:r>
        <w:rPr>
          <w:rFonts w:ascii="Times New Roman" w:cs="Times New Roman" w:eastAsia="Times New Roman" w:hAnsi="Times New Roman"/>
          <w:sz w:val="20"/>
          <w:szCs w:val="20"/>
          <w:color w:val="auto"/>
        </w:rPr>
        <w:t>”) upon whom process may be served in any suit, action or proceeding arising out of or based upon this Indenture or the transactions contemplated herein that may be instituted in any State or U.S. federal court in The City of New York and County of New York, by the Trustee, the directors, officers, employees, affiliates and agents of the Trustee, or by any person who controls the Trustee, and expressly accepts the non-exclusive jurisdiction of any such court in respect of any such suit, action or proceeding. The Issuer and each Guarantor hereby represents and warrants that the Authorized Agent has accepted such appointment and has agreed to act as said agent for service of process, and the Issuer and each Guarantor agree to take any and all action, including the filing of any and all documents that may be necessary to continue such appointment in full force and effect as aforesaid. Service of process upon the Authorized Agent shall be deemed, in every respect, effective service of process upon the Issuer or such Guarantor, as applicable.</w:t>
      </w:r>
    </w:p>
    <w:p>
      <w:pPr>
        <w:spacing w:after="0" w:line="1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Section 11.8. </w:t>
      </w:r>
      <w:r>
        <w:rPr>
          <w:rFonts w:ascii="Times New Roman" w:cs="Times New Roman" w:eastAsia="Times New Roman" w:hAnsi="Times New Roman"/>
          <w:sz w:val="20"/>
          <w:szCs w:val="20"/>
          <w:u w:val="single" w:color="auto"/>
          <w:color w:val="auto"/>
        </w:rPr>
        <w:t>No Adverse Interpretation of Other Agreements</w:t>
      </w:r>
      <w:r>
        <w:rPr>
          <w:rFonts w:ascii="Times New Roman" w:cs="Times New Roman" w:eastAsia="Times New Roman" w:hAnsi="Times New Roman"/>
          <w:sz w:val="20"/>
          <w:szCs w:val="20"/>
          <w:color w:val="auto"/>
        </w:rPr>
        <w:t>. This Indenture may not be used to interpret any other indenture, loan or debt agreement of the Issuer or its Subsidiaries or of any other Person. Any such indenture, loan or debt agreement may not be used to interpret this Indenture.</w:t>
      </w:r>
    </w:p>
    <w:p>
      <w:pPr>
        <w:spacing w:after="0" w:line="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11.9. </w:t>
      </w: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All agreements of the Issuer and the Guarantors in this Indenture and the Notes and the Guarantees, as applicable, shall bind their respective successors and assigns. All agreements of the Trustee in this Indenture shall bind its respective successors and assigns.</w:t>
      </w:r>
    </w:p>
    <w:p>
      <w:pPr>
        <w:spacing w:after="0" w:line="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11.10.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in this Indenture or in the Notes shall be invalid, illegal or unenforceable, the validity, legality and enforceability of the remaining provisions shall not in any way be affected or impaired thereby.</w:t>
      </w: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11.11. </w:t>
      </w:r>
      <w:r>
        <w:rPr>
          <w:rFonts w:ascii="Times New Roman" w:cs="Times New Roman" w:eastAsia="Times New Roman" w:hAnsi="Times New Roman"/>
          <w:sz w:val="20"/>
          <w:szCs w:val="20"/>
          <w:u w:val="single" w:color="auto"/>
          <w:color w:val="auto"/>
        </w:rPr>
        <w:t>Execution in Counterparts</w:t>
      </w:r>
      <w:r>
        <w:rPr>
          <w:rFonts w:ascii="Times New Roman" w:cs="Times New Roman" w:eastAsia="Times New Roman" w:hAnsi="Times New Roman"/>
          <w:sz w:val="20"/>
          <w:szCs w:val="20"/>
          <w:color w:val="auto"/>
        </w:rPr>
        <w:t>. This Indenture may be executed in two or more counterparts, which when so executed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The words “execution,” “signed,” “signature,” “delivery,” and words of like import in or relating to this Indenture or any document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13" w:right="339" w:bottom="1440" w:gutter="0" w:footer="0" w:header="0"/>
        </w:sectPr>
      </w:pPr>
    </w:p>
    <w:bookmarkStart w:id="111" w:name="page112"/>
    <w:bookmarkEnd w:id="111"/>
    <w:p>
      <w:pPr>
        <w:jc w:val="both"/>
        <w:spacing w:after="0" w:line="252" w:lineRule="auto"/>
        <w:rPr>
          <w:sz w:val="20"/>
          <w:szCs w:val="20"/>
          <w:color w:val="auto"/>
        </w:rPr>
      </w:pPr>
      <w:r>
        <w:rPr>
          <w:rFonts w:ascii="Times New Roman" w:cs="Times New Roman" w:eastAsia="Times New Roman" w:hAnsi="Times New Roman"/>
          <w:sz w:val="20"/>
          <w:szCs w:val="20"/>
          <w:color w:val="auto"/>
        </w:rPr>
        <w:t>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Section 11.12. </w:t>
      </w:r>
      <w:r>
        <w:rPr>
          <w:rFonts w:ascii="Times New Roman" w:cs="Times New Roman" w:eastAsia="Times New Roman" w:hAnsi="Times New Roman"/>
          <w:sz w:val="20"/>
          <w:szCs w:val="20"/>
          <w:u w:val="single" w:color="auto"/>
          <w:color w:val="auto"/>
        </w:rPr>
        <w:t>Table of Contents, Headings, Etc</w:t>
      </w:r>
      <w:r>
        <w:rPr>
          <w:rFonts w:ascii="Times New Roman" w:cs="Times New Roman" w:eastAsia="Times New Roman" w:hAnsi="Times New Roman"/>
          <w:sz w:val="20"/>
          <w:szCs w:val="20"/>
          <w:color w:val="auto"/>
        </w:rPr>
        <w:t>. 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3"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11.13.</w:t>
      </w:r>
      <w:r>
        <w:rPr>
          <w:sz w:val="20"/>
          <w:szCs w:val="20"/>
          <w:color w:val="auto"/>
        </w:rPr>
        <w:tab/>
      </w:r>
      <w:r>
        <w:rPr>
          <w:rFonts w:ascii="Times New Roman" w:cs="Times New Roman" w:eastAsia="Times New Roman" w:hAnsi="Times New Roman"/>
          <w:sz w:val="19"/>
          <w:szCs w:val="19"/>
          <w:u w:val="single" w:color="auto"/>
          <w:color w:val="auto"/>
        </w:rPr>
        <w:t>Acts of Holders</w:t>
      </w:r>
      <w:r>
        <w:rPr>
          <w:rFonts w:ascii="Times New Roman" w:cs="Times New Roman" w:eastAsia="Times New Roman" w:hAnsi="Times New Roman"/>
          <w:sz w:val="19"/>
          <w:szCs w:val="19"/>
          <w:color w:val="auto"/>
        </w:rPr>
        <w:t>.</w:t>
      </w:r>
    </w:p>
    <w:p>
      <w:pPr>
        <w:spacing w:after="0" w:line="6" w:lineRule="exact"/>
        <w:rPr>
          <w:sz w:val="20"/>
          <w:szCs w:val="20"/>
          <w:color w:val="auto"/>
        </w:rPr>
      </w:pPr>
    </w:p>
    <w:p>
      <w:pPr>
        <w:jc w:val="both"/>
        <w:ind w:firstLine="656"/>
        <w:spacing w:after="0" w:line="249" w:lineRule="auto"/>
        <w:tabs>
          <w:tab w:leader="none" w:pos="1077"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(or, with respect to Global Notes, otherwise in accordance with the rules and procedures of the Depositary); and, except as herein otherwise expressly provided, such action shall become effective when such instrument or instruments are delivered to the Trustee and, where it is hereby expressly required, to the Issuer. Such instrument or instruments (and the action embodied therein and evidenced thereby) are herein sometimes referred to as the “</w:t>
      </w:r>
      <w:r>
        <w:rPr>
          <w:rFonts w:ascii="Times New Roman" w:cs="Times New Roman" w:eastAsia="Times New Roman" w:hAnsi="Times New Roman"/>
          <w:sz w:val="20"/>
          <w:szCs w:val="20"/>
          <w:i w:val="1"/>
          <w:iCs w:val="1"/>
          <w:color w:val="auto"/>
        </w:rPr>
        <w:t>Act</w:t>
      </w:r>
      <w:r>
        <w:rPr>
          <w:rFonts w:ascii="Times New Roman" w:cs="Times New Roman" w:eastAsia="Times New Roman" w:hAnsi="Times New Roman"/>
          <w:sz w:val="20"/>
          <w:szCs w:val="20"/>
          <w:color w:val="auto"/>
        </w:rPr>
        <w:t xml:space="preserve">” of Holders signing such instrument or instruments. Proof of execution of any such instrument or of a writing appointing any such agent shall be sufficient for any purpose of this Indenture and conclusive in favor of the Trustee and the Issuer, if made in the manner provided in this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color w:val="auto"/>
        </w:rPr>
      </w:pPr>
    </w:p>
    <w:p>
      <w:pPr>
        <w:jc w:val="both"/>
        <w:ind w:firstLine="656"/>
        <w:spacing w:after="0" w:line="251" w:lineRule="auto"/>
        <w:tabs>
          <w:tab w:leader="none" w:pos="109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spacing w:after="0" w:line="190"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ownership of Notes shall be proved by the register maintained by the Registrar hereunder.</w:t>
      </w:r>
    </w:p>
    <w:p>
      <w:pPr>
        <w:spacing w:after="0" w:line="229" w:lineRule="exact"/>
        <w:rPr>
          <w:rFonts w:ascii="Times New Roman" w:cs="Times New Roman" w:eastAsia="Times New Roman" w:hAnsi="Times New Roman"/>
          <w:sz w:val="20"/>
          <w:szCs w:val="20"/>
          <w:color w:val="auto"/>
        </w:rPr>
      </w:pPr>
    </w:p>
    <w:p>
      <w:pPr>
        <w:jc w:val="both"/>
        <w:ind w:firstLine="656"/>
        <w:spacing w:after="0" w:line="254" w:lineRule="auto"/>
        <w:tabs>
          <w:tab w:leader="none" w:pos="1101"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request, demand, authorization, direction, notice, consent, waiver or other Act of the Holder of any Note shall bind every future Holder of the same Note and the Holder of every Note issued upon the registration of transfer thereof or in exchange therefor or in lieu thereof in respect of anything done, omitted or suffered to be done by the Trustee or the Issuer in reliance thereon, whether or not notation of such action is made upon such Note.</w:t>
      </w:r>
    </w:p>
    <w:p>
      <w:pPr>
        <w:spacing w:after="0" w:line="187" w:lineRule="exact"/>
        <w:rPr>
          <w:rFonts w:ascii="Times New Roman" w:cs="Times New Roman" w:eastAsia="Times New Roman" w:hAnsi="Times New Roman"/>
          <w:sz w:val="20"/>
          <w:szCs w:val="20"/>
          <w:color w:val="auto"/>
        </w:rPr>
      </w:pPr>
    </w:p>
    <w:p>
      <w:pPr>
        <w:jc w:val="both"/>
        <w:ind w:firstLine="656"/>
        <w:spacing w:after="0" w:line="250" w:lineRule="auto"/>
        <w:tabs>
          <w:tab w:leader="none" w:pos="1112"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Issuer shall solicit from the Holders any request, demand, authorization, direction, notice, consent, waiver or other Act, the Issuer may, at its option, by or pursuant to a board resolution of the Issuer’s Board of Directors, fix in advance a record date for the determination of Holders entitled to give such request, demand, authorization, direction, notice, consent, waiver or other Act, but the Issuer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Notes have authorized or agreed or consented to such request, demand, authorization, direction, notice, consent, waiver or other Act, and for that purpose the outstanding Notes shall be computed as of such record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authorization, agreement or consent by the Holders on such record date shall be deemed effective unless it shall become effective pursuant to the provisions of this Indenture not later than six months after the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13" w:right="339" w:bottom="1440" w:gutter="0" w:footer="0" w:header="0"/>
        </w:sectPr>
      </w:pPr>
    </w:p>
    <w:bookmarkStart w:id="112" w:name="page113"/>
    <w:bookmarkEnd w:id="112"/>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11.14. </w:t>
      </w:r>
      <w:r>
        <w:rPr>
          <w:rFonts w:ascii="Times New Roman" w:cs="Times New Roman" w:eastAsia="Times New Roman" w:hAnsi="Times New Roman"/>
          <w:sz w:val="20"/>
          <w:szCs w:val="20"/>
          <w:u w:val="single" w:color="auto"/>
          <w:color w:val="auto"/>
        </w:rPr>
        <w:t>Force Majeure</w:t>
      </w:r>
      <w:r>
        <w:rPr>
          <w:rFonts w:ascii="Times New Roman" w:cs="Times New Roman" w:eastAsia="Times New Roman" w:hAnsi="Times New Roman"/>
          <w:sz w:val="20"/>
          <w:szCs w:val="20"/>
          <w:color w:val="auto"/>
        </w:rPr>
        <w:t>. In no event shall the Trustee or Agent be responsible or liable for any failure or delay in the performance of its obligations hereunder arising out of or caused by, directly or indirectly, forces beyond its control, including, without limitation, fire, riots, strikes, or work stoppages for any reason, embargoes, governmental actions,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U.S. banking industry to resume performance as soon as practicable under the circumstances.</w:t>
      </w:r>
    </w:p>
    <w:p>
      <w:pPr>
        <w:spacing w:after="0" w:line="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11.15. </w:t>
      </w:r>
      <w:r>
        <w:rPr>
          <w:rFonts w:ascii="Times New Roman" w:cs="Times New Roman" w:eastAsia="Times New Roman" w:hAnsi="Times New Roman"/>
          <w:sz w:val="20"/>
          <w:szCs w:val="20"/>
          <w:u w:val="single" w:color="auto"/>
          <w:color w:val="auto"/>
        </w:rPr>
        <w:t>Legal Holidays</w:t>
      </w:r>
      <w:r>
        <w:rPr>
          <w:rFonts w:ascii="Times New Roman" w:cs="Times New Roman" w:eastAsia="Times New Roman" w:hAnsi="Times New Roman"/>
          <w:sz w:val="20"/>
          <w:szCs w:val="20"/>
          <w:color w:val="auto"/>
        </w:rPr>
        <w:t>. If any scheduled payment date with respect to the Notes falls on a day that is not a Business Day, the payment to be made on such payment date will be made on the next succeeding Business Day with the same force and effect as if made on such payment date, and no additional interest will accrue solely as a result of such delayed payment.</w:t>
      </w:r>
    </w:p>
    <w:p>
      <w:pPr>
        <w:spacing w:after="0" w:line="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11.16.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The Issuer agrees that it will provide the Trustee with information about the Issuer as the Trustee may reasonably request in order for the Trustee to satisfy the requirements of the USA PATRIOT Act.</w:t>
      </w:r>
    </w:p>
    <w:p>
      <w:pPr>
        <w:spacing w:after="0" w:line="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11.17.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OF THE ISSUER, ANY GUARANTOR AND THE TRUSTEE HEREBY, AND EACH HOLDER OF A NOTE BY ITS ACCEPTANCE THEREOF, IRREVOCABLY WAIVES, TO THE FULLEST EXTENT PERMITTED BY APPLICABLE LAW, ANY AND ALL RIGHT TO TRIAL BY JURY IN ANY LEGAL PROCEEDING ARISING OUT OF OR RELATING TO THIS INDENTURE, THE NOTES OR ANY OF THE TRANSACTIONS CONTEMPLATED THEREBY OR HEREBY.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1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color w:val="auto"/>
        </w:rPr>
        <w:t>Dated as of June 11, 2026.</w:t>
      </w:r>
    </w:p>
    <w:p>
      <w:pPr>
        <w:spacing w:after="0" w:line="200" w:lineRule="exact"/>
        <w:rPr>
          <w:sz w:val="20"/>
          <w:szCs w:val="20"/>
          <w:color w:val="auto"/>
        </w:rPr>
      </w:pPr>
    </w:p>
    <w:p>
      <w:pPr>
        <w:spacing w:after="0" w:line="25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b w:val="1"/>
          <w:bCs w:val="1"/>
          <w:u w:val="single" w:color="auto"/>
          <w:color w:val="auto"/>
        </w:rPr>
        <w:t>ISSUER</w:t>
      </w:r>
    </w:p>
    <w:p>
      <w:pPr>
        <w:spacing w:after="0" w:line="26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NOBLE FINANCE II LLC</w:t>
      </w:r>
    </w:p>
    <w:p>
      <w:pPr>
        <w:spacing w:after="0" w:line="200" w:lineRule="exact"/>
        <w:rPr>
          <w:sz w:val="20"/>
          <w:szCs w:val="20"/>
          <w:color w:val="auto"/>
        </w:rPr>
      </w:pPr>
    </w:p>
    <w:p>
      <w:pPr>
        <w:spacing w:after="0" w:line="380" w:lineRule="exact"/>
        <w:rPr>
          <w:sz w:val="20"/>
          <w:szCs w:val="20"/>
          <w:color w:val="auto"/>
        </w:rPr>
      </w:pPr>
    </w:p>
    <w:p>
      <w:pPr>
        <w:ind w:left="4780"/>
        <w:spacing w:after="0"/>
        <w:tabs>
          <w:tab w:leader="none" w:pos="52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Bruce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-10795</wp:posOffset>
            </wp:positionV>
            <wp:extent cx="9074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47" w:lineRule="exact"/>
        <w:rPr>
          <w:sz w:val="20"/>
          <w:szCs w:val="20"/>
          <w:color w:val="auto"/>
        </w:rPr>
      </w:pPr>
    </w:p>
    <w:p>
      <w:pPr>
        <w:ind w:left="4780"/>
        <w:spacing w:after="0"/>
        <w:tabs>
          <w:tab w:leader="none" w:pos="55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Bruce Boyle</w:t>
      </w:r>
    </w:p>
    <w:p>
      <w:pPr>
        <w:spacing w:after="0" w:line="67"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20"/>
          <w:szCs w:val="20"/>
          <w:color w:val="auto"/>
        </w:rPr>
        <w:t>Title: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Indenture</w:t>
      </w:r>
      <w:r>
        <w:rPr>
          <w:rFonts w:ascii="Times New Roman" w:cs="Times New Roman" w:eastAsia="Times New Roman" w:hAnsi="Times New Roman"/>
          <w:sz w:val="20"/>
          <w:szCs w:val="20"/>
          <w:color w:val="auto"/>
        </w:rPr>
        <w:t>]</w:t>
      </w:r>
    </w:p>
    <w:p>
      <w:pPr>
        <w:sectPr>
          <w:pgSz w:w="11900" w:h="16838" w:orient="portrait"/>
          <w:cols w:equalWidth="0" w:num="1">
            <w:col w:w="10139"/>
          </w:cols>
          <w:pgMar w:left="320" w:top="1413" w:right="1440" w:bottom="1440" w:gutter="0" w:footer="0" w:header="0"/>
        </w:sectPr>
      </w:pPr>
    </w:p>
    <w:bookmarkStart w:id="114" w:name="page115"/>
    <w:bookmarkEnd w:id="114"/>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u w:val="single" w:color="auto"/>
          <w:color w:val="auto"/>
        </w:rPr>
        <w:t>GUARANTORS</w:t>
      </w:r>
    </w:p>
    <w:p>
      <w:pPr>
        <w:spacing w:after="0" w:line="26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NOBLE BD LLC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060"/>
        <w:spacing w:after="0"/>
        <w:tabs>
          <w:tab w:leader="none" w:pos="5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Ryan Trevor Pull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-10795</wp:posOffset>
            </wp:positionV>
            <wp:extent cx="11385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Name: Ryan Trevor Pull</w:t>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Title: President and Secretary</w:t>
      </w:r>
    </w:p>
    <w:p>
      <w:pPr>
        <w:spacing w:after="0" w:line="200" w:lineRule="exact"/>
        <w:rPr>
          <w:sz w:val="20"/>
          <w:szCs w:val="20"/>
          <w:color w:val="auto"/>
        </w:rPr>
      </w:pPr>
    </w:p>
    <w:p>
      <w:pPr>
        <w:spacing w:after="0" w:line="27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NOBLE DT LLC</w:t>
      </w:r>
    </w:p>
    <w:p>
      <w:pPr>
        <w:spacing w:after="0" w:line="200" w:lineRule="exact"/>
        <w:rPr>
          <w:sz w:val="20"/>
          <w:szCs w:val="20"/>
          <w:color w:val="auto"/>
        </w:rPr>
      </w:pPr>
    </w:p>
    <w:p>
      <w:pPr>
        <w:spacing w:after="0" w:line="299" w:lineRule="exact"/>
        <w:rPr>
          <w:sz w:val="20"/>
          <w:szCs w:val="20"/>
          <w:color w:val="auto"/>
        </w:rPr>
      </w:pPr>
    </w:p>
    <w:p>
      <w:pPr>
        <w:ind w:left="5060"/>
        <w:spacing w:after="0"/>
        <w:tabs>
          <w:tab w:leader="none" w:pos="5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Ryan Trevor Pull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-10795</wp:posOffset>
            </wp:positionV>
            <wp:extent cx="11385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Name: Ryan Trevor Pull</w:t>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Title: President and Secretary</w:t>
      </w:r>
    </w:p>
    <w:p>
      <w:pPr>
        <w:spacing w:after="0" w:line="200" w:lineRule="exact"/>
        <w:rPr>
          <w:sz w:val="20"/>
          <w:szCs w:val="20"/>
          <w:color w:val="auto"/>
        </w:rPr>
      </w:pPr>
    </w:p>
    <w:p>
      <w:pPr>
        <w:spacing w:after="0" w:line="27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NOBLE SERVICES COMPANY LLC</w:t>
      </w:r>
    </w:p>
    <w:p>
      <w:pPr>
        <w:spacing w:after="0" w:line="28" w:lineRule="exact"/>
        <w:rPr>
          <w:sz w:val="20"/>
          <w:szCs w:val="20"/>
          <w:color w:val="auto"/>
        </w:rPr>
      </w:pPr>
    </w:p>
    <w:p>
      <w:pPr>
        <w:ind w:left="5060"/>
        <w:spacing w:after="0"/>
        <w:tabs>
          <w:tab w:leader="none" w:pos="5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Noble Drilling (U.S.) LLC, its member</w:t>
      </w:r>
    </w:p>
    <w:p>
      <w:pPr>
        <w:spacing w:after="0" w:line="13" w:lineRule="exact"/>
        <w:rPr>
          <w:sz w:val="20"/>
          <w:szCs w:val="20"/>
          <w:color w:val="auto"/>
        </w:rPr>
      </w:pPr>
    </w:p>
    <w:p>
      <w:pPr>
        <w:ind w:left="5060"/>
        <w:spacing w:after="0"/>
        <w:tabs>
          <w:tab w:leader="none" w:pos="5580" w:val="left"/>
        </w:tabs>
        <w:rPr>
          <w:sz w:val="20"/>
          <w:szCs w:val="20"/>
          <w:color w:val="auto"/>
        </w:rPr>
      </w:pPr>
      <w:r>
        <w:rPr>
          <w:rFonts w:ascii="Times New Roman" w:cs="Times New Roman" w:eastAsia="Times New Roman" w:hAnsi="Times New Roman"/>
          <w:sz w:val="20"/>
          <w:szCs w:val="20"/>
          <w:color w:val="auto"/>
        </w:rPr>
        <w:t>By:</w:t>
        <w:tab/>
        <w:t>Noble NDUS UK Ltd, its member</w:t>
      </w:r>
    </w:p>
    <w:p>
      <w:pPr>
        <w:spacing w:after="0" w:line="200" w:lineRule="exact"/>
        <w:rPr>
          <w:sz w:val="20"/>
          <w:szCs w:val="20"/>
          <w:color w:val="auto"/>
        </w:rPr>
      </w:pPr>
    </w:p>
    <w:p>
      <w:pPr>
        <w:spacing w:after="0" w:line="270" w:lineRule="exact"/>
        <w:rPr>
          <w:sz w:val="20"/>
          <w:szCs w:val="20"/>
          <w:color w:val="auto"/>
        </w:rPr>
      </w:pPr>
    </w:p>
    <w:p>
      <w:pPr>
        <w:ind w:left="5060"/>
        <w:spacing w:after="0"/>
        <w:tabs>
          <w:tab w:leader="none" w:pos="5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Bruce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-10795</wp:posOffset>
            </wp:positionV>
            <wp:extent cx="9074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7415" cy="8890"/>
                    </a:xfrm>
                    <a:prstGeom prst="rect">
                      <a:avLst/>
                    </a:prstGeom>
                    <a:noFill/>
                  </pic:spPr>
                </pic:pic>
              </a:graphicData>
            </a:graphic>
          </wp:anchor>
        </w:drawing>
      </w:r>
    </w:p>
    <w:p>
      <w:pPr>
        <w:spacing w:after="0" w:line="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Name: Bruce Boyle</w:t>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NOBLE DRILLING (LUXEMBOURG) S.Á.R.L., a société à</w:t>
      </w:r>
    </w:p>
    <w:p>
      <w:pPr>
        <w:spacing w:after="0" w:line="2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responsabilité limitée, with registered office at 25B, Boulevard</w:t>
      </w:r>
    </w:p>
    <w:p>
      <w:pPr>
        <w:spacing w:after="0" w:line="1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Royal, L-2449 Luxembourg, Grand Duchy of Luxembourg,</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and registered with the Registre de Commerce et des Sociétés,</w:t>
      </w:r>
    </w:p>
    <w:p>
      <w:pPr>
        <w:spacing w:after="0" w:line="1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Luxembourg under number B135475</w:t>
      </w:r>
    </w:p>
    <w:p>
      <w:pPr>
        <w:spacing w:after="0" w:line="200" w:lineRule="exact"/>
        <w:rPr>
          <w:sz w:val="20"/>
          <w:szCs w:val="20"/>
          <w:color w:val="auto"/>
        </w:rPr>
      </w:pPr>
    </w:p>
    <w:p>
      <w:pPr>
        <w:spacing w:after="0" w:line="277" w:lineRule="exact"/>
        <w:rPr>
          <w:sz w:val="20"/>
          <w:szCs w:val="20"/>
          <w:color w:val="auto"/>
        </w:rPr>
      </w:pPr>
    </w:p>
    <w:p>
      <w:pPr>
        <w:ind w:left="5060"/>
        <w:spacing w:after="0"/>
        <w:tabs>
          <w:tab w:leader="none" w:pos="5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David M.J. Dujacquier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-10795</wp:posOffset>
            </wp:positionV>
            <wp:extent cx="14274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Name: David M.J. Dujacquier</w:t>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NOBLE DRILLING DEEPWATER A/S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060"/>
        <w:spacing w:after="0"/>
        <w:tabs>
          <w:tab w:leader="none" w:pos="5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Peter Asboe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-10795</wp:posOffset>
            </wp:positionV>
            <wp:extent cx="8864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6460" cy="8890"/>
                    </a:xfrm>
                    <a:prstGeom prst="rect">
                      <a:avLst/>
                    </a:prstGeom>
                    <a:noFill/>
                  </pic:spPr>
                </pic:pic>
              </a:graphicData>
            </a:graphic>
          </wp:anchor>
        </w:drawing>
      </w:r>
    </w:p>
    <w:p>
      <w:pPr>
        <w:spacing w:after="0" w:line="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Name: Peter Asboe</w:t>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NOBLE INTERNATIONAL FINANCE</w:t>
      </w:r>
    </w:p>
    <w:p>
      <w:pPr>
        <w:spacing w:after="0" w:line="2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COMPANY</w:t>
      </w:r>
    </w:p>
    <w:p>
      <w:pPr>
        <w:sectPr>
          <w:pgSz w:w="11900" w:h="16838" w:orient="portrait"/>
          <w:cols w:equalWidth="0" w:num="1">
            <w:col w:w="10040"/>
          </w:cols>
          <w:pgMar w:left="1440" w:top="1440" w:right="419" w:bottom="0" w:gutter="0" w:footer="0" w:header="0"/>
        </w:sectPr>
      </w:pPr>
    </w:p>
    <w:bookmarkStart w:id="115" w:name="page116"/>
    <w:bookmarkEnd w:id="115"/>
    <w:p>
      <w:pPr>
        <w:ind w:left="5060"/>
        <w:spacing w:after="0"/>
        <w:tabs>
          <w:tab w:leader="none" w:pos="5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Ryan Trevor Pull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-10795</wp:posOffset>
            </wp:positionV>
            <wp:extent cx="11385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38555" cy="8890"/>
                    </a:xfrm>
                    <a:prstGeom prst="rect">
                      <a:avLst/>
                    </a:prstGeom>
                    <a:noFill/>
                  </pic:spPr>
                </pic:pic>
              </a:graphicData>
            </a:graphic>
          </wp:anchor>
        </w:drawing>
      </w:r>
    </w:p>
    <w:p>
      <w:pPr>
        <w:spacing w:after="0" w:line="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Name: Ryan Trevor Pull</w:t>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NOBLE LEASING V (SWITZERLAND) GMBH</w:t>
      </w:r>
    </w:p>
    <w:p>
      <w:pPr>
        <w:spacing w:after="0" w:line="200" w:lineRule="exact"/>
        <w:rPr>
          <w:sz w:val="20"/>
          <w:szCs w:val="20"/>
          <w:color w:val="auto"/>
        </w:rPr>
      </w:pPr>
    </w:p>
    <w:p>
      <w:pPr>
        <w:spacing w:after="0" w:line="299" w:lineRule="exact"/>
        <w:rPr>
          <w:sz w:val="20"/>
          <w:szCs w:val="20"/>
          <w:color w:val="auto"/>
        </w:rPr>
      </w:pPr>
    </w:p>
    <w:p>
      <w:pPr>
        <w:ind w:left="5060"/>
        <w:spacing w:after="0"/>
        <w:tabs>
          <w:tab w:leader="none" w:pos="5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Slavica Schroeder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-10795</wp:posOffset>
            </wp:positionV>
            <wp:extent cx="11861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86180" cy="8890"/>
                    </a:xfrm>
                    <a:prstGeom prst="rect">
                      <a:avLst/>
                    </a:prstGeom>
                    <a:noFill/>
                  </pic:spPr>
                </pic:pic>
              </a:graphicData>
            </a:graphic>
          </wp:anchor>
        </w:drawing>
      </w:r>
    </w:p>
    <w:p>
      <w:pPr>
        <w:spacing w:after="0" w:line="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Name: Slavica Schroeder</w:t>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Title: Managing Officer</w:t>
      </w:r>
    </w:p>
    <w:p>
      <w:pPr>
        <w:spacing w:after="0" w:line="200" w:lineRule="exact"/>
        <w:rPr>
          <w:sz w:val="20"/>
          <w:szCs w:val="20"/>
          <w:color w:val="auto"/>
        </w:rPr>
      </w:pPr>
    </w:p>
    <w:p>
      <w:pPr>
        <w:spacing w:after="0" w:line="27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NOBLE SERVICES INTERNATIONAL</w:t>
      </w:r>
    </w:p>
    <w:p>
      <w:pPr>
        <w:spacing w:after="0" w:line="2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LIMITED</w:t>
      </w:r>
    </w:p>
    <w:p>
      <w:pPr>
        <w:spacing w:after="0" w:line="200" w:lineRule="exact"/>
        <w:rPr>
          <w:sz w:val="20"/>
          <w:szCs w:val="20"/>
          <w:color w:val="auto"/>
        </w:rPr>
      </w:pPr>
    </w:p>
    <w:p>
      <w:pPr>
        <w:spacing w:after="0" w:line="284" w:lineRule="exact"/>
        <w:rPr>
          <w:sz w:val="20"/>
          <w:szCs w:val="20"/>
          <w:color w:val="auto"/>
        </w:rPr>
      </w:pPr>
    </w:p>
    <w:p>
      <w:pPr>
        <w:ind w:left="5060"/>
        <w:spacing w:after="0"/>
        <w:tabs>
          <w:tab w:leader="none" w:pos="5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Ryan Trevor Pull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-10795</wp:posOffset>
            </wp:positionV>
            <wp:extent cx="11385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Name: Ryan Trevor Pull</w:t>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9"/>
          <w:szCs w:val="19"/>
          <w:color w:val="auto"/>
        </w:rPr>
        <w:t>PACIFIC DRILLING S.A., a société anonyme, with</w:t>
      </w:r>
    </w:p>
    <w:p>
      <w:pPr>
        <w:spacing w:after="0" w:line="4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registered office at 25B, Boulevard Royal, L-2449</w:t>
      </w:r>
    </w:p>
    <w:p>
      <w:pPr>
        <w:spacing w:after="0" w:line="1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Luxembourg, Grand Duchy of Luxembourg, and</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registered with the Registre de Commerce et des</w:t>
      </w:r>
    </w:p>
    <w:p>
      <w:pPr>
        <w:spacing w:after="0" w:line="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Sociétés, Luxembourg under number B159658</w:t>
      </w:r>
    </w:p>
    <w:p>
      <w:pPr>
        <w:spacing w:after="0" w:line="200" w:lineRule="exact"/>
        <w:rPr>
          <w:sz w:val="20"/>
          <w:szCs w:val="20"/>
          <w:color w:val="auto"/>
        </w:rPr>
      </w:pPr>
    </w:p>
    <w:p>
      <w:pPr>
        <w:spacing w:after="0" w:line="270" w:lineRule="exact"/>
        <w:rPr>
          <w:sz w:val="20"/>
          <w:szCs w:val="20"/>
          <w:color w:val="auto"/>
        </w:rPr>
      </w:pPr>
    </w:p>
    <w:p>
      <w:pPr>
        <w:ind w:left="5060"/>
        <w:spacing w:after="0"/>
        <w:tabs>
          <w:tab w:leader="none" w:pos="5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David M.J. Dujacquier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-10795</wp:posOffset>
            </wp:positionV>
            <wp:extent cx="14274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7480" cy="8890"/>
                    </a:xfrm>
                    <a:prstGeom prst="rect">
                      <a:avLst/>
                    </a:prstGeom>
                    <a:noFill/>
                  </pic:spPr>
                </pic:pic>
              </a:graphicData>
            </a:graphic>
          </wp:anchor>
        </w:drawing>
      </w:r>
    </w:p>
    <w:p>
      <w:pPr>
        <w:spacing w:after="0" w:line="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Name: David M.J. Dujacquier</w:t>
      </w:r>
    </w:p>
    <w:p>
      <w:pPr>
        <w:spacing w:after="0" w:line="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PACIFIC SANTA ANA LIMITED</w:t>
      </w:r>
    </w:p>
    <w:p>
      <w:pPr>
        <w:spacing w:after="0" w:line="200" w:lineRule="exact"/>
        <w:rPr>
          <w:sz w:val="20"/>
          <w:szCs w:val="20"/>
          <w:color w:val="auto"/>
        </w:rPr>
      </w:pPr>
    </w:p>
    <w:p>
      <w:pPr>
        <w:spacing w:after="0" w:line="299" w:lineRule="exact"/>
        <w:rPr>
          <w:sz w:val="20"/>
          <w:szCs w:val="20"/>
          <w:color w:val="auto"/>
        </w:rPr>
      </w:pPr>
    </w:p>
    <w:p>
      <w:pPr>
        <w:ind w:left="5060"/>
        <w:spacing w:after="0"/>
        <w:tabs>
          <w:tab w:leader="none" w:pos="5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David M.J. Dujacquier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-10795</wp:posOffset>
            </wp:positionV>
            <wp:extent cx="14274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Name: David M.J. Dujacquier</w:t>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Indenture</w:t>
      </w:r>
      <w:r>
        <w:rPr>
          <w:rFonts w:ascii="Times New Roman" w:cs="Times New Roman" w:eastAsia="Times New Roman" w:hAnsi="Times New Roman"/>
          <w:sz w:val="19"/>
          <w:szCs w:val="19"/>
          <w:color w:val="auto"/>
        </w:rPr>
        <w:t>]</w:t>
      </w:r>
    </w:p>
    <w:p>
      <w:pPr>
        <w:sectPr>
          <w:pgSz w:w="11900" w:h="16838" w:orient="portrait"/>
          <w:cols w:equalWidth="0" w:num="1">
            <w:col w:w="9200"/>
          </w:cols>
          <w:pgMar w:left="1440" w:top="522" w:right="1259"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320"/>
        <w:spacing w:after="0" w:line="273" w:lineRule="auto"/>
        <w:rPr>
          <w:sz w:val="20"/>
          <w:szCs w:val="20"/>
          <w:color w:val="auto"/>
        </w:rPr>
      </w:pPr>
      <w:r>
        <w:rPr>
          <w:rFonts w:ascii="Times New Roman" w:cs="Times New Roman" w:eastAsia="Times New Roman" w:hAnsi="Times New Roman"/>
          <w:sz w:val="20"/>
          <w:szCs w:val="20"/>
          <w:b w:val="1"/>
          <w:bCs w:val="1"/>
          <w:color w:val="auto"/>
        </w:rPr>
        <w:t>HSBC BANK USA, NATIONAL ASSOCIATION</w:t>
      </w:r>
      <w:r>
        <w:rPr>
          <w:rFonts w:ascii="Times New Roman" w:cs="Times New Roman" w:eastAsia="Times New Roman" w:hAnsi="Times New Roman"/>
          <w:sz w:val="20"/>
          <w:szCs w:val="20"/>
          <w:color w:val="auto"/>
        </w:rPr>
        <w:t>, as Trustee,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Registrar and Paying Agent</w:t>
      </w:r>
    </w:p>
    <w:p>
      <w:pPr>
        <w:spacing w:after="0" w:line="200" w:lineRule="exact"/>
        <w:rPr>
          <w:sz w:val="20"/>
          <w:szCs w:val="20"/>
          <w:color w:val="auto"/>
        </w:rPr>
      </w:pPr>
    </w:p>
    <w:p>
      <w:pPr>
        <w:spacing w:after="0" w:line="347" w:lineRule="exact"/>
        <w:rPr>
          <w:sz w:val="20"/>
          <w:szCs w:val="20"/>
          <w:color w:val="auto"/>
        </w:rPr>
      </w:pPr>
    </w:p>
    <w:p>
      <w:pPr>
        <w:ind w:left="4320"/>
        <w:spacing w:after="0"/>
        <w:tabs>
          <w:tab w:leader="none" w:pos="47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Leslie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-10795</wp:posOffset>
            </wp:positionV>
            <wp:extent cx="1025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47" w:lineRule="exact"/>
        <w:rPr>
          <w:sz w:val="20"/>
          <w:szCs w:val="20"/>
          <w:color w:val="auto"/>
        </w:rPr>
      </w:pPr>
    </w:p>
    <w:p>
      <w:pPr>
        <w:ind w:left="4320"/>
        <w:spacing w:after="0"/>
        <w:tabs>
          <w:tab w:leader="none" w:pos="50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Leslie Morales</w:t>
      </w:r>
    </w:p>
    <w:p>
      <w:pPr>
        <w:spacing w:after="0" w:line="67" w:lineRule="exact"/>
        <w:rPr>
          <w:sz w:val="20"/>
          <w:szCs w:val="20"/>
          <w:color w:val="auto"/>
        </w:rPr>
      </w:pPr>
    </w:p>
    <w:p>
      <w:pPr>
        <w:ind w:left="4320"/>
        <w:spacing w:after="0"/>
        <w:tabs>
          <w:tab w:leader="none" w:pos="49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-10795</wp:posOffset>
            </wp:positionV>
            <wp:extent cx="6457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5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Indenture</w:t>
      </w:r>
      <w:r>
        <w:rPr>
          <w:rFonts w:ascii="Times New Roman" w:cs="Times New Roman" w:eastAsia="Times New Roman" w:hAnsi="Times New Roman"/>
          <w:sz w:val="20"/>
          <w:szCs w:val="20"/>
          <w:color w:val="auto"/>
        </w:rPr>
        <w:t>]</w:t>
      </w:r>
    </w:p>
    <w:p>
      <w:pPr>
        <w:sectPr>
          <w:pgSz w:w="11900" w:h="16838" w:orient="portrait"/>
          <w:cols w:equalWidth="0" w:num="1">
            <w:col w:w="9440"/>
          </w:cols>
          <w:pgMar w:left="1440" w:top="1440" w:right="10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NOTE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[Global Note Legend]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UNLESS THIS CERTIFICATE IS PRESENTED BY AN AUTHORIZED REPRESENTATIVE OF THE DEPOSITORY TRUST COMPANY (55 WATER STREET, NEW YORK, NEW YORK) TO THE ISSUER OR ITS AGENT FOR REGISTRATION OR TRANSFER, EXCHANGE OR PAYMENT, AND ANY CERTIFICATE ISSUED IS REGISTERED IN THE NAME OF CEDE &amp; CO. OR TO SUCH OTHER NAME AS MAY BE REQUESTED BY AN AUTHORIZED REPRESENTATIVE OF THE DEPOSITORY TRUST COMPANY OR SUCH OTHER REPRESENTATIVE OF THE DEPOSITORY TRUST COMPANY (AND ANY PAYMENT HEREON IS MADE TO CEDE &amp; CO. OR TO SUCH OTHER ENTITY AS MAY BE REQUESTED BY AN AUTHORIZED REPRESENTATIVE OF THE DEPOSITORY TRUST COMPANY), ANY TRANSFER, PLEDGE OR OTHER USE HEREOF FOR VALUE OR OTHERWISE BY OR TO ANY PERSON IS WRONGFUL SINCE THE REGISTERED OWNER HEREOF, CEDE &amp; CO., HAS AN INTEREST HEREIN.</w:t>
      </w:r>
    </w:p>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TRANSFERS OF THIS GLOBAL NOTE SHALL BE LIMITED TO TRANSFERS IN WHOLE, BUT NOT IN PART, TO NOMINEES OF CEDE &amp; CO. OR TO A SUCCESSOR THEREOF OR SUCH SUCCESSOR’S NOMINEE.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[Restricted Notes Legend]</w:t>
      </w:r>
    </w:p>
    <w:p>
      <w:pPr>
        <w:spacing w:after="0" w:line="216"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THIS SECURITY HAS NOT BEEN AND WILL NOT BE REGISTERED UNDER THE U.S.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SIX MONTHS AFTER THE LATER OF THE ORIGINAL ISSUE DATE HEREOF, THE ORIGINAL ISSUE DATE OF THE ISSUANCE OF ANY ADDITIONAL NOTES AND THE LAST DATE ON WHICH THE ISSUER OR ANY AFFILIATE OF THE ISSUER WAS THE OWNER OF THIS SECURITY (OR ANY PREDECESSOR OF SUCH SECURITY), ONLY (A) TO THE ISSUER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 UNDER THE SECURITIES ACT THAT IS NOT A QUALIFIED INSTITUTIONAL BUYER AND THAT IS PURCHASING FOR ITS OWN ACCOUNT OR FOR THE ACCOUNT OF ANOTHER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409" w:right="339" w:bottom="1440" w:gutter="0" w:footer="0" w:header="0"/>
        </w:sectPr>
      </w:pPr>
    </w:p>
    <w:bookmarkStart w:id="118" w:name="page119"/>
    <w:bookmarkEnd w:id="118"/>
    <w:p>
      <w:pPr>
        <w:jc w:val="both"/>
        <w:spacing w:after="0" w:line="253" w:lineRule="auto"/>
        <w:rPr>
          <w:sz w:val="20"/>
          <w:szCs w:val="20"/>
          <w:color w:val="auto"/>
        </w:rPr>
      </w:pPr>
      <w:r>
        <w:rPr>
          <w:rFonts w:ascii="Times New Roman" w:cs="Times New Roman" w:eastAsia="Times New Roman" w:hAnsi="Times New Roman"/>
          <w:sz w:val="20"/>
          <w:szCs w:val="20"/>
          <w:color w:val="auto"/>
        </w:rPr>
        <w:t>INSTITUTIONAL ACCREDITED INVESTOR, IN EACH CASE IN A MINIMUM PRINCIPAL AMOUNT OF SECURITIES OR (F) PURSUANT TO ANOTHER AVAILABLE EXEMPTION FROM THE REGISTRATION REQUIREMENTS OF THE SECURITIES ACT, SUBJECT TO THE ISSUER’S AND THE TRUSTEE’S RIGHT PRIOR TO ANY SUCH OFFER, SALE OR TRANSFER PURSUANT TO CLAUSES (D), (E) OR (F) TO REQUIRE THE DELIVERY OF AN OPINION OF COUNSEL, CERTIFICATION AND/ OR OTHER INFORMATION SATISFACTORY TO EACH OF THEM. THIS LEGEND WILL BE REMOVED UPON THE REQUEST OF THE HOLDER AFTER THE RESALE RESTRICTION TERMINATION DATE.</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BY ITS ACQUISITION OF THIS SECURITY, THE HOLDER THEREOF WILL BE DEEMED TO HAVE REPRESENTED AND WARRANTED THAT EITHER (1) NO PORTION OF THE ASSETS USED BY SUCH HOLDER TO PURCHASE OR HOLD THIS SECURITY CONSTITUTES THE ASSETS OF AN EMPLOYEE BENEFIT PLAN THAT IS SUBJECT TO TITLE I OF THE U.S. EMPLOYEE RETIREMENT INCOME SECURITY ACT OF 1974, AS AMENDED (“ERISA”), OF A PLAN, ACCOUNT OR OTHER ARRANGEMENT THAT IS SUBJECT TO SECTION 4975 OF THE U.S. INTERNAL REVENUE CODE OF 1986, AS AMENDED (THE “CODE”) OR PROVISIONS UNDER ANY OTHER U.S. OR NON-U.S. FEDERAL, STATE, LOCAL OR OTHER LAWS OR REGULATIONS THAT ARE SIMILAR TO SUCH PROVISIONS OF ERISA OR THE CODE (“SIMILAR LAWS”), OR OF AN ENTITY WHOSE UNDERLYING ASSETS ARE CONSIDERED TO INCLUDE “PLAN ASSETS” OF ANY SUCH PLAN, ACCOUNT OR ARRANGEMENT, OR (2) THE PURCHASE, HOLDING AND DISPOSITION OF THIS SECURITY WILL NOT CONSTITUTE OR RESULT IN A NON-EXEMPT PROHIBITED TRANSACTION UNDER SECTION 406 OF ERISA OR SECTION 4975 OF THE CODE OR A VIOLATION OF ANY APPLICABLE SIMILAR LAWS.</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[Regulation S Legend]</w:t>
      </w:r>
    </w:p>
    <w:p>
      <w:pPr>
        <w:spacing w:after="0" w:line="22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THIS SECURITY HAS NOT BEEN AND WILL NOT BE REGISTERED UNDER THE U.S.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40 DAYS AFTER THE LATER OF THE ORIGINAL ISSUE DATE HEREOF, THE ORIGINAL ISSUE DATE OF THE ISSUANCE OF ANY ADDITIONAL NOTES AND THE DATE ON WHICH THIS SECURITY (OR ANY PREDECESSOR OF SUCH SECURITY) WAS FIRST OFFERED TO PERSONS OTHER THAN DISTRIBUTORS (AS DEFINED IN RULE 902 OF REGULATION S UNDER THE SECURITIES ACT) IN RELIANCE ON REGULATION S UNDER THE SECURITIES ACT, ONLY (A) TO THE ISSUER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00"/>
          </w:cols>
          <w:pgMar w:left="320" w:top="1413" w:right="379" w:bottom="1440" w:gutter="0" w:footer="0" w:header="0"/>
        </w:sectPr>
      </w:pPr>
    </w:p>
    <w:bookmarkStart w:id="119" w:name="page120"/>
    <w:bookmarkEnd w:id="119"/>
    <w:p>
      <w:pPr>
        <w:spacing w:after="0" w:line="265" w:lineRule="auto"/>
        <w:rPr>
          <w:sz w:val="20"/>
          <w:szCs w:val="20"/>
          <w:color w:val="auto"/>
        </w:rPr>
      </w:pPr>
      <w:r>
        <w:rPr>
          <w:rFonts w:ascii="Times New Roman" w:cs="Times New Roman" w:eastAsia="Times New Roman" w:hAnsi="Times New Roman"/>
          <w:sz w:val="19"/>
          <w:szCs w:val="19"/>
          <w:color w:val="auto"/>
        </w:rPr>
        <w:t>MEANING OF REGULATION S UNDER THE SECURITIES ACT, (E) TO AN INSTITUTIONAL “ACCREDITED INVESTOR” WITHIN THE MEANING OF RULE 501(a) UNDER THE SECURITIES ACT THAT IS NOT A QUALIFIED INSTITUTIONAL BUYER AND THAT IS PURCHASING FOR ITS OWN ACCOUNT OR FOR THE ACCOUNT OF ANOTHER INSTITUTIONAL ACCREDITED INVESTOR, IN EACH CASE IN A MINIMUM PRINCIPAL AMOUNT OF SECURITIES OR (F) PURSUANT TO ANOTHER AVAILABLE EXEMPTION FROM THE REGISTRATION REQUIREMENTS OF THE SECURITIES ACT, SUBJECT TO THE ISSUER’S AND THE TRUSTEE’S RIGHT PRIOR TO ANY SUCH OFFER, SALE OR TRANSFER PURSUANT TO CLAUSES (D), (E) OR (F) TO REQUIRE THE DELIVERY OF AN OPINION OF COUNSEL, CERTIFICATION AND/ OR OTHER INFORMATION SATISFACTORY TO EACH OF THEM. THIS LEGEND WILL BE REMOVED UPON THE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18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BY ITS ACQUISITION OF THIS SECURITY, THE HOLDER THEREOF WILL BE DEEMED TO HAVE REPRESENTED AND WARRANTED THAT EITHER (1) NO PORTION OF THE ASSETS USED BY SUCH HOLDER TO PURCHASE OR HOLD THIS SECURITY CONSTITUTES THE ASSETS OF AN EMPLOYEE BENEFIT PLAN THAT IS SUBJECT TO TITLE I OF THE U.S. EMPLOYEE RETIREMENT INCOME SECURITY ACT OF 1974, AS AMENDED (“ERISA”), OF A PLAN, ACCOUNT OR OTHER ARRANGEMENT THAT IS SUBJECT TO SECTION 4975 OF THE U.S. INTERNAL REVENUE CODE OF 1986, AS AMENDED (THE “CODE”) OR PROVISIONS UNDER ANY OTHER U.S. OR NON-U.S. FEDERAL, STATE, LOCAL OR OTHER LAWS OR REGULATIONS THAT ARE SIMILAR TO SUCH PROVISIONS OF ERISA OR THE CODE (“SIMILAR LAWS”), OR OF AN ENTITY WHOSE UNDERLYING ASSETS ARE CONSIDERED TO INCLUDE “PLAN ASSETS” OF ANY SUCH PLAN, ACCOUNT OR ARRANGEMENT, OR (2) THE PURCHASE, HOLDING AND DISPOSITION OF THIS SECURITY WILL NOT CONSTITUTE OR RESULT IN A NON-EXEMPT PROHIBITED TRANSACTION UNDER SECTION 406 OF ERISA OR SECTION 4975 OF THE CODE OR A VIOLATION OF ANY APPLICABLE SIMILAR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00"/>
          </w:cols>
          <w:pgMar w:left="320" w:top="1413" w:right="37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6.250% Senior Notes due 2034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No.</w:t>
      </w:r>
      <w:r>
        <w:rPr>
          <w:sz w:val="20"/>
          <w:szCs w:val="20"/>
          <w:color w:val="auto"/>
        </w:rPr>
        <w:tab/>
      </w:r>
      <w:r>
        <w:rPr>
          <w:rFonts w:ascii="Times New Roman" w:cs="Times New Roman" w:eastAsia="Times New Roman" w:hAnsi="Times New Roman"/>
          <w:sz w:val="19"/>
          <w:szCs w:val="19"/>
          <w:color w:val="auto"/>
        </w:rPr>
        <w:t>$_______________</w:t>
      </w:r>
    </w:p>
    <w:p>
      <w:pPr>
        <w:spacing w:after="0" w:line="2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20"/>
          <w:szCs w:val="20"/>
          <w:color w:val="auto"/>
        </w:rPr>
        <w:t>CUSIP NO.</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ISIN</w:t>
      </w:r>
    </w:p>
    <w:p>
      <w:pPr>
        <w:spacing w:after="0" w:line="190"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9"/>
          <w:szCs w:val="19"/>
          <w:color w:val="auto"/>
        </w:rPr>
        <w:t>Noble Finance II LLC (including any successor thereto) promises to pay to [Cede &amp; Co.]</w:t>
      </w:r>
      <w:r>
        <w:rPr>
          <w:rFonts w:ascii="Arial" w:cs="Arial" w:eastAsia="Arial" w:hAnsi="Arial"/>
          <w:sz w:val="27"/>
          <w:szCs w:val="27"/>
          <w:color w:val="auto"/>
          <w:vertAlign w:val="superscript"/>
        </w:rPr>
        <w:t>1</w:t>
      </w:r>
      <w:r>
        <w:rPr>
          <w:rFonts w:ascii="Times New Roman" w:cs="Times New Roman" w:eastAsia="Times New Roman" w:hAnsi="Times New Roman"/>
          <w:sz w:val="19"/>
          <w:szCs w:val="19"/>
          <w:color w:val="auto"/>
        </w:rPr>
        <w:t xml:space="preserve"> or registered assigns, the principal sum of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(________ UNITED STATES DOLLARS) [(as may be increased or decreased as set forth on the Schedule of Increases and Decreases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attached hereto)]</w:t>
      </w:r>
      <w:r>
        <w:rPr>
          <w:rFonts w:ascii="Arial" w:cs="Arial" w:eastAsia="Arial" w:hAnsi="Arial"/>
          <w:sz w:val="28"/>
          <w:szCs w:val="28"/>
          <w:color w:val="auto"/>
          <w:vertAlign w:val="superscript"/>
        </w:rPr>
        <w:t>2</w:t>
      </w:r>
      <w:r>
        <w:rPr>
          <w:rFonts w:ascii="Times New Roman" w:cs="Times New Roman" w:eastAsia="Times New Roman" w:hAnsi="Times New Roman"/>
          <w:sz w:val="20"/>
          <w:szCs w:val="20"/>
          <w:color w:val="auto"/>
        </w:rPr>
        <w:t xml:space="preserve"> on June 15, 2034.</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Interest Payment Dates: June 15 and December 15, beginning December 15, 2026</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Record Dates: June 1 and December 1 (whether or not a Business Day)</w:t>
      </w:r>
    </w:p>
    <w:p>
      <w:pPr>
        <w:spacing w:after="0" w:line="216"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Reference is made to further provisions of this Note set forth on the reverse hereof, which further provisions shall for all purposes have the same effect as set forth at this place.</w:t>
      </w:r>
    </w:p>
    <w:p>
      <w:pPr>
        <w:spacing w:after="0" w:line="160" w:lineRule="exact"/>
        <w:rPr>
          <w:sz w:val="20"/>
          <w:szCs w:val="20"/>
          <w:color w:val="auto"/>
        </w:rPr>
      </w:pPr>
    </w:p>
    <w:p>
      <w:pPr>
        <w:ind w:left="340" w:right="560" w:hanging="323"/>
        <w:spacing w:after="0" w:line="269" w:lineRule="auto"/>
        <w:rPr>
          <w:sz w:val="20"/>
          <w:szCs w:val="20"/>
          <w:color w:val="auto"/>
        </w:rPr>
      </w:pPr>
      <w:r>
        <w:rPr>
          <w:rFonts w:ascii="Times New Roman" w:cs="Times New Roman" w:eastAsia="Times New Roman" w:hAnsi="Times New Roman"/>
          <w:sz w:val="20"/>
          <w:szCs w:val="20"/>
          <w:color w:val="auto"/>
        </w:rPr>
        <w:t>Unless the certificate of authentication hereon has been executed by the Trustee referred to on the reverse hereof, this Note shall not be entitled to any benefits under the Indenture referred to on the reverse hereof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714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95" w:lineRule="exact"/>
        <w:rPr>
          <w:sz w:val="20"/>
          <w:szCs w:val="20"/>
          <w:color w:val="auto"/>
        </w:rPr>
      </w:pPr>
    </w:p>
    <w:p>
      <w:pPr>
        <w:ind w:left="120" w:hanging="112"/>
        <w:spacing w:after="0"/>
        <w:tabs>
          <w:tab w:leader="none" w:pos="120" w:val="left"/>
        </w:tabs>
        <w:numPr>
          <w:ilvl w:val="0"/>
          <w:numId w:val="158"/>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For Global Notes only.</w:t>
      </w:r>
    </w:p>
    <w:p>
      <w:pPr>
        <w:spacing w:after="0" w:line="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Times New Roman" w:cs="Times New Roman" w:eastAsia="Times New Roman" w:hAnsi="Times New Roman"/>
          <w:sz w:val="18"/>
          <w:szCs w:val="18"/>
          <w:color w:val="auto"/>
        </w:rPr>
        <w:t xml:space="preserve"> For Global Notes only.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1240"/>
          </w:cols>
          <w:pgMar w:left="320" w:top="1409" w:right="339" w:bottom="1440" w:gutter="0" w:footer="0" w:header="0"/>
        </w:sectPr>
      </w:pPr>
    </w:p>
    <w:bookmarkStart w:id="121" w:name="page122"/>
    <w:bookmarkEnd w:id="121"/>
    <w:p>
      <w:pPr>
        <w:spacing w:after="0" w:line="10" w:lineRule="exact"/>
        <w:rPr>
          <w:sz w:val="20"/>
          <w:szCs w:val="20"/>
          <w:color w:val="auto"/>
        </w:rPr>
      </w:pPr>
    </w:p>
    <w:p>
      <w:pPr>
        <w:jc w:val="right"/>
        <w:ind w:right="2179"/>
        <w:spacing w:after="0"/>
        <w:rPr>
          <w:sz w:val="20"/>
          <w:szCs w:val="20"/>
          <w:color w:val="auto"/>
        </w:rPr>
      </w:pPr>
      <w:r>
        <w:rPr>
          <w:rFonts w:ascii="Times New Roman" w:cs="Times New Roman" w:eastAsia="Times New Roman" w:hAnsi="Times New Roman"/>
          <w:sz w:val="20"/>
          <w:szCs w:val="20"/>
          <w:b w:val="1"/>
          <w:bCs w:val="1"/>
          <w:color w:val="auto"/>
        </w:rPr>
        <w:t>NOBLE FINANCE II LLC</w:t>
      </w:r>
    </w:p>
    <w:p>
      <w:pPr>
        <w:spacing w:after="0" w:line="200" w:lineRule="exact"/>
        <w:rPr>
          <w:sz w:val="20"/>
          <w:szCs w:val="20"/>
          <w:color w:val="auto"/>
        </w:rPr>
      </w:pPr>
    </w:p>
    <w:p>
      <w:pPr>
        <w:spacing w:after="0" w:line="3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-10795</wp:posOffset>
            </wp:positionV>
            <wp:extent cx="1257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4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Name:</w:t>
      </w:r>
    </w:p>
    <w:p>
      <w:pPr>
        <w:spacing w:after="0" w:line="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is one of the Notes referred to in the within-mentioned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Indenture: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HSBC BANK USA, NATIONAL ASSOCIATION</w:t>
      </w:r>
      <w:r>
        <w:rPr>
          <w:rFonts w:ascii="Times New Roman" w:cs="Times New Roman" w:eastAsia="Times New Roman" w:hAnsi="Times New Roman"/>
          <w:sz w:val="20"/>
          <w:szCs w:val="20"/>
          <w:color w:val="auto"/>
        </w:rPr>
        <w:t>, as Trustee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1257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0059"/>
          </w:cols>
          <w:pgMar w:left="400" w:top="1440" w:right="1440"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color w:val="auto"/>
        </w:rPr>
        <w:t>(Reverse of Note)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6.250% Senior Notes due 2034</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Capitalized terms used herein shall have the meanings assigned to them in the Indenture referred to below unless otherwise indicated.</w:t>
      </w:r>
    </w:p>
    <w:p>
      <w:pPr>
        <w:spacing w:after="0" w:line="237" w:lineRule="exact"/>
        <w:rPr>
          <w:sz w:val="20"/>
          <w:szCs w:val="20"/>
          <w:color w:val="auto"/>
        </w:rPr>
      </w:pPr>
    </w:p>
    <w:p>
      <w:pPr>
        <w:jc w:val="both"/>
        <w:ind w:firstLine="656"/>
        <w:spacing w:after="0"/>
        <w:tabs>
          <w:tab w:leader="none" w:pos="109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Noble Finance II LLC, a Delaware limited liability company, and any successor thereto (the “</w:t>
      </w:r>
      <w:r>
        <w:rPr>
          <w:rFonts w:ascii="Times New Roman" w:cs="Times New Roman" w:eastAsia="Times New Roman" w:hAnsi="Times New Roman"/>
          <w:sz w:val="20"/>
          <w:szCs w:val="20"/>
          <w:i w:val="1"/>
          <w:iCs w:val="1"/>
          <w:color w:val="auto"/>
        </w:rPr>
        <w:t>Issuer</w:t>
      </w:r>
      <w:r>
        <w:rPr>
          <w:rFonts w:ascii="Times New Roman" w:cs="Times New Roman" w:eastAsia="Times New Roman" w:hAnsi="Times New Roman"/>
          <w:sz w:val="20"/>
          <w:szCs w:val="20"/>
          <w:color w:val="auto"/>
        </w:rPr>
        <w:t>”) promises to pay interest on the unpaid principal amount of this 6.250% Senior Note due 2034 (a “</w:t>
      </w:r>
      <w:r>
        <w:rPr>
          <w:rFonts w:ascii="Times New Roman" w:cs="Times New Roman" w:eastAsia="Times New Roman" w:hAnsi="Times New Roman"/>
          <w:sz w:val="20"/>
          <w:szCs w:val="20"/>
          <w:i w:val="1"/>
          <w:iCs w:val="1"/>
          <w:color w:val="auto"/>
        </w:rPr>
        <w:t>Note</w:t>
      </w:r>
      <w:r>
        <w:rPr>
          <w:rFonts w:ascii="Times New Roman" w:cs="Times New Roman" w:eastAsia="Times New Roman" w:hAnsi="Times New Roman"/>
          <w:sz w:val="20"/>
          <w:szCs w:val="20"/>
          <w:color w:val="auto"/>
        </w:rPr>
        <w:t>”) at a fixed rate of 6.250% per annum. The Issuer will pay interest in U.S. dollars semiannually in arrears on June 15 and December 15, commencing December 15, 2026</w:t>
      </w:r>
      <w:r>
        <w:rPr>
          <w:rFonts w:ascii="Arial" w:cs="Arial" w:eastAsia="Arial" w:hAnsi="Arial"/>
          <w:sz w:val="28"/>
          <w:szCs w:val="28"/>
          <w:color w:val="auto"/>
          <w:vertAlign w:val="superscript"/>
        </w:rPr>
        <w:t>3</w:t>
      </w:r>
      <w:r>
        <w:rPr>
          <w:rFonts w:ascii="Times New Roman" w:cs="Times New Roman" w:eastAsia="Times New Roman" w:hAnsi="Times New Roman"/>
          <w:sz w:val="20"/>
          <w:szCs w:val="20"/>
          <w:color w:val="auto"/>
        </w:rPr>
        <w:t xml:space="preserve"> (each an “</w:t>
      </w:r>
      <w:r>
        <w:rPr>
          <w:rFonts w:ascii="Times New Roman" w:cs="Times New Roman" w:eastAsia="Times New Roman" w:hAnsi="Times New Roman"/>
          <w:sz w:val="20"/>
          <w:szCs w:val="20"/>
          <w:i w:val="1"/>
          <w:iCs w:val="1"/>
          <w:color w:val="auto"/>
        </w:rPr>
        <w:t>Interest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Payment Date</w:t>
      </w:r>
      <w:r>
        <w:rPr>
          <w:rFonts w:ascii="Times New Roman" w:cs="Times New Roman" w:eastAsia="Times New Roman" w:hAnsi="Times New Roman"/>
          <w:sz w:val="20"/>
          <w:szCs w:val="20"/>
          <w:color w:val="auto"/>
        </w:rPr>
        <w:t>”) or if any such day is not a Business Day, on the next succeeding Business Day with the same force and effect as if made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Interest Payment Date, and no additional interest shall accrue solely as a result of such delayed payment. Interest on the Notes shall accrue from the most recent date to which interest has been paid, or, if no interest has been paid, from and including the date of issuance. The Issuer shall pay interest (including post-petition interest in any proceeding under any Bankruptcy Law) on overdue principal at the rate equal to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 Interest shall be computed on the basis of a 360-day year comprised of twelve 30-day months.</w:t>
      </w:r>
    </w:p>
    <w:p>
      <w:pPr>
        <w:spacing w:after="0" w:line="202" w:lineRule="exact"/>
        <w:rPr>
          <w:rFonts w:ascii="Times New Roman" w:cs="Times New Roman" w:eastAsia="Times New Roman" w:hAnsi="Times New Roman"/>
          <w:sz w:val="20"/>
          <w:szCs w:val="20"/>
          <w:color w:val="auto"/>
        </w:rPr>
      </w:pPr>
    </w:p>
    <w:p>
      <w:pPr>
        <w:jc w:val="both"/>
        <w:ind w:firstLine="656"/>
        <w:spacing w:after="0" w:line="250" w:lineRule="auto"/>
        <w:tabs>
          <w:tab w:leader="none" w:pos="113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Method of Payment</w:t>
      </w:r>
      <w:r>
        <w:rPr>
          <w:rFonts w:ascii="Times New Roman" w:cs="Times New Roman" w:eastAsia="Times New Roman" w:hAnsi="Times New Roman"/>
          <w:sz w:val="20"/>
          <w:szCs w:val="20"/>
          <w:color w:val="auto"/>
        </w:rPr>
        <w:t xml:space="preserve">. The Issuer shall pay interest on the Notes (except defaulted interest) on the applicable Interest Payment Date to the Persons who are registered Holders at the close of business on the June 1 and December 1 preceding the Interest Payment Date (whether or not a Business Day), even if such Notes are cancelled after such record date and on or before such Interest Payment Date, except as provided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of the Indenture with respect to defaulted interest. If a Holder of at least $5,000,000 aggregate principal amount of the Notes in physical, certificated form has given written wire transfer instructions to the Trustee at least ten Business Days prior to the applicable Interest Payment Date, the Issuer will make all payments of principal, premium, and interest, if any, on such Holder’s Notes by wire transfer of immediately available funds to the account in New York specified in those instructions. Otherwise, payments on the Notes will be made at the office or agency of the Trustee or Paying Agent in the City and State of New York unless the Issuer elects to make interest payments by check mailed to the Holders at their addresses set forth in the register of Holders. Such payment shall be in such coin or currency of the United States of America as at the time of payment is legal tender for payment of public and private debts.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Any payments of principal of this Note prior to Stated Maturity shall be binding upon all future Holders of this Note and of any Note issued upon the registration of transfer hereof or in exchange hereof or in lieu hereof, whether or not noted hereon. The final principal amount due and payable at the maturity of this Note shall be payable only upon presentation and surrender of this Note at an office of the Trustee or the Trustee’s agent appointed for such purposes. Payments in respect of Global Notes will be made by wire transfer of immediately available funds to the Depositary.</w:t>
      </w:r>
    </w:p>
    <w:p>
      <w:pPr>
        <w:spacing w:after="0" w:line="192" w:lineRule="exact"/>
        <w:rPr>
          <w:sz w:val="20"/>
          <w:szCs w:val="20"/>
          <w:color w:val="auto"/>
        </w:rPr>
      </w:pPr>
    </w:p>
    <w:p>
      <w:pPr>
        <w:jc w:val="both"/>
        <w:ind w:right="20" w:firstLine="656"/>
        <w:spacing w:after="0" w:line="261" w:lineRule="auto"/>
        <w:tabs>
          <w:tab w:leader="none" w:pos="114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Paying Agent and Registrar</w:t>
      </w:r>
      <w:r>
        <w:rPr>
          <w:rFonts w:ascii="Times New Roman" w:cs="Times New Roman" w:eastAsia="Times New Roman" w:hAnsi="Times New Roman"/>
          <w:sz w:val="20"/>
          <w:szCs w:val="20"/>
          <w:color w:val="auto"/>
        </w:rPr>
        <w:t>. Initially, HSBC Bank USA, National Association shall act as Paying Agent and Registrar. The Issuer may change any Paying Agent or Registrar without notice to any Holder, and the Issuer and/or any Restricted Subsidiaries may act as Paying Agent or Registrar.</w:t>
      </w:r>
    </w:p>
    <w:p>
      <w:pPr>
        <w:spacing w:after="0" w:line="163" w:lineRule="exact"/>
        <w:rPr>
          <w:rFonts w:ascii="Times New Roman" w:cs="Times New Roman" w:eastAsia="Times New Roman" w:hAnsi="Times New Roman"/>
          <w:sz w:val="20"/>
          <w:szCs w:val="20"/>
          <w:color w:val="auto"/>
        </w:rPr>
      </w:pPr>
    </w:p>
    <w:p>
      <w:pPr>
        <w:jc w:val="both"/>
        <w:ind w:firstLine="656"/>
        <w:spacing w:after="0" w:line="270" w:lineRule="auto"/>
        <w:tabs>
          <w:tab w:leader="none" w:pos="1117"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The Issuer issued the Notes under an Indenture, dated as of June 11, 2026 (the “</w:t>
      </w:r>
      <w:r>
        <w:rPr>
          <w:rFonts w:ascii="Times New Roman" w:cs="Times New Roman" w:eastAsia="Times New Roman" w:hAnsi="Times New Roman"/>
          <w:sz w:val="20"/>
          <w:szCs w:val="20"/>
          <w:i w:val="1"/>
          <w:iCs w:val="1"/>
          <w:color w:val="auto"/>
        </w:rPr>
        <w:t>Indenture</w:t>
      </w:r>
      <w:r>
        <w:rPr>
          <w:rFonts w:ascii="Times New Roman" w:cs="Times New Roman" w:eastAsia="Times New Roman" w:hAnsi="Times New Roman"/>
          <w:sz w:val="20"/>
          <w:szCs w:val="20"/>
          <w:color w:val="auto"/>
        </w:rPr>
        <w:t>”), among the Issuer, the Guarantors thereto and the Trustee. The terms of the Notes include those stated in the Indenture. To the extent the provisions of this Note are inconsistent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14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2" w:lineRule="exact"/>
        <w:rPr>
          <w:sz w:val="20"/>
          <w:szCs w:val="20"/>
          <w:color w:val="auto"/>
        </w:rPr>
      </w:pPr>
    </w:p>
    <w:p>
      <w:pPr>
        <w:ind w:left="120" w:hanging="112"/>
        <w:spacing w:after="0"/>
        <w:tabs>
          <w:tab w:leader="none" w:pos="120" w:val="left"/>
        </w:tabs>
        <w:numPr>
          <w:ilvl w:val="0"/>
          <w:numId w:val="161"/>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With respect to the Initial Notes.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ectPr>
          <w:pgSz w:w="11900" w:h="16838" w:orient="portrait"/>
          <w:cols w:equalWidth="0" w:num="1">
            <w:col w:w="11240"/>
          </w:cols>
          <w:pgMar w:left="320" w:top="1413" w:right="339" w:bottom="1440" w:gutter="0" w:footer="0" w:header="0"/>
        </w:sectPr>
      </w:pPr>
    </w:p>
    <w:bookmarkStart w:id="123" w:name="page124"/>
    <w:bookmarkEnd w:id="123"/>
    <w:p>
      <w:pPr>
        <w:jc w:val="both"/>
        <w:spacing w:after="0" w:line="261" w:lineRule="auto"/>
        <w:rPr>
          <w:sz w:val="20"/>
          <w:szCs w:val="20"/>
          <w:color w:val="auto"/>
        </w:rPr>
      </w:pPr>
      <w:r>
        <w:rPr>
          <w:rFonts w:ascii="Times New Roman" w:cs="Times New Roman" w:eastAsia="Times New Roman" w:hAnsi="Times New Roman"/>
          <w:sz w:val="20"/>
          <w:szCs w:val="20"/>
          <w:color w:val="auto"/>
        </w:rPr>
        <w:t>the provisions of the Indenture, the Indenture shall govern. The Notes are subject to all such terms, and Holders are referred to the Indenture for a statement of such terms. The Initial Notes issued on the Issue Date were initially issued in an aggregate principal amount of $800,000,000. The Indenture permits the issuance of Additional Notes subject to compliance with certain conditions.</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payment of principal and interest on the Notes and all other amounts under the Indenture is unconditionally guaranteed, jointly and severally, on a senior unsecured basis by the Guarantors.</w:t>
      </w:r>
    </w:p>
    <w:p>
      <w:pPr>
        <w:spacing w:after="0" w:line="173" w:lineRule="exact"/>
        <w:rPr>
          <w:sz w:val="20"/>
          <w:szCs w:val="20"/>
          <w:color w:val="auto"/>
        </w:rPr>
      </w:pPr>
    </w:p>
    <w:p>
      <w:pPr>
        <w:jc w:val="both"/>
        <w:ind w:firstLine="656"/>
        <w:spacing w:after="0" w:line="261" w:lineRule="auto"/>
        <w:tabs>
          <w:tab w:leader="none" w:pos="1225"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Redemption and Repurchase</w:t>
      </w:r>
      <w:r>
        <w:rPr>
          <w:rFonts w:ascii="Times New Roman" w:cs="Times New Roman" w:eastAsia="Times New Roman" w:hAnsi="Times New Roman"/>
          <w:sz w:val="20"/>
          <w:szCs w:val="20"/>
          <w:color w:val="auto"/>
        </w:rPr>
        <w:t>. The Notes are subject to optional redemption, and may be the subject of an optional tax redemption, a Net Proceeds Offer and a Change of Control Offer, as further described in the Indenture. The Issuer shall not be required to make mandatory redemption or sinking fund payments with respect to Notes.</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13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Denominations, Transfer, Exchange</w:t>
      </w:r>
      <w:r>
        <w:rPr>
          <w:rFonts w:ascii="Times New Roman" w:cs="Times New Roman" w:eastAsia="Times New Roman" w:hAnsi="Times New Roman"/>
          <w:sz w:val="20"/>
          <w:szCs w:val="20"/>
          <w:color w:val="auto"/>
        </w:rPr>
        <w:t>. The Notes are in registered form without coupons in initial minimum denominations of $2,000 and integral multiples of $1,000 in excess thereof.</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The transfer of the Notes may be registered and the Notes may be exchanged as provided in the Indenture. The Registrar, the Trustee and the Issuer may require a Holder, among other things, to furnish appropriate endorsements and transfer documents, and the Issuer may require a Holder to pay any stamp or transfer tax or similar government charge required by law or permitted by the Indenture in accordance with </w:t>
      </w:r>
      <w:r>
        <w:rPr>
          <w:rFonts w:ascii="Times New Roman" w:cs="Times New Roman" w:eastAsia="Times New Roman" w:hAnsi="Times New Roman"/>
          <w:sz w:val="20"/>
          <w:szCs w:val="20"/>
          <w:u w:val="single" w:color="auto"/>
          <w:color w:val="auto"/>
        </w:rPr>
        <w:t>Section 2.6(g)(2)</w:t>
      </w:r>
      <w:r>
        <w:rPr>
          <w:rFonts w:ascii="Times New Roman" w:cs="Times New Roman" w:eastAsia="Times New Roman" w:hAnsi="Times New Roman"/>
          <w:sz w:val="20"/>
          <w:szCs w:val="20"/>
          <w:color w:val="auto"/>
        </w:rPr>
        <w:t xml:space="preserve"> of the Indenture. The Registrar is not required (A) to issue, to register the transfer of or to exchange Notes during a period beginning at the opening of 15 days before the day of any selection of Notes for redemption and ending at the close of business on the day of such selection, (B) to register the transfer of or to exchange any Note so selected for redemption in whole or in part, except the unredeemed portion of any Note being redeemed in part, or (C) to register the transfer of or to exchange a Note between a record date and the next succeeding Interest Payment Date.</w:t>
      </w:r>
    </w:p>
    <w:p>
      <w:pPr>
        <w:spacing w:after="0" w:line="195" w:lineRule="exact"/>
        <w:rPr>
          <w:sz w:val="20"/>
          <w:szCs w:val="20"/>
          <w:color w:val="auto"/>
        </w:rPr>
      </w:pPr>
    </w:p>
    <w:p>
      <w:pPr>
        <w:ind w:left="1080" w:hanging="424"/>
        <w:spacing w:after="0"/>
        <w:tabs>
          <w:tab w:leader="none" w:pos="108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Persons Deemed Owners</w:t>
      </w:r>
      <w:r>
        <w:rPr>
          <w:rFonts w:ascii="Times New Roman" w:cs="Times New Roman" w:eastAsia="Times New Roman" w:hAnsi="Times New Roman"/>
          <w:sz w:val="20"/>
          <w:szCs w:val="20"/>
          <w:color w:val="auto"/>
        </w:rPr>
        <w:t>. The registered Holder of a Note will be treated as its owner for all purposes.</w:t>
      </w:r>
    </w:p>
    <w:p>
      <w:pPr>
        <w:spacing w:after="0" w:line="215" w:lineRule="exact"/>
        <w:rPr>
          <w:rFonts w:ascii="Times New Roman" w:cs="Times New Roman" w:eastAsia="Times New Roman" w:hAnsi="Times New Roman"/>
          <w:sz w:val="20"/>
          <w:szCs w:val="20"/>
          <w:color w:val="auto"/>
        </w:rPr>
      </w:pPr>
    </w:p>
    <w:p>
      <w:pPr>
        <w:ind w:firstLine="656"/>
        <w:spacing w:after="0" w:line="283" w:lineRule="auto"/>
        <w:tabs>
          <w:tab w:leader="none" w:pos="1157"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Supplement and Waiver</w:t>
      </w:r>
      <w:r>
        <w:rPr>
          <w:rFonts w:ascii="Times New Roman" w:cs="Times New Roman" w:eastAsia="Times New Roman" w:hAnsi="Times New Roman"/>
          <w:sz w:val="20"/>
          <w:szCs w:val="20"/>
          <w:color w:val="auto"/>
        </w:rPr>
        <w:t>. The Indenture, the Notes and the Guarantees may be amended or supplemented, and compliance with provisions thereof may be waived, in each case as provided in the Indenture.</w:t>
      </w:r>
    </w:p>
    <w:p>
      <w:pPr>
        <w:spacing w:after="0" w:line="146"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Defaults and Remedies</w:t>
      </w:r>
      <w:r>
        <w:rPr>
          <w:rFonts w:ascii="Times New Roman" w:cs="Times New Roman" w:eastAsia="Times New Roman" w:hAnsi="Times New Roman"/>
          <w:sz w:val="20"/>
          <w:szCs w:val="20"/>
          <w:color w:val="auto"/>
        </w:rPr>
        <w:t>. The remedies of Holders in the event of a Default are as set forth in the Indenture.</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16"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Recourse Against Others</w:t>
      </w:r>
      <w:r>
        <w:rPr>
          <w:rFonts w:ascii="Times New Roman" w:cs="Times New Roman" w:eastAsia="Times New Roman" w:hAnsi="Times New Roman"/>
          <w:sz w:val="20"/>
          <w:szCs w:val="20"/>
          <w:color w:val="auto"/>
        </w:rPr>
        <w:t>. No director, officer, employee, incorporator or stockholder, partner or member of the Issuer or any Guarantor, as such, will have any liability for any indebtedness, obligations or liabilities of the Issuer under the Notes or the Indenture or of any Guarantor under its Guarantee or for any claim based on, in respect of, or by reason of, such obligations or their creation. Each Holder by accepting a Note waives and releases all such liability. The waiver and release are part of the consideration for issuance of the Notes and the Guarantees, to the extent permitted by applicable law.</w:t>
      </w:r>
    </w:p>
    <w:p>
      <w:pPr>
        <w:spacing w:after="0" w:line="191" w:lineRule="exact"/>
        <w:rPr>
          <w:rFonts w:ascii="Times New Roman" w:cs="Times New Roman" w:eastAsia="Times New Roman" w:hAnsi="Times New Roman"/>
          <w:sz w:val="20"/>
          <w:szCs w:val="20"/>
          <w:color w:val="auto"/>
        </w:rPr>
      </w:pPr>
    </w:p>
    <w:p>
      <w:pPr>
        <w:ind w:left="1180" w:hanging="524"/>
        <w:spacing w:after="0"/>
        <w:tabs>
          <w:tab w:leader="none" w:pos="118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Authentication</w:t>
      </w:r>
      <w:r>
        <w:rPr>
          <w:rFonts w:ascii="Times New Roman" w:cs="Times New Roman" w:eastAsia="Times New Roman" w:hAnsi="Times New Roman"/>
          <w:sz w:val="20"/>
          <w:szCs w:val="20"/>
          <w:color w:val="auto"/>
        </w:rPr>
        <w:t>. This Note shall not be valid until authenticated by the Trustee or an authenticating agent.</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175"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Abbreviations</w:t>
      </w:r>
      <w:r>
        <w:rPr>
          <w:rFonts w:ascii="Times New Roman" w:cs="Times New Roman" w:eastAsia="Times New Roman" w:hAnsi="Times New Roman"/>
          <w:sz w:val="20"/>
          <w:szCs w:val="20"/>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A-7</w:t>
      </w:r>
    </w:p>
    <w:p>
      <w:pPr>
        <w:sectPr>
          <w:pgSz w:w="11900" w:h="16838" w:orient="portrait"/>
          <w:cols w:equalWidth="0" w:num="1">
            <w:col w:w="11240"/>
          </w:cols>
          <w:pgMar w:left="320" w:top="1413" w:right="339" w:bottom="1440" w:gutter="0" w:footer="0" w:header="0"/>
        </w:sectPr>
      </w:pPr>
    </w:p>
    <w:bookmarkStart w:id="124" w:name="page125"/>
    <w:bookmarkEnd w:id="124"/>
    <w:p>
      <w:pPr>
        <w:ind w:left="332" w:hanging="332"/>
        <w:spacing w:after="0" w:line="258" w:lineRule="auto"/>
        <w:tabs>
          <w:tab w:leader="none" w:pos="535"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CUSIP Numbers</w:t>
      </w:r>
      <w:r>
        <w:rPr>
          <w:rFonts w:ascii="Times New Roman" w:cs="Times New Roman" w:eastAsia="Times New Roman" w:hAnsi="Times New Roman"/>
          <w:sz w:val="20"/>
          <w:szCs w:val="20"/>
          <w:color w:val="auto"/>
        </w:rPr>
        <w:t>. Pursuant to a recommendation promulgated by the Committee on Uniform Security Identification Procedures, the Issuer has caused CUSIP numbers to be printed on the Notes, and the Trustee may use CUSIP numbers in notices of redemption as a convenience to the Holders. No representation is made as to the accuracy of such numbers either as printed on the Notes or as contained in any notice of redemption, and reliance may be placed only on the other identification numbers placed thereon.</w:t>
      </w:r>
    </w:p>
    <w:p>
      <w:pPr>
        <w:spacing w:after="0" w:line="200" w:lineRule="exact"/>
        <w:rPr>
          <w:sz w:val="20"/>
          <w:szCs w:val="20"/>
          <w:color w:val="auto"/>
        </w:rPr>
      </w:pPr>
    </w:p>
    <w:p>
      <w:pPr>
        <w:spacing w:after="0" w:line="337"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0"/>
          <w:szCs w:val="20"/>
          <w:color w:val="auto"/>
        </w:rPr>
        <w:t>A-8</w:t>
      </w:r>
    </w:p>
    <w:p>
      <w:pPr>
        <w:sectPr>
          <w:pgSz w:w="11900" w:h="16838" w:orient="portrait"/>
          <w:cols w:equalWidth="0" w:num="1">
            <w:col w:w="11092"/>
          </w:cols>
          <w:pgMar w:left="328" w:top="1413" w:right="47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9"/>
          <w:szCs w:val="19"/>
          <w:color w:val="auto"/>
        </w:rPr>
        <w:t>The Issuer shall furnish to any Holder upon written request and without charge a copy of the Indenture. Requests may be made to:</w:t>
      </w:r>
    </w:p>
    <w:p>
      <w:pPr>
        <w:spacing w:after="0" w:line="2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Noble Finance II LLC</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2101 City West Boulevard, Suite 600</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Houston, Texas 77042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00" w:lineRule="exact"/>
        <w:rPr>
          <w:sz w:val="20"/>
          <w:szCs w:val="20"/>
          <w:color w:val="auto"/>
        </w:rPr>
      </w:pP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A-9</w:t>
      </w:r>
    </w:p>
    <w:p>
      <w:pPr>
        <w:sectPr>
          <w:pgSz w:w="11900" w:h="16838" w:orient="portrait"/>
          <w:cols w:equalWidth="0" w:num="1">
            <w:col w:w="10960"/>
          </w:cols>
          <w:pgMar w:left="320" w:top="1413" w:right="619" w:bottom="1440" w:gutter="0" w:footer="0" w:header="0"/>
        </w:sectPr>
      </w:pPr>
    </w:p>
    <w:bookmarkStart w:id="126" w:name="page127"/>
    <w:bookmarkEnd w:id="126"/>
    <w:p>
      <w:pPr>
        <w:ind w:left="4680"/>
        <w:spacing w:after="0"/>
        <w:rPr>
          <w:sz w:val="20"/>
          <w:szCs w:val="20"/>
          <w:color w:val="auto"/>
        </w:rPr>
      </w:pPr>
      <w:r>
        <w:rPr>
          <w:rFonts w:ascii="Times New Roman" w:cs="Times New Roman" w:eastAsia="Times New Roman" w:hAnsi="Times New Roman"/>
          <w:sz w:val="20"/>
          <w:szCs w:val="20"/>
          <w:color w:val="auto"/>
        </w:rPr>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assign this Note, fill in the form below: (I)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2419"/>
        <w:spacing w:after="0"/>
        <w:rPr>
          <w:sz w:val="20"/>
          <w:szCs w:val="20"/>
          <w:color w:val="auto"/>
        </w:rPr>
      </w:pPr>
      <w:r>
        <w:rPr>
          <w:rFonts w:ascii="Times New Roman" w:cs="Times New Roman" w:eastAsia="Times New Roman" w:hAnsi="Times New Roman"/>
          <w:sz w:val="20"/>
          <w:szCs w:val="20"/>
          <w:color w:val="auto"/>
        </w:rPr>
        <w:t>(Print or type assignee’s name, address and zip code)</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_____________</w:t>
      </w:r>
    </w:p>
    <w:p>
      <w:pPr>
        <w:spacing w:after="0" w:line="24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160020</wp:posOffset>
            </wp:positionV>
            <wp:extent cx="44145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14520" cy="8890"/>
                    </a:xfrm>
                    <a:prstGeom prst="rect">
                      <a:avLst/>
                    </a:prstGeom>
                    <a:noFill/>
                  </pic:spPr>
                </pic:pic>
              </a:graphicData>
            </a:graphic>
          </wp:anchor>
        </w:drawing>
      </w:r>
    </w:p>
    <w:p>
      <w:pPr>
        <w:spacing w:after="0" w:line="2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(Sign exactly as your name</w:t>
      </w:r>
    </w:p>
    <w:p>
      <w:pPr>
        <w:spacing w:after="0" w:line="18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appears on the face of this Note)</w:t>
      </w:r>
    </w:p>
    <w:p>
      <w:pPr>
        <w:spacing w:after="0" w:line="200" w:lineRule="exact"/>
        <w:rPr>
          <w:sz w:val="20"/>
          <w:szCs w:val="20"/>
          <w:color w:val="auto"/>
        </w:rPr>
      </w:pPr>
    </w:p>
    <w:p>
      <w:pPr>
        <w:spacing w:after="0" w:line="2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A-10</w:t>
      </w:r>
    </w:p>
    <w:p>
      <w:pPr>
        <w:sectPr>
          <w:pgSz w:w="11900" w:h="16838" w:orient="portrait"/>
          <w:cols w:equalWidth="0" w:num="1">
            <w:col w:w="10139"/>
          </w:cols>
          <w:pgMar w:left="320" w:top="1413" w:right="1440"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color w:val="auto"/>
        </w:rPr>
        <w:t>OPTION OF HOLDER TO ELECT PURCHASE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If you want to elect to have this Note purchased by the Issuer pursuant to </w:t>
      </w:r>
      <w:r>
        <w:rPr>
          <w:rFonts w:ascii="Times New Roman" w:cs="Times New Roman" w:eastAsia="Times New Roman" w:hAnsi="Times New Roman"/>
          <w:sz w:val="19"/>
          <w:szCs w:val="19"/>
          <w:u w:val="single" w:color="auto"/>
          <w:color w:val="auto"/>
        </w:rPr>
        <w:t>Section 4.10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4.13</w:t>
      </w:r>
      <w:r>
        <w:rPr>
          <w:rFonts w:ascii="Times New Roman" w:cs="Times New Roman" w:eastAsia="Times New Roman" w:hAnsi="Times New Roman"/>
          <w:sz w:val="19"/>
          <w:szCs w:val="19"/>
          <w:color w:val="auto"/>
        </w:rPr>
        <w:t xml:space="preserve"> of the Indenture, check the box</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pacing w:after="0" w:line="207" w:lineRule="exact"/>
        <w:rPr>
          <w:sz w:val="20"/>
          <w:szCs w:val="20"/>
          <w:color w:val="auto"/>
        </w:rPr>
      </w:pPr>
    </w:p>
    <w:p>
      <w:pPr>
        <w:jc w:val="center"/>
        <w:spacing w:after="0"/>
        <w:tabs>
          <w:tab w:leader="none" w:pos="380" w:val="left"/>
        </w:tabs>
        <w:rPr>
          <w:sz w:val="20"/>
          <w:szCs w:val="20"/>
          <w:color w:val="auto"/>
        </w:rPr>
      </w:pPr>
      <w:r>
        <w:rPr>
          <w:rFonts w:ascii="Times New Roman" w:cs="Times New Roman" w:eastAsia="Times New Roman" w:hAnsi="Times New Roman"/>
          <w:sz w:val="20"/>
          <w:szCs w:val="20"/>
          <w:color w:val="auto"/>
        </w:rPr>
        <w:t>[ ] Section 4.10</w:t>
      </w:r>
      <w:r>
        <w:rPr>
          <w:sz w:val="20"/>
          <w:szCs w:val="20"/>
          <w:color w:val="auto"/>
        </w:rPr>
        <w:tab/>
      </w:r>
      <w:r>
        <w:rPr>
          <w:rFonts w:ascii="Times New Roman" w:cs="Times New Roman" w:eastAsia="Times New Roman" w:hAnsi="Times New Roman"/>
          <w:sz w:val="19"/>
          <w:szCs w:val="19"/>
          <w:color w:val="auto"/>
        </w:rPr>
        <w:t>[ ] Section 4.13</w:t>
      </w:r>
    </w:p>
    <w:p>
      <w:pPr>
        <w:spacing w:after="0" w:line="21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If you want to elect to have only part of the Note purchased by the Issuer pursuant to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of the Indenture, state the amount you elect to have purchased: $_________________</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_____________</w:t>
      </w:r>
    </w:p>
    <w:p>
      <w:pPr>
        <w:spacing w:after="0" w:line="24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160020</wp:posOffset>
            </wp:positionV>
            <wp:extent cx="44062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2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(Sign exactly as your name</w:t>
      </w:r>
    </w:p>
    <w:p>
      <w:pPr>
        <w:spacing w:after="0" w:line="1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appears on the face of this Note)</w:t>
      </w:r>
    </w:p>
    <w:p>
      <w:pPr>
        <w:spacing w:after="0" w:line="200" w:lineRule="exact"/>
        <w:rPr>
          <w:sz w:val="20"/>
          <w:szCs w:val="20"/>
          <w:color w:val="auto"/>
        </w:rPr>
      </w:pPr>
    </w:p>
    <w:p>
      <w:pPr>
        <w:spacing w:after="0" w:line="3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Tax Identification No.:</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A-11</w:t>
      </w:r>
    </w:p>
    <w:p>
      <w:pPr>
        <w:sectPr>
          <w:pgSz w:w="11900" w:h="16838" w:orient="portrait"/>
          <w:cols w:equalWidth="0" w:num="1">
            <w:col w:w="11240"/>
          </w:cols>
          <w:pgMar w:left="320" w:top="1413"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color w:val="auto"/>
        </w:rPr>
        <w:t>[INCLUDE IN TRANSFER RESTRICTED NOTES]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CERTIFICATE TO BE DELIVERED UPON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EXCHANGE OF TRANSFER RESTRICTED 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Noble Finance II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2101 City West Boulevard, Suite 600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77042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HSBC Bank USA, National Association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66 Hudson Boulevard, 5th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 10001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Issuer Services / Deal Management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 CUSIP NO.</w:t>
      </w:r>
    </w:p>
    <w:p>
      <w:pPr>
        <w:spacing w:after="0" w:line="21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Reference is hereby made to that certain Indenture dated June 11, 2026 (the “</w:t>
      </w:r>
      <w:r>
        <w:rPr>
          <w:rFonts w:ascii="Times New Roman" w:cs="Times New Roman" w:eastAsia="Times New Roman" w:hAnsi="Times New Roman"/>
          <w:sz w:val="20"/>
          <w:szCs w:val="20"/>
          <w:i w:val="1"/>
          <w:iCs w:val="1"/>
          <w:color w:val="auto"/>
        </w:rPr>
        <w:t>Indenture</w:t>
      </w:r>
      <w:r>
        <w:rPr>
          <w:rFonts w:ascii="Times New Roman" w:cs="Times New Roman" w:eastAsia="Times New Roman" w:hAnsi="Times New Roman"/>
          <w:sz w:val="20"/>
          <w:szCs w:val="20"/>
          <w:color w:val="auto"/>
        </w:rPr>
        <w:t>”) among Noble Finance II LLC (the “</w:t>
      </w:r>
      <w:r>
        <w:rPr>
          <w:rFonts w:ascii="Times New Roman" w:cs="Times New Roman" w:eastAsia="Times New Roman" w:hAnsi="Times New Roman"/>
          <w:sz w:val="20"/>
          <w:szCs w:val="20"/>
          <w:i w:val="1"/>
          <w:iCs w:val="1"/>
          <w:color w:val="auto"/>
        </w:rPr>
        <w:t>Issuer</w:t>
      </w:r>
      <w:r>
        <w:rPr>
          <w:rFonts w:ascii="Times New Roman" w:cs="Times New Roman" w:eastAsia="Times New Roman" w:hAnsi="Times New Roman"/>
          <w:sz w:val="20"/>
          <w:szCs w:val="20"/>
          <w:color w:val="auto"/>
        </w:rPr>
        <w:t>”), the guarantors named therein, and HSBC Bank USA, National Association, as trustee (the “</w:t>
      </w:r>
      <w:r>
        <w:rPr>
          <w:rFonts w:ascii="Times New Roman" w:cs="Times New Roman" w:eastAsia="Times New Roman" w:hAnsi="Times New Roman"/>
          <w:sz w:val="20"/>
          <w:szCs w:val="20"/>
          <w:i w:val="1"/>
          <w:iCs w:val="1"/>
          <w:color w:val="auto"/>
        </w:rPr>
        <w:t>Trustee</w:t>
      </w:r>
      <w:r>
        <w:rPr>
          <w:rFonts w:ascii="Times New Roman" w:cs="Times New Roman" w:eastAsia="Times New Roman" w:hAnsi="Times New Roman"/>
          <w:sz w:val="20"/>
          <w:szCs w:val="20"/>
          <w:color w:val="auto"/>
        </w:rPr>
        <w:t>”). Capitalized terms used but not defined herein shall have the meanings set forth in the Indenture.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certificate relates to $______ principal amount of Notes held in (check applicable space) ____________ book-entry 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 definitive form by the undersigned.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undersigned _____________ (transferor) (check one box below):</w:t>
      </w:r>
    </w:p>
    <w:p>
      <w:pPr>
        <w:spacing w:after="0" w:line="229" w:lineRule="exact"/>
        <w:rPr>
          <w:sz w:val="20"/>
          <w:szCs w:val="20"/>
          <w:color w:val="auto"/>
        </w:rPr>
      </w:pPr>
    </w:p>
    <w:p>
      <w:pPr>
        <w:jc w:val="both"/>
        <w:ind w:left="660" w:hanging="443"/>
        <w:spacing w:after="0" w:line="261" w:lineRule="auto"/>
        <w:rPr>
          <w:sz w:val="20"/>
          <w:szCs w:val="20"/>
          <w:color w:val="auto"/>
        </w:rPr>
      </w:pPr>
      <w:r>
        <w:rPr>
          <w:rFonts w:ascii="Times New Roman" w:cs="Times New Roman" w:eastAsia="Times New Roman" w:hAnsi="Times New Roman"/>
          <w:sz w:val="20"/>
          <w:szCs w:val="20"/>
          <w:color w:val="auto"/>
        </w:rPr>
        <w:t xml:space="preserve">hereby requests the Registrar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 in accordance with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of the Indenture;</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hereby requests the Trustee to exchange a Note or Notes to ________________________ (transferee).</w:t>
      </w:r>
    </w:p>
    <w:p>
      <w:pPr>
        <w:spacing w:after="0" w:line="229" w:lineRule="exact"/>
        <w:rPr>
          <w:sz w:val="20"/>
          <w:szCs w:val="20"/>
          <w:color w:val="auto"/>
        </w:rPr>
      </w:pPr>
    </w:p>
    <w:p>
      <w:pPr>
        <w:jc w:val="both"/>
        <w:ind w:left="340" w:right="100" w:hanging="323"/>
        <w:spacing w:after="0" w:line="261" w:lineRule="auto"/>
        <w:rPr>
          <w:sz w:val="20"/>
          <w:szCs w:val="20"/>
          <w:color w:val="auto"/>
        </w:rPr>
      </w:pPr>
      <w:r>
        <w:rPr>
          <w:rFonts w:ascii="Times New Roman" w:cs="Times New Roman" w:eastAsia="Times New Roman" w:hAnsi="Times New Roman"/>
          <w:sz w:val="20"/>
          <w:szCs w:val="20"/>
          <w:color w:val="auto"/>
        </w:rPr>
        <w:t>In connection with any transfer of any of the Notes evidenced by this certificate occurring prior to the expiration of the periods referred to in Rule 144(d) under the Securities Act of 1933, as amended, the undersigned confirms that such Notes are being transferred in accordance with its terms: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A-12</w:t>
      </w:r>
    </w:p>
    <w:p>
      <w:pPr>
        <w:sectPr>
          <w:pgSz w:w="11900" w:h="16838" w:orient="portrait"/>
          <w:cols w:equalWidth="0" w:num="1">
            <w:col w:w="11240"/>
          </w:cols>
          <w:pgMar w:left="320" w:top="141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color w:val="auto"/>
        </w:rPr>
        <w:t>CHECK ONE BOX BELOW:</w:t>
      </w:r>
    </w:p>
    <w:p>
      <w:pPr>
        <w:spacing w:after="0" w:line="233" w:lineRule="exact"/>
        <w:rPr>
          <w:sz w:val="20"/>
          <w:szCs w:val="20"/>
          <w:color w:val="auto"/>
        </w:rPr>
      </w:pPr>
    </w:p>
    <w:p>
      <w:pPr>
        <w:ind w:left="1140" w:hanging="484"/>
        <w:spacing w:after="0"/>
        <w:tabs>
          <w:tab w:leader="none" w:pos="114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Issuer or any of its subsidiaries; or</w:t>
      </w:r>
    </w:p>
    <w:p>
      <w:pPr>
        <w:spacing w:after="0" w:line="215"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a registration statement that has been declared effective under the Securities Act of 1933, as amended; or</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15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 “qualified institutional buyer” (as defined in Rule 144A under the Securities Act of 1933, as amended) that purchases for its own account or for the account of a qualified institutional buyer to whom notice is given that such transfer is being made in reliance on Rule 144A under the Securities Act of 1933, as amended, in each case pursuant to and in compliance with Rule 144A thereunder; or</w:t>
      </w:r>
    </w:p>
    <w:p>
      <w:pPr>
        <w:spacing w:after="0" w:line="181" w:lineRule="exact"/>
        <w:rPr>
          <w:rFonts w:ascii="Times New Roman" w:cs="Times New Roman" w:eastAsia="Times New Roman" w:hAnsi="Times New Roman"/>
          <w:sz w:val="20"/>
          <w:szCs w:val="20"/>
          <w:color w:val="auto"/>
        </w:rPr>
      </w:pPr>
    </w:p>
    <w:p>
      <w:pPr>
        <w:ind w:right="20" w:firstLine="656"/>
        <w:spacing w:after="0" w:line="269" w:lineRule="auto"/>
        <w:tabs>
          <w:tab w:leader="none" w:pos="1178"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outside the United States in an offshore transaction within the meaning of Regulation S under the Securities Act of 1933, as amended, in compliance with Rule 904 thereunder; or</w:t>
      </w:r>
    </w:p>
    <w:p>
      <w:pPr>
        <w:spacing w:after="0" w:line="172" w:lineRule="exact"/>
        <w:rPr>
          <w:rFonts w:ascii="Times New Roman" w:cs="Times New Roman" w:eastAsia="Times New Roman" w:hAnsi="Times New Roman"/>
          <w:sz w:val="20"/>
          <w:szCs w:val="20"/>
          <w:color w:val="auto"/>
        </w:rPr>
      </w:pPr>
    </w:p>
    <w:p>
      <w:pPr>
        <w:ind w:right="20" w:firstLine="656"/>
        <w:spacing w:after="0" w:line="295" w:lineRule="auto"/>
        <w:tabs>
          <w:tab w:leader="none" w:pos="1171"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an institutional “accredited investor” within the meaning of Rule 501(a) of the Securities Act of 1933, as amended, that is not a qualified institutional buyer and that is purchasing for its own account or for the account of another institutional accredited investor; or</w:t>
      </w:r>
    </w:p>
    <w:p>
      <w:pPr>
        <w:spacing w:after="0" w:line="151" w:lineRule="exact"/>
        <w:rPr>
          <w:rFonts w:ascii="Times New Roman" w:cs="Times New Roman" w:eastAsia="Times New Roman" w:hAnsi="Times New Roman"/>
          <w:sz w:val="19"/>
          <w:szCs w:val="19"/>
          <w:color w:val="auto"/>
        </w:rPr>
      </w:pPr>
    </w:p>
    <w:p>
      <w:pPr>
        <w:ind w:left="1140" w:hanging="484"/>
        <w:spacing w:after="0"/>
        <w:tabs>
          <w:tab w:leader="none" w:pos="114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another available exemption from the registration requirements of the Securities Act of 1933, as amended.</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Unless one of the boxes is checked, the Registrar will refuse to register any of the Notes evidenced by this certificate in the name of any person other than the registered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261620</wp:posOffset>
            </wp:positionV>
            <wp:extent cx="2514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40005</wp:posOffset>
            </wp:positionV>
            <wp:extent cx="52374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37480" cy="8890"/>
                    </a:xfrm>
                    <a:prstGeom prst="rect">
                      <a:avLst/>
                    </a:prstGeom>
                    <a:noFill/>
                  </pic:spPr>
                </pic:pic>
              </a:graphicData>
            </a:graphic>
          </wp:anchor>
        </w:drawing>
      </w:r>
    </w:p>
    <w:p>
      <w:pPr>
        <w:spacing w:after="0" w:line="61" w:lineRule="exact"/>
        <w:rPr>
          <w:sz w:val="20"/>
          <w:szCs w:val="20"/>
          <w:color w:val="auto"/>
        </w:rPr>
      </w:pPr>
    </w:p>
    <w:p>
      <w:pPr>
        <w:ind w:left="3060" w:right="800"/>
        <w:spacing w:after="0" w:line="283" w:lineRule="auto"/>
        <w:rPr>
          <w:sz w:val="20"/>
          <w:szCs w:val="20"/>
          <w:color w:val="auto"/>
        </w:rPr>
      </w:pPr>
      <w:r>
        <w:rPr>
          <w:rFonts w:ascii="Times New Roman" w:cs="Times New Roman" w:eastAsia="Times New Roman" w:hAnsi="Times New Roman"/>
          <w:sz w:val="20"/>
          <w:szCs w:val="20"/>
          <w:color w:val="auto"/>
        </w:rPr>
        <w:t>(Signature must be guaranteed by a participant in a recognized signature guarantee medallion program)</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BE COMPLETED BY PURCHASER IF (2) ABOVE IS CHECKED.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undersigned represents and warrants that it is purchasing this Note for its own account or an account with respect to which it exercises sole investment discretion and that each of it and any such account is a “qualified institutional buyer” within the meaning of Rule 144A under the Securities Act of 1933, as amended (“</w:t>
      </w:r>
      <w:r>
        <w:rPr>
          <w:rFonts w:ascii="Times New Roman" w:cs="Times New Roman" w:eastAsia="Times New Roman" w:hAnsi="Times New Roman"/>
          <w:sz w:val="20"/>
          <w:szCs w:val="20"/>
          <w:i w:val="1"/>
          <w:iCs w:val="1"/>
          <w:color w:val="auto"/>
        </w:rPr>
        <w:t>Rule 144A</w:t>
      </w:r>
      <w:r>
        <w:rPr>
          <w:rFonts w:ascii="Times New Roman" w:cs="Times New Roman" w:eastAsia="Times New Roman" w:hAnsi="Times New Roman"/>
          <w:sz w:val="20"/>
          <w:szCs w:val="20"/>
          <w:color w:val="auto"/>
        </w:rPr>
        <w:t>”),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488315</wp:posOffset>
            </wp:positionV>
            <wp:extent cx="2514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NOTICE: To be executed by an executive officer, if an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A-13</w:t>
      </w:r>
    </w:p>
    <w:p>
      <w:pPr>
        <w:sectPr>
          <w:pgSz w:w="11900" w:h="16838" w:orient="portrait"/>
          <w:cols w:equalWidth="0" w:num="1">
            <w:col w:w="11240"/>
          </w:cols>
          <w:pgMar w:left="320" w:top="1409" w:right="339" w:bottom="1440" w:gutter="0" w:footer="0" w:header="0"/>
        </w:sectPr>
      </w:pPr>
    </w:p>
    <w:bookmarkStart w:id="130" w:name="page131"/>
    <w:bookmarkEnd w:id="130"/>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Dated: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[INCLUDE IN NOTES BEARING THE REGULATION S LEGEND]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CERTIFICATE TO BE DELIVERED UPON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EXCHANGE OF NOTES BEARING THE REGULATION S LEGEND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Noble Finance II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2101 City West Boulevard, Suite 600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77042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HSBC Bank USA, National Association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66 Hudson Boulevard, 5th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 10001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Issuer Services / Deal Management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 CUSIP NO.</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Reference is hereby made to that certain Indenture dated June 11, 2026 (the “</w:t>
      </w:r>
      <w:r>
        <w:rPr>
          <w:rFonts w:ascii="Times New Roman" w:cs="Times New Roman" w:eastAsia="Times New Roman" w:hAnsi="Times New Roman"/>
          <w:sz w:val="20"/>
          <w:szCs w:val="20"/>
          <w:i w:val="1"/>
          <w:iCs w:val="1"/>
          <w:color w:val="auto"/>
        </w:rPr>
        <w:t>Indenture</w:t>
      </w:r>
      <w:r>
        <w:rPr>
          <w:rFonts w:ascii="Times New Roman" w:cs="Times New Roman" w:eastAsia="Times New Roman" w:hAnsi="Times New Roman"/>
          <w:sz w:val="20"/>
          <w:szCs w:val="20"/>
          <w:color w:val="auto"/>
        </w:rPr>
        <w:t>”) among Noble Finance II LLC (the “</w:t>
      </w:r>
      <w:r>
        <w:rPr>
          <w:rFonts w:ascii="Times New Roman" w:cs="Times New Roman" w:eastAsia="Times New Roman" w:hAnsi="Times New Roman"/>
          <w:sz w:val="20"/>
          <w:szCs w:val="20"/>
          <w:i w:val="1"/>
          <w:iCs w:val="1"/>
          <w:color w:val="auto"/>
        </w:rPr>
        <w:t>Issuer</w:t>
      </w:r>
      <w:r>
        <w:rPr>
          <w:rFonts w:ascii="Times New Roman" w:cs="Times New Roman" w:eastAsia="Times New Roman" w:hAnsi="Times New Roman"/>
          <w:sz w:val="20"/>
          <w:szCs w:val="20"/>
          <w:color w:val="auto"/>
        </w:rPr>
        <w:t>”), the guarantors named therein, and HSBC Bank USA, National Association, as trustee (the “</w:t>
      </w:r>
      <w:r>
        <w:rPr>
          <w:rFonts w:ascii="Times New Roman" w:cs="Times New Roman" w:eastAsia="Times New Roman" w:hAnsi="Times New Roman"/>
          <w:sz w:val="20"/>
          <w:szCs w:val="20"/>
          <w:i w:val="1"/>
          <w:iCs w:val="1"/>
          <w:color w:val="auto"/>
        </w:rPr>
        <w:t>Trustee</w:t>
      </w:r>
      <w:r>
        <w:rPr>
          <w:rFonts w:ascii="Times New Roman" w:cs="Times New Roman" w:eastAsia="Times New Roman" w:hAnsi="Times New Roman"/>
          <w:sz w:val="20"/>
          <w:szCs w:val="20"/>
          <w:color w:val="auto"/>
        </w:rPr>
        <w:t>”). Capitalized terms used but not defined herein shall have the meanings set forth in the Indenture.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certificate relates to $__________ principal amount of Notes held in (check applicable space) ___________ book-entry 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 definitive form by the undersigned.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undersigned _____________ (transferor) (check one box below):</w:t>
      </w:r>
    </w:p>
    <w:p>
      <w:pPr>
        <w:spacing w:after="0" w:line="216" w:lineRule="exact"/>
        <w:rPr>
          <w:sz w:val="20"/>
          <w:szCs w:val="20"/>
          <w:color w:val="auto"/>
        </w:rPr>
      </w:pPr>
    </w:p>
    <w:p>
      <w:pPr>
        <w:jc w:val="both"/>
        <w:ind w:left="660" w:hanging="443"/>
        <w:spacing w:after="0" w:line="268" w:lineRule="auto"/>
        <w:rPr>
          <w:sz w:val="20"/>
          <w:szCs w:val="20"/>
          <w:color w:val="auto"/>
        </w:rPr>
      </w:pPr>
      <w:r>
        <w:rPr>
          <w:rFonts w:ascii="Times New Roman" w:cs="Times New Roman" w:eastAsia="Times New Roman" w:hAnsi="Times New Roman"/>
          <w:sz w:val="20"/>
          <w:szCs w:val="20"/>
          <w:color w:val="auto"/>
        </w:rPr>
        <w:t xml:space="preserve">hereby requests the Registrar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 in accordance with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of the Indenture;</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hereby requests the Trustee to exchange a Note or Notes to ___________ (transferee).</w:t>
      </w:r>
    </w:p>
    <w:p>
      <w:pPr>
        <w:spacing w:after="0" w:line="229" w:lineRule="exact"/>
        <w:rPr>
          <w:sz w:val="20"/>
          <w:szCs w:val="20"/>
          <w:color w:val="auto"/>
        </w:rPr>
      </w:pPr>
    </w:p>
    <w:p>
      <w:pPr>
        <w:ind w:left="340" w:right="120" w:hanging="323"/>
        <w:spacing w:after="0" w:line="269" w:lineRule="auto"/>
        <w:rPr>
          <w:sz w:val="20"/>
          <w:szCs w:val="20"/>
          <w:color w:val="auto"/>
        </w:rPr>
      </w:pPr>
      <w:r>
        <w:rPr>
          <w:rFonts w:ascii="Times New Roman" w:cs="Times New Roman" w:eastAsia="Times New Roman" w:hAnsi="Times New Roman"/>
          <w:sz w:val="20"/>
          <w:szCs w:val="20"/>
          <w:color w:val="auto"/>
        </w:rPr>
        <w:t>In connection with any transfer of any of the Notes evidenced by this certificate occurring prior to the expiration of the Restricted Period (as defined in the Indenture), the undersigned confirms that such Notes are being transferred in accordance with its terms: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A-14</w:t>
      </w:r>
    </w:p>
    <w:p>
      <w:pPr>
        <w:sectPr>
          <w:pgSz w:w="11900" w:h="16838" w:orient="portrait"/>
          <w:cols w:equalWidth="0" w:num="1">
            <w:col w:w="11240"/>
          </w:cols>
          <w:pgMar w:left="320" w:top="1440"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color w:val="auto"/>
        </w:rPr>
        <w:t>CHECK ONE BOX BELOW:</w:t>
      </w:r>
    </w:p>
    <w:p>
      <w:pPr>
        <w:spacing w:after="0" w:line="233" w:lineRule="exact"/>
        <w:rPr>
          <w:sz w:val="20"/>
          <w:szCs w:val="20"/>
          <w:color w:val="auto"/>
        </w:rPr>
      </w:pPr>
    </w:p>
    <w:p>
      <w:pPr>
        <w:ind w:left="1140" w:hanging="484"/>
        <w:spacing w:after="0"/>
        <w:tabs>
          <w:tab w:leader="none" w:pos="114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Issuer or any of its subsidiaries; or</w:t>
      </w:r>
    </w:p>
    <w:p>
      <w:pPr>
        <w:spacing w:after="0" w:line="215"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a registration statement that has been declared effective under the Securities Act of 1933, as amended; or</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155"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 “qualified institutional buyer” (as defined in Rule 144A under the Securities Act of 1933, as amended) that purchases for its own account or for the account of a qualified institutional buyer to whom notice is given that such transfer is being made in reliance on Rule 144A under the Securities Act of 1933, as amended, in each case pursuant to and in compliance with Rule 144A thereunder; or</w:t>
      </w:r>
    </w:p>
    <w:p>
      <w:pPr>
        <w:spacing w:after="0" w:line="181" w:lineRule="exact"/>
        <w:rPr>
          <w:rFonts w:ascii="Times New Roman" w:cs="Times New Roman" w:eastAsia="Times New Roman" w:hAnsi="Times New Roman"/>
          <w:sz w:val="20"/>
          <w:szCs w:val="20"/>
          <w:color w:val="auto"/>
        </w:rPr>
      </w:pPr>
    </w:p>
    <w:p>
      <w:pPr>
        <w:ind w:right="20" w:firstLine="656"/>
        <w:spacing w:after="0" w:line="269" w:lineRule="auto"/>
        <w:tabs>
          <w:tab w:leader="none" w:pos="117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outside the United States in an offshore transaction within the meaning of Regulation S under the Securities Act of 1933, as amended, in compliance with Rule 904 thereunder; or</w:t>
      </w:r>
    </w:p>
    <w:p>
      <w:pPr>
        <w:spacing w:after="0" w:line="172" w:lineRule="exact"/>
        <w:rPr>
          <w:rFonts w:ascii="Times New Roman" w:cs="Times New Roman" w:eastAsia="Times New Roman" w:hAnsi="Times New Roman"/>
          <w:sz w:val="20"/>
          <w:szCs w:val="20"/>
          <w:color w:val="auto"/>
        </w:rPr>
      </w:pPr>
    </w:p>
    <w:p>
      <w:pPr>
        <w:ind w:right="20" w:firstLine="656"/>
        <w:spacing w:after="0" w:line="295" w:lineRule="auto"/>
        <w:tabs>
          <w:tab w:leader="none" w:pos="1171"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an institutional “accredited investor” within the meaning of Rule 501(a) of the Securities Act of 1933, as amended, that is not a qualified institutional buyer and that is purchasing for its own account or for the account of another institutional accredited investor; or</w:t>
      </w:r>
    </w:p>
    <w:p>
      <w:pPr>
        <w:spacing w:after="0" w:line="151" w:lineRule="exact"/>
        <w:rPr>
          <w:rFonts w:ascii="Times New Roman" w:cs="Times New Roman" w:eastAsia="Times New Roman" w:hAnsi="Times New Roman"/>
          <w:sz w:val="19"/>
          <w:szCs w:val="19"/>
          <w:color w:val="auto"/>
        </w:rPr>
      </w:pPr>
    </w:p>
    <w:p>
      <w:pPr>
        <w:ind w:left="1140" w:hanging="484"/>
        <w:spacing w:after="0"/>
        <w:tabs>
          <w:tab w:leader="none" w:pos="114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another available exemption from the registration requirements of the Securities Act of 1933, as amended.</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Prior to the expiration of the Restricted Period, unless one of the boxes is checked, the Registrar will refuse to register any of the Notes evidenced by this certificate in the name of any person other than the registered Holder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261620</wp:posOffset>
            </wp:positionV>
            <wp:extent cx="2514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40005</wp:posOffset>
            </wp:positionV>
            <wp:extent cx="52374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37480" cy="8890"/>
                    </a:xfrm>
                    <a:prstGeom prst="rect">
                      <a:avLst/>
                    </a:prstGeom>
                    <a:noFill/>
                  </pic:spPr>
                </pic:pic>
              </a:graphicData>
            </a:graphic>
          </wp:anchor>
        </w:drawing>
      </w:r>
    </w:p>
    <w:p>
      <w:pPr>
        <w:spacing w:after="0" w:line="61" w:lineRule="exact"/>
        <w:rPr>
          <w:sz w:val="20"/>
          <w:szCs w:val="20"/>
          <w:color w:val="auto"/>
        </w:rPr>
      </w:pPr>
    </w:p>
    <w:p>
      <w:pPr>
        <w:ind w:left="3060" w:right="800"/>
        <w:spacing w:after="0" w:line="283" w:lineRule="auto"/>
        <w:rPr>
          <w:sz w:val="20"/>
          <w:szCs w:val="20"/>
          <w:color w:val="auto"/>
        </w:rPr>
      </w:pPr>
      <w:r>
        <w:rPr>
          <w:rFonts w:ascii="Times New Roman" w:cs="Times New Roman" w:eastAsia="Times New Roman" w:hAnsi="Times New Roman"/>
          <w:sz w:val="20"/>
          <w:szCs w:val="20"/>
          <w:color w:val="auto"/>
        </w:rPr>
        <w:t>(Signature must be guaranteed by a participant in a recognized signature guarantee medallion program)</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TO BE COMPLETED BY PURCHASER IF (2) ABOVE IS CHECKED.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undersigned represents and warrants that it is purchasing this Note for its own account or an account with respect to which it exercises sole investment discretion and that each of it and any such account is a “qualified institutional buyer” within the meaning of Rule 144A under the Securities Act of 1933, as amended (“</w:t>
      </w:r>
      <w:r>
        <w:rPr>
          <w:rFonts w:ascii="Times New Roman" w:cs="Times New Roman" w:eastAsia="Times New Roman" w:hAnsi="Times New Roman"/>
          <w:sz w:val="20"/>
          <w:szCs w:val="20"/>
          <w:i w:val="1"/>
          <w:iCs w:val="1"/>
          <w:color w:val="auto"/>
        </w:rPr>
        <w:t>Rule 144A</w:t>
      </w:r>
      <w:r>
        <w:rPr>
          <w:rFonts w:ascii="Times New Roman" w:cs="Times New Roman" w:eastAsia="Times New Roman" w:hAnsi="Times New Roman"/>
          <w:sz w:val="20"/>
          <w:szCs w:val="20"/>
          <w:color w:val="auto"/>
        </w:rPr>
        <w:t>”),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488315</wp:posOffset>
            </wp:positionV>
            <wp:extent cx="2514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NOTICE: To be executed by an executive officer, if an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A-15</w:t>
      </w:r>
    </w:p>
    <w:p>
      <w:pPr>
        <w:sectPr>
          <w:pgSz w:w="11900" w:h="16838" w:orient="portrait"/>
          <w:cols w:equalWidth="0" w:num="1">
            <w:col w:w="11240"/>
          </w:cols>
          <w:pgMar w:left="320" w:top="1409" w:right="339" w:bottom="1440" w:gutter="0" w:footer="0" w:header="0"/>
        </w:sectPr>
      </w:pPr>
    </w:p>
    <w:bookmarkStart w:id="132" w:name="page133"/>
    <w:bookmarkEnd w:id="132"/>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20"/>
          <w:szCs w:val="20"/>
          <w:color w:val="auto"/>
        </w:rPr>
        <w:t>A-16</w:t>
      </w:r>
    </w:p>
    <w:p>
      <w:pPr>
        <w:sectPr>
          <w:pgSz w:w="11900" w:h="16838" w:orient="portrait"/>
          <w:cols w:equalWidth="0" w:num="1">
            <w:col w:w="10059"/>
          </w:cols>
          <w:pgMar w:left="400" w:top="1440" w:right="1440" w:bottom="1440" w:gutter="0" w:footer="0" w:header="0"/>
        </w:sectPr>
      </w:pPr>
    </w:p>
    <w:bookmarkStart w:id="133" w:name="page134"/>
    <w:bookmarkEnd w:id="13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[INCLUDE IN GLOBAL NOTES]</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SCHEDULE OF INCREASES AND DECREASES OF 6.250% SENIOR NOTES DUE 2034</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The initial outstanding principal amount of this Global Note is $___________. The following transfers, exchanges and redemption of this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Global Note have been made:</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7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Date of Transfer,</w:t>
            </w:r>
          </w:p>
        </w:tc>
        <w:tc>
          <w:tcPr>
            <w:tcW w:w="23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Amount of Decrease in Principal</w:t>
            </w:r>
          </w:p>
        </w:tc>
        <w:tc>
          <w:tcPr>
            <w:tcW w:w="23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Amount of Increase in Principal</w:t>
            </w:r>
          </w:p>
        </w:tc>
        <w:tc>
          <w:tcPr>
            <w:tcW w:w="2600" w:type="dxa"/>
            <w:vAlign w:val="bottom"/>
            <w:tcBorders>
              <w:top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Principal Amount of this Global Note</w:t>
            </w:r>
          </w:p>
        </w:tc>
        <w:tc>
          <w:tcPr>
            <w:tcW w:w="22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Signature of Trustee or Note</w:t>
            </w: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vMerge w:val="continue"/>
          </w:tcPr>
          <w:p>
            <w:pPr>
              <w:spacing w:after="0"/>
              <w:rPr>
                <w:sz w:val="7"/>
                <w:szCs w:val="7"/>
                <w:color w:val="auto"/>
              </w:rPr>
            </w:pPr>
          </w:p>
        </w:tc>
        <w:tc>
          <w:tcPr>
            <w:tcW w:w="2320" w:type="dxa"/>
            <w:vAlign w:val="bottom"/>
            <w:tcBorders>
              <w:right w:val="single" w:sz="8" w:color="auto"/>
            </w:tcBorders>
            <w:vMerge w:val="continue"/>
          </w:tcPr>
          <w:p>
            <w:pPr>
              <w:spacing w:after="0"/>
              <w:rPr>
                <w:sz w:val="7"/>
                <w:szCs w:val="7"/>
                <w:color w:val="auto"/>
              </w:rPr>
            </w:pPr>
          </w:p>
        </w:tc>
        <w:tc>
          <w:tcPr>
            <w:tcW w:w="2300" w:type="dxa"/>
            <w:vAlign w:val="bottom"/>
            <w:tcBorders>
              <w:right w:val="single" w:sz="8" w:color="auto"/>
            </w:tcBorders>
            <w:vMerge w:val="continue"/>
          </w:tcPr>
          <w:p>
            <w:pPr>
              <w:spacing w:after="0"/>
              <w:rPr>
                <w:sz w:val="7"/>
                <w:szCs w:val="7"/>
                <w:color w:val="auto"/>
              </w:rPr>
            </w:pPr>
          </w:p>
        </w:tc>
        <w:tc>
          <w:tcPr>
            <w:tcW w:w="260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Following Such Decrease (or</w:t>
            </w:r>
          </w:p>
        </w:tc>
        <w:tc>
          <w:tcPr>
            <w:tcW w:w="2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Exchange or Redemption</w:t>
            </w:r>
          </w:p>
        </w:tc>
        <w:tc>
          <w:tcPr>
            <w:tcW w:w="2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Amount of this Global Note</w:t>
            </w:r>
          </w:p>
        </w:tc>
        <w:tc>
          <w:tcPr>
            <w:tcW w:w="2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Amount of this Global Note</w:t>
            </w:r>
          </w:p>
        </w:tc>
        <w:tc>
          <w:tcPr>
            <w:tcW w:w="260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Custodian</w:t>
            </w:r>
          </w:p>
        </w:tc>
        <w:tc>
          <w:tcPr>
            <w:tcW w:w="0" w:type="dxa"/>
            <w:vAlign w:val="bottom"/>
          </w:tcPr>
          <w:p>
            <w:pPr>
              <w:spacing w:after="0"/>
              <w:rPr>
                <w:sz w:val="1"/>
                <w:szCs w:val="1"/>
                <w:color w:val="auto"/>
              </w:rPr>
            </w:pPr>
          </w:p>
        </w:tc>
      </w:tr>
      <w:tr>
        <w:trPr>
          <w:trHeight w:val="129"/>
        </w:trPr>
        <w:tc>
          <w:tcPr>
            <w:tcW w:w="1780" w:type="dxa"/>
            <w:vAlign w:val="bottom"/>
            <w:tcBorders>
              <w:left w:val="single" w:sz="8" w:color="auto"/>
              <w:right w:val="single" w:sz="8" w:color="auto"/>
            </w:tcBorders>
            <w:vMerge w:val="continue"/>
          </w:tcPr>
          <w:p>
            <w:pPr>
              <w:spacing w:after="0"/>
              <w:rPr>
                <w:sz w:val="11"/>
                <w:szCs w:val="11"/>
                <w:color w:val="auto"/>
              </w:rPr>
            </w:pPr>
          </w:p>
        </w:tc>
        <w:tc>
          <w:tcPr>
            <w:tcW w:w="2320" w:type="dxa"/>
            <w:vAlign w:val="bottom"/>
            <w:tcBorders>
              <w:right w:val="single" w:sz="8" w:color="auto"/>
            </w:tcBorders>
            <w:vMerge w:val="continue"/>
          </w:tcPr>
          <w:p>
            <w:pPr>
              <w:spacing w:after="0"/>
              <w:rPr>
                <w:sz w:val="11"/>
                <w:szCs w:val="11"/>
                <w:color w:val="auto"/>
              </w:rPr>
            </w:pPr>
          </w:p>
        </w:tc>
        <w:tc>
          <w:tcPr>
            <w:tcW w:w="2300" w:type="dxa"/>
            <w:vAlign w:val="bottom"/>
            <w:tcBorders>
              <w:right w:val="single" w:sz="8" w:color="auto"/>
            </w:tcBorders>
            <w:vMerge w:val="continue"/>
          </w:tcPr>
          <w:p>
            <w:pPr>
              <w:spacing w:after="0"/>
              <w:rPr>
                <w:sz w:val="11"/>
                <w:szCs w:val="11"/>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Increase)</w:t>
            </w:r>
          </w:p>
        </w:tc>
        <w:tc>
          <w:tcPr>
            <w:tcW w:w="2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780" w:type="dxa"/>
            <w:vAlign w:val="bottom"/>
            <w:tcBorders>
              <w:left w:val="single" w:sz="8" w:color="auto"/>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2600" w:type="dxa"/>
            <w:vAlign w:val="bottom"/>
            <w:tcBorders>
              <w:bottom w:val="single" w:sz="8" w:color="auto"/>
              <w:right w:val="single" w:sz="8" w:color="auto"/>
            </w:tcBorders>
            <w:vMerge w:val="continue"/>
          </w:tcPr>
          <w:p>
            <w:pPr>
              <w:spacing w:after="0"/>
              <w:rPr>
                <w:sz w:val="7"/>
                <w:szCs w:val="7"/>
                <w:color w:val="auto"/>
              </w:rPr>
            </w:pPr>
          </w:p>
        </w:tc>
        <w:tc>
          <w:tcPr>
            <w:tcW w:w="2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780" w:type="dxa"/>
            <w:vAlign w:val="bottom"/>
            <w:tcBorders>
              <w:left w:val="single" w:sz="8" w:color="auto"/>
              <w:bottom w:val="single" w:sz="8" w:color="auto"/>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80" w:type="dxa"/>
            <w:vAlign w:val="bottom"/>
            <w:tcBorders>
              <w:left w:val="single" w:sz="8" w:color="auto"/>
              <w:bottom w:val="single" w:sz="8" w:color="auto"/>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A-17</w:t>
      </w:r>
    </w:p>
    <w:p>
      <w:pPr>
        <w:sectPr>
          <w:pgSz w:w="11900" w:h="16838" w:orient="portrait"/>
          <w:cols w:equalWidth="0" w:num="1">
            <w:col w:w="11260"/>
          </w:cols>
          <w:pgMar w:left="320" w:top="1409" w:right="31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SUPPLEMENTAL INDENTURE TO BE DELIVERED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BY SUBSEQUENT GUARANTORS]</w:t>
      </w:r>
    </w:p>
    <w:p>
      <w:pPr>
        <w:spacing w:after="0" w:line="203"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This Supplemental Indenture and Guarantee, dated as of [●], 20[●] (this “</w:t>
      </w:r>
      <w:r>
        <w:rPr>
          <w:rFonts w:ascii="Times New Roman" w:cs="Times New Roman" w:eastAsia="Times New Roman" w:hAnsi="Times New Roman"/>
          <w:sz w:val="20"/>
          <w:szCs w:val="20"/>
          <w:i w:val="1"/>
          <w:iCs w:val="1"/>
          <w:color w:val="auto"/>
        </w:rPr>
        <w:t>Supplemental Indenture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Guarantee</w:t>
      </w:r>
      <w:r>
        <w:rPr>
          <w:rFonts w:ascii="Times New Roman" w:cs="Times New Roman" w:eastAsia="Times New Roman" w:hAnsi="Times New Roman"/>
          <w:sz w:val="20"/>
          <w:szCs w:val="20"/>
          <w:color w:val="auto"/>
        </w:rPr>
        <w:t>”), among [●] (the “</w:t>
      </w:r>
      <w:r>
        <w:rPr>
          <w:rFonts w:ascii="Times New Roman" w:cs="Times New Roman" w:eastAsia="Times New Roman" w:hAnsi="Times New Roman"/>
          <w:sz w:val="20"/>
          <w:szCs w:val="20"/>
          <w:i w:val="1"/>
          <w:iCs w:val="1"/>
          <w:color w:val="auto"/>
        </w:rPr>
        <w:t>New Guarantor</w:t>
      </w:r>
      <w:r>
        <w:rPr>
          <w:rFonts w:ascii="Times New Roman" w:cs="Times New Roman" w:eastAsia="Times New Roman" w:hAnsi="Times New Roman"/>
          <w:sz w:val="20"/>
          <w:szCs w:val="20"/>
          <w:color w:val="auto"/>
        </w:rPr>
        <w:t>”) and HSBC Bank USA, National Association, as Trustee, paying agent and registrar under such Indenture.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the Issuer, the existing Guarantors and the Trustee have heretofore executed and delivered an Indenture, dated as of June 11, 2026 (as amended, supplemented, waived or otherwise modified, the “</w:t>
      </w:r>
      <w:r>
        <w:rPr>
          <w:rFonts w:ascii="Times New Roman" w:cs="Times New Roman" w:eastAsia="Times New Roman" w:hAnsi="Times New Roman"/>
          <w:sz w:val="20"/>
          <w:szCs w:val="20"/>
          <w:i w:val="1"/>
          <w:iCs w:val="1"/>
          <w:color w:val="auto"/>
        </w:rPr>
        <w:t>Indenture</w:t>
      </w:r>
      <w:r>
        <w:rPr>
          <w:rFonts w:ascii="Times New Roman" w:cs="Times New Roman" w:eastAsia="Times New Roman" w:hAnsi="Times New Roman"/>
          <w:sz w:val="20"/>
          <w:szCs w:val="20"/>
          <w:color w:val="auto"/>
        </w:rPr>
        <w:t>”), providing for the issuance of an unlimited aggregate principal amount 6.250% Senior Notes due 2034 of the Issuer (the “</w:t>
      </w:r>
      <w:r>
        <w:rPr>
          <w:rFonts w:ascii="Times New Roman" w:cs="Times New Roman" w:eastAsia="Times New Roman" w:hAnsi="Times New Roman"/>
          <w:sz w:val="20"/>
          <w:szCs w:val="20"/>
          <w:i w:val="1"/>
          <w:iCs w:val="1"/>
          <w:color w:val="auto"/>
        </w:rPr>
        <w:t>Notes</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WHEREAS,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 xml:space="preserve"> of the Indenture provides that the Issuer will cause any Restricted Subsidiary of the Issuer that is not an existing Guarantor that guarantees certain Indebtedness as described therein, to execute and deliver a Guarantee with respect to the Notes on the same terms and conditions as those set forth in the Indenture.</w:t>
      </w:r>
    </w:p>
    <w:p>
      <w:pPr>
        <w:spacing w:after="0" w:line="16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WHEREAS,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of the Indenture, the Trustee is authorized to execute and deliver this Supplemental Indenture to amend the Indenture, without the consent of any Holder to add an additional Guarantor.</w:t>
      </w:r>
    </w:p>
    <w:p>
      <w:pPr>
        <w:spacing w:after="0" w:line="146"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NOW, THEREFORE, in consideration of the foregoing and for other good and valuable consideration, the receipt of which is hereby acknowledged, the New Guarantor and the Trustee mutually covenant and agree for the equal and ratable benefit of the Holders as follows:</w:t>
      </w:r>
    </w:p>
    <w:p>
      <w:pPr>
        <w:spacing w:after="0" w:line="1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ARTICLE I</w:t>
      </w:r>
    </w:p>
    <w:p>
      <w:pPr>
        <w:spacing w:after="0" w:line="2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Supplemental Indenture, capitalized terms defined in the Indenture or in the preamble or recitals thereto are used herein as therein defined. The words “herein,” “hereof” and “hereby” and other words of similar import used in this Supplemental Indenture refer to this Supplemental Indenture as a whole and not to any particular section hereof.</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 to be Bound; Guarantee</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2.1 </w:t>
      </w:r>
      <w:r>
        <w:rPr>
          <w:rFonts w:ascii="Times New Roman" w:cs="Times New Roman" w:eastAsia="Times New Roman" w:hAnsi="Times New Roman"/>
          <w:sz w:val="20"/>
          <w:szCs w:val="20"/>
          <w:u w:val="single" w:color="auto"/>
          <w:color w:val="auto"/>
        </w:rPr>
        <w:t>Agreement to be Bound</w:t>
      </w:r>
      <w:r>
        <w:rPr>
          <w:rFonts w:ascii="Times New Roman" w:cs="Times New Roman" w:eastAsia="Times New Roman" w:hAnsi="Times New Roman"/>
          <w:sz w:val="20"/>
          <w:szCs w:val="20"/>
          <w:color w:val="auto"/>
        </w:rPr>
        <w:t>. The New Guarantor hereby becomes a party to the Indenture as a Guarantor and as such shall have all of the rights and be subject to all of the obligations and agreements of a Guarantor under the Indenture, including Article X thereof.</w:t>
      </w:r>
    </w:p>
    <w:p>
      <w:pPr>
        <w:spacing w:after="0" w:line="16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ARTICLE III</w:t>
      </w:r>
    </w:p>
    <w:p>
      <w:pPr>
        <w:spacing w:after="0" w:line="2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1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3.1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Supplemental Indenture shall be governed by, and construed in accordance with, the laws of the State of New York.</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3.2 </w:t>
      </w:r>
      <w:r>
        <w:rPr>
          <w:rFonts w:ascii="Times New Roman" w:cs="Times New Roman" w:eastAsia="Times New Roman" w:hAnsi="Times New Roman"/>
          <w:sz w:val="20"/>
          <w:szCs w:val="20"/>
          <w:u w:val="single" w:color="auto"/>
          <w:color w:val="auto"/>
        </w:rPr>
        <w:t>Severability Clause</w:t>
      </w:r>
      <w:r>
        <w:rPr>
          <w:rFonts w:ascii="Times New Roman" w:cs="Times New Roman" w:eastAsia="Times New Roman" w:hAnsi="Times New Roman"/>
          <w:sz w:val="20"/>
          <w:szCs w:val="20"/>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w:t>
      </w:r>
    </w:p>
    <w:p>
      <w:pPr>
        <w:sectPr>
          <w:pgSz w:w="11900" w:h="16838" w:orient="portrait"/>
          <w:cols w:equalWidth="0" w:num="1">
            <w:col w:w="11240"/>
          </w:cols>
          <w:pgMar w:left="320" w:top="1409" w:right="339" w:bottom="1440" w:gutter="0" w:footer="0" w:header="0"/>
        </w:sectPr>
      </w:pPr>
    </w:p>
    <w:bookmarkStart w:id="135" w:name="page136"/>
    <w:bookmarkEnd w:id="135"/>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3.3 </w:t>
      </w:r>
      <w:r>
        <w:rPr>
          <w:rFonts w:ascii="Times New Roman" w:cs="Times New Roman" w:eastAsia="Times New Roman" w:hAnsi="Times New Roman"/>
          <w:sz w:val="20"/>
          <w:szCs w:val="20"/>
          <w:u w:val="single" w:color="auto"/>
          <w:color w:val="auto"/>
        </w:rPr>
        <w:t>Ratification of Indenture; Supplemental Indentures Part of Indenture; No Liability of Trustee</w:t>
      </w:r>
      <w:r>
        <w:rPr>
          <w:rFonts w:ascii="Times New Roman" w:cs="Times New Roman" w:eastAsia="Times New Roman" w:hAnsi="Times New Roman"/>
          <w:sz w:val="20"/>
          <w:szCs w:val="20"/>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a Note heretofore or hereafter authenticated and delivered shall be bound hereby. The Trustee makes no representation or warranty as to the validity or sufficiency of this Supplemental Indenture or the New Guarantor’s Guarantee. Additionally, the Trustee shall not be responsible in any manner whatsoever for or with respect to any of the recitals or statements contained herein, all of which recitals or statements are made solely by the New Guarantor and the Trustee makes no representation with respect to any such matters.</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3.4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Supplemental Indenture may be executed in two or more counterparts, which when so executed shall constitute one and the same agreement. The exchange of copies of this Supplemental Indenture and of signature pages by facsimile or PDF transmission shall constitute effective execution and delivery of this Supplemental Indenture as to the parties hereto and may be used in lieu of the original Indenture for all purposes. Signatures of the parties hereto transmitted by facsimile or PDF shall be deemed to be their original signatures for all purposes. The words “execution,” “signed,” “signature,” “delivery,” and words of like import in or relating to this Indenture or any document to be 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3.5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the Articles and the sections in this Guarantee are for convenience of reference only and shall not be deemed to alter or affect the meaning or interpretation of any provisions hereof.</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[Signatures on following page]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B-2</w:t>
      </w:r>
    </w:p>
    <w:p>
      <w:pPr>
        <w:sectPr>
          <w:pgSz w:w="11900" w:h="16838" w:orient="portrait"/>
          <w:cols w:equalWidth="0" w:num="1">
            <w:col w:w="11240"/>
          </w:cols>
          <w:pgMar w:left="320" w:top="1413" w:right="339" w:bottom="1440" w:gutter="0" w:footer="0" w:header="0"/>
        </w:sectPr>
      </w:pPr>
    </w:p>
    <w:bookmarkStart w:id="136" w:name="page137"/>
    <w:bookmarkEnd w:id="136"/>
    <w:p>
      <w:pPr>
        <w:ind w:left="660"/>
        <w:spacing w:after="0"/>
        <w:rPr>
          <w:sz w:val="20"/>
          <w:szCs w:val="20"/>
          <w:color w:val="auto"/>
        </w:rPr>
      </w:pPr>
      <w:r>
        <w:rPr>
          <w:rFonts w:ascii="Times New Roman" w:cs="Times New Roman" w:eastAsia="Times New Roman" w:hAnsi="Times New Roman"/>
          <w:sz w:val="20"/>
          <w:szCs w:val="20"/>
          <w:color w:val="auto"/>
        </w:rPr>
        <w:t>IN WITNESS WHEREOF, the parties hereto have caused this Supplemental Indenture to be duly executed as of the date first above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25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[NEW GUARANTOR]</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-10795</wp:posOffset>
            </wp:positionV>
            <wp:extent cx="1257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-10795</wp:posOffset>
            </wp:positionV>
            <wp:extent cx="1257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-10795</wp:posOffset>
            </wp:positionV>
            <wp:extent cx="1257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31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HSBC BANK USA, NATIONAL ASSOCIATION</w:t>
      </w:r>
      <w:r>
        <w:rPr>
          <w:rFonts w:ascii="Times New Roman" w:cs="Times New Roman" w:eastAsia="Times New Roman" w:hAnsi="Times New Roman"/>
          <w:sz w:val="20"/>
          <w:szCs w:val="20"/>
          <w:color w:val="auto"/>
        </w:rPr>
        <w:t>, as Trustee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-10795</wp:posOffset>
            </wp:positionV>
            <wp:extent cx="1257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-10795</wp:posOffset>
            </wp:positionV>
            <wp:extent cx="1257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-10795</wp:posOffset>
            </wp:positionV>
            <wp:extent cx="1257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B-3</w:t>
      </w:r>
    </w:p>
    <w:p>
      <w:pPr>
        <w:sectPr>
          <w:pgSz w:w="11900" w:h="16838" w:orient="portrait"/>
          <w:cols w:equalWidth="0" w:num="1">
            <w:col w:w="11240"/>
          </w:cols>
          <w:pgMar w:left="320" w:top="1413"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CERTIFICATE TO BE DELIVERED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CONNECTION WITH TRANSFERS PURSUANT TO RULE 144A]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Noble Finance II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2101 City West Boulevard, Suite 600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77042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HSBC Bank USA, National Association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66 Hudson Boulevard, 5th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 10001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Issuer Services / Deal Management</w:t>
      </w: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 Noble Finance II LLC (the “</w:t>
      </w:r>
      <w:r>
        <w:rPr>
          <w:rFonts w:ascii="Times New Roman" w:cs="Times New Roman" w:eastAsia="Times New Roman" w:hAnsi="Times New Roman"/>
          <w:sz w:val="20"/>
          <w:szCs w:val="20"/>
          <w:i w:val="1"/>
          <w:iCs w:val="1"/>
          <w:color w:val="auto"/>
        </w:rPr>
        <w:t>Issuer</w:t>
      </w:r>
      <w:r>
        <w:rPr>
          <w:rFonts w:ascii="Times New Roman" w:cs="Times New Roman" w:eastAsia="Times New Roman" w:hAnsi="Times New Roman"/>
          <w:sz w:val="20"/>
          <w:szCs w:val="20"/>
          <w:color w:val="auto"/>
        </w:rPr>
        <w:t>”) 6.250% Senior Notes due 2034 (the “</w:t>
      </w:r>
      <w:r>
        <w:rPr>
          <w:rFonts w:ascii="Times New Roman" w:cs="Times New Roman" w:eastAsia="Times New Roman" w:hAnsi="Times New Roman"/>
          <w:sz w:val="20"/>
          <w:szCs w:val="20"/>
          <w:i w:val="1"/>
          <w:iCs w:val="1"/>
          <w:color w:val="auto"/>
        </w:rPr>
        <w:t>Notes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connection with our proposed sale of $[●] aggregate principal amount at maturity of the Notes (CUSIP No. [●]), we hereby certify that such transfer is being effected pursuant to and in accordance with Rule 144A (“</w:t>
      </w:r>
      <w:r>
        <w:rPr>
          <w:rFonts w:ascii="Times New Roman" w:cs="Times New Roman" w:eastAsia="Times New Roman" w:hAnsi="Times New Roman"/>
          <w:sz w:val="20"/>
          <w:szCs w:val="20"/>
          <w:i w:val="1"/>
          <w:iCs w:val="1"/>
          <w:color w:val="auto"/>
        </w:rPr>
        <w:t>Rule 144A</w:t>
      </w:r>
      <w:r>
        <w:rPr>
          <w:rFonts w:ascii="Times New Roman" w:cs="Times New Roman" w:eastAsia="Times New Roman" w:hAnsi="Times New Roman"/>
          <w:sz w:val="20"/>
          <w:szCs w:val="20"/>
          <w:color w:val="auto"/>
        </w:rPr>
        <w:t>”) under the U.S. Securities Act of 1933, as amended (the “</w:t>
      </w:r>
      <w:r>
        <w:rPr>
          <w:rFonts w:ascii="Times New Roman" w:cs="Times New Roman" w:eastAsia="Times New Roman" w:hAnsi="Times New Roman"/>
          <w:sz w:val="20"/>
          <w:szCs w:val="20"/>
          <w:i w:val="1"/>
          <w:iCs w:val="1"/>
          <w:color w:val="auto"/>
        </w:rPr>
        <w:t>Securities Act</w:t>
      </w:r>
      <w:r>
        <w:rPr>
          <w:rFonts w:ascii="Times New Roman" w:cs="Times New Roman" w:eastAsia="Times New Roman" w:hAnsi="Times New Roman"/>
          <w:sz w:val="20"/>
          <w:szCs w:val="20"/>
          <w:color w:val="auto"/>
        </w:rPr>
        <w:t>”), and, accordingly, we hereby further certify that the Notes are being transferred to a person that we reasonably believe is purchasing the Notes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Notes are being transferred in compliance with any applicable blue sky securities laws of any state of the United States.</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Issuer and you are entitled to rely upon this letter and are irrevocably authorized to produce this letter or a copy hereof to any interested party in any administrative or legal proceedings or official inquiry with respect to the matters covered hereby.</w:t>
      </w:r>
    </w:p>
    <w:p>
      <w:pPr>
        <w:spacing w:after="0" w:line="2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[NAME OF TRANSFEROR]</w:t>
      </w: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-10795</wp:posOffset>
            </wp:positionV>
            <wp:extent cx="1257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-10795</wp:posOffset>
            </wp:positionV>
            <wp:extent cx="1257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7" w:lineRule="exact"/>
        <w:rPr>
          <w:sz w:val="20"/>
          <w:szCs w:val="20"/>
          <w:color w:val="auto"/>
        </w:rPr>
      </w:pPr>
    </w:p>
    <w:p>
      <w:pPr>
        <w:ind w:left="5240"/>
        <w:spacing w:after="0"/>
        <w:tabs>
          <w:tab w:leader="none" w:pos="5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C-1</w:t>
      </w:r>
    </w:p>
    <w:p>
      <w:pPr>
        <w:sectPr>
          <w:pgSz w:w="11900" w:h="16838" w:orient="portrait"/>
          <w:cols w:equalWidth="0" w:num="1">
            <w:col w:w="11240"/>
          </w:cols>
          <w:pgMar w:left="320" w:top="1409"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CERTIFICATE TO BE DELIVERED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CONNECTION WITH TRANSFERS PURSUANT TO REGULATION 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Noble Finance II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2101 City West Boulevard, Suite 600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77042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HSBC Bank USA, National Association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66 Hudson Boulevard, 5th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 10001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Issuer Services / Deal Management</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Re: Noble Finance II LLC (the “</w:t>
      </w:r>
      <w:r>
        <w:rPr>
          <w:rFonts w:ascii="Times New Roman" w:cs="Times New Roman" w:eastAsia="Times New Roman" w:hAnsi="Times New Roman"/>
          <w:sz w:val="20"/>
          <w:szCs w:val="20"/>
          <w:i w:val="1"/>
          <w:iCs w:val="1"/>
          <w:color w:val="auto"/>
        </w:rPr>
        <w:t>Issuer</w:t>
      </w:r>
      <w:r>
        <w:rPr>
          <w:rFonts w:ascii="Times New Roman" w:cs="Times New Roman" w:eastAsia="Times New Roman" w:hAnsi="Times New Roman"/>
          <w:sz w:val="20"/>
          <w:szCs w:val="20"/>
          <w:color w:val="auto"/>
        </w:rPr>
        <w:t>”) 6.250% Senior Notes due 2034 (the “</w:t>
      </w:r>
      <w:r>
        <w:rPr>
          <w:rFonts w:ascii="Times New Roman" w:cs="Times New Roman" w:eastAsia="Times New Roman" w:hAnsi="Times New Roman"/>
          <w:sz w:val="20"/>
          <w:szCs w:val="20"/>
          <w:i w:val="1"/>
          <w:iCs w:val="1"/>
          <w:color w:val="auto"/>
        </w:rPr>
        <w:t>Notes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our proposed sale of $[●] aggregate principal amount of the Notes (CUSIP No. [●]), we confirm that such sale has been effected pursuant to and in accordance with Regulation S (“</w:t>
      </w:r>
      <w:r>
        <w:rPr>
          <w:rFonts w:ascii="Times New Roman" w:cs="Times New Roman" w:eastAsia="Times New Roman" w:hAnsi="Times New Roman"/>
          <w:sz w:val="20"/>
          <w:szCs w:val="20"/>
          <w:i w:val="1"/>
          <w:iCs w:val="1"/>
          <w:color w:val="auto"/>
        </w:rPr>
        <w:t>Regulation S</w:t>
      </w:r>
      <w:r>
        <w:rPr>
          <w:rFonts w:ascii="Times New Roman" w:cs="Times New Roman" w:eastAsia="Times New Roman" w:hAnsi="Times New Roman"/>
          <w:sz w:val="20"/>
          <w:szCs w:val="20"/>
          <w:color w:val="auto"/>
        </w:rPr>
        <w:t>”) under the U.S. Securities Act of 1933, as amended (the “</w:t>
      </w:r>
      <w:r>
        <w:rPr>
          <w:rFonts w:ascii="Times New Roman" w:cs="Times New Roman" w:eastAsia="Times New Roman" w:hAnsi="Times New Roman"/>
          <w:sz w:val="20"/>
          <w:szCs w:val="20"/>
          <w:i w:val="1"/>
          <w:iCs w:val="1"/>
          <w:color w:val="auto"/>
        </w:rPr>
        <w:t>Securities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Act</w:t>
      </w:r>
      <w:r>
        <w:rPr>
          <w:rFonts w:ascii="Times New Roman" w:cs="Times New Roman" w:eastAsia="Times New Roman" w:hAnsi="Times New Roman"/>
          <w:sz w:val="20"/>
          <w:szCs w:val="20"/>
          <w:color w:val="auto"/>
        </w:rPr>
        <w:t>”), and, accordingly, we represent that:</w:t>
      </w:r>
    </w:p>
    <w:p>
      <w:pPr>
        <w:spacing w:after="0" w:line="1" w:lineRule="exact"/>
        <w:rPr>
          <w:sz w:val="20"/>
          <w:szCs w:val="20"/>
          <w:color w:val="auto"/>
        </w:rPr>
      </w:pPr>
    </w:p>
    <w:p>
      <w:pPr>
        <w:ind w:left="1080" w:hanging="424"/>
        <w:spacing w:after="0"/>
        <w:tabs>
          <w:tab w:leader="none" w:pos="108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offer of the Notes was not made to a person in the United States;</w:t>
      </w:r>
    </w:p>
    <w:p>
      <w:pPr>
        <w:spacing w:after="0" w:line="200" w:lineRule="exact"/>
        <w:rPr>
          <w:rFonts w:ascii="Times New Roman" w:cs="Times New Roman" w:eastAsia="Times New Roman" w:hAnsi="Times New Roman"/>
          <w:sz w:val="20"/>
          <w:szCs w:val="20"/>
          <w:color w:val="auto"/>
        </w:rPr>
      </w:pPr>
    </w:p>
    <w:p>
      <w:pPr>
        <w:jc w:val="both"/>
        <w:ind w:firstLine="656"/>
        <w:spacing w:after="0" w:line="258" w:lineRule="auto"/>
        <w:tabs>
          <w:tab w:leader="none" w:pos="1101"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(a) at the time the buy order was originated, the transferee was outside the United States or we and any person acting on our behalf reasonably believed that the transferee was outside the United States or (b) the transaction was executed in, on or through the facilities of a designated off-shore securities market and neither we nor any person acting on our behalf knows that the transaction has been pre-arranged with a buyer in the United States;</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146"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directed selling efforts have been made in the United States in contravention of the requirements of Rule 903(b) or Rule 904(b) of Regulation S, as applicable; and</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is not part of a plan or scheme to evade the registration requirements of the Securities Act.</w:t>
      </w:r>
    </w:p>
    <w:p>
      <w:pPr>
        <w:spacing w:after="0" w:line="216" w:lineRule="exact"/>
        <w:rPr>
          <w:sz w:val="20"/>
          <w:szCs w:val="20"/>
          <w:color w:val="auto"/>
        </w:rPr>
      </w:pPr>
    </w:p>
    <w:p>
      <w:pPr>
        <w:ind w:left="340" w:right="80" w:hanging="323"/>
        <w:spacing w:after="0" w:line="261" w:lineRule="auto"/>
        <w:rPr>
          <w:sz w:val="20"/>
          <w:szCs w:val="20"/>
          <w:color w:val="auto"/>
        </w:rPr>
      </w:pPr>
      <w:r>
        <w:rPr>
          <w:rFonts w:ascii="Times New Roman" w:cs="Times New Roman" w:eastAsia="Times New Roman" w:hAnsi="Times New Roman"/>
          <w:sz w:val="20"/>
          <w:szCs w:val="20"/>
          <w:color w:val="auto"/>
        </w:rPr>
        <w:t>In addition, if the sale is made during a restricted period and the provisions of Rule 903(b) or Rule 904(b) of Regulation S are applicable thereto, we confirm that such sale has been made in accordance with the applicable provisions of Rule 903(b) or Rule 904(b), as the case may be.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D-1</w:t>
      </w:r>
    </w:p>
    <w:p>
      <w:pPr>
        <w:sectPr>
          <w:pgSz w:w="11900" w:h="16838" w:orient="portrait"/>
          <w:cols w:equalWidth="0" w:num="1">
            <w:col w:w="11240"/>
          </w:cols>
          <w:pgMar w:left="320" w:top="1409" w:right="339" w:bottom="1440" w:gutter="0" w:footer="0" w:header="0"/>
        </w:sectPr>
      </w:pPr>
    </w:p>
    <w:bookmarkStart w:id="139" w:name="page140"/>
    <w:bookmarkEnd w:id="139"/>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Issuer and you are entitled to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[NAME OF TRANSFEROR]</w:t>
      </w: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-10795</wp:posOffset>
            </wp:positionV>
            <wp:extent cx="1257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-10795</wp:posOffset>
            </wp:positionV>
            <wp:extent cx="1257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7" w:lineRule="exact"/>
        <w:rPr>
          <w:sz w:val="20"/>
          <w:szCs w:val="20"/>
          <w:color w:val="auto"/>
        </w:rPr>
      </w:pPr>
    </w:p>
    <w:p>
      <w:pPr>
        <w:ind w:left="5240"/>
        <w:spacing w:after="0"/>
        <w:tabs>
          <w:tab w:leader="none" w:pos="5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D-2</w:t>
      </w:r>
    </w:p>
    <w:p>
      <w:pPr>
        <w:sectPr>
          <w:pgSz w:w="11900" w:h="16838" w:orient="portrait"/>
          <w:cols w:equalWidth="0" w:num="1">
            <w:col w:w="11240"/>
          </w:cols>
          <w:pgMar w:left="320" w:top="1413"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b w:val="1"/>
          <w:bCs w:val="1"/>
          <w:color w:val="auto"/>
        </w:rPr>
        <w:t>EXHIBIT 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CERTIFICATE TO BE DELIVERED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CONNECTION WITH TRANSFERS TO AN IAI]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Noble Finance II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2101 City West Boulevard, Suite 600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 77042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HSBC Bank USA, National Association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66 Hudson Boulevard, 5th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 10001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Issuer Services / Deal Management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 Noble Finance II LLC (the “</w:t>
      </w:r>
      <w:r>
        <w:rPr>
          <w:rFonts w:ascii="Times New Roman" w:cs="Times New Roman" w:eastAsia="Times New Roman" w:hAnsi="Times New Roman"/>
          <w:sz w:val="20"/>
          <w:szCs w:val="20"/>
          <w:i w:val="1"/>
          <w:iCs w:val="1"/>
          <w:color w:val="auto"/>
        </w:rPr>
        <w:t>Issuer</w:t>
      </w:r>
      <w:r>
        <w:rPr>
          <w:rFonts w:ascii="Times New Roman" w:cs="Times New Roman" w:eastAsia="Times New Roman" w:hAnsi="Times New Roman"/>
          <w:sz w:val="20"/>
          <w:szCs w:val="20"/>
          <w:color w:val="auto"/>
        </w:rPr>
        <w:t>”) 6.250% Senior Notes due 2034 (the “</w:t>
      </w:r>
      <w:r>
        <w:rPr>
          <w:rFonts w:ascii="Times New Roman" w:cs="Times New Roman" w:eastAsia="Times New Roman" w:hAnsi="Times New Roman"/>
          <w:sz w:val="20"/>
          <w:szCs w:val="20"/>
          <w:i w:val="1"/>
          <w:iCs w:val="1"/>
          <w:color w:val="auto"/>
        </w:rPr>
        <w:t>Notes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our proposed sale of $[●] aggregate principal amount at maturity of the Notes (CUSIP No. [●]), we hereby certify that such transfer is being effected to an institutional “accredited investor” within the meaning of Rule 501(a) of the Securities Act of 1933 that is not a qualified institutional buyer and that is purchasing for its own account or for the account of another institutional accredited investor.</w:t>
      </w:r>
    </w:p>
    <w:p>
      <w:pPr>
        <w:spacing w:after="0" w:line="17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Issuer and you are entitled to rely upon this letter and are irrevocably authorized to produce this letter or a copy hereof to any interested party in any administrative or legal proceedings or official inquiry with respect to the matters covered hereby.</w:t>
      </w:r>
    </w:p>
    <w:p>
      <w:pPr>
        <w:spacing w:after="0" w:line="1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[NAME OF TRANSFEROR]</w:t>
      </w: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-10795</wp:posOffset>
            </wp:positionV>
            <wp:extent cx="1257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-10795</wp:posOffset>
            </wp:positionV>
            <wp:extent cx="1257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47" w:lineRule="exact"/>
        <w:rPr>
          <w:sz w:val="20"/>
          <w:szCs w:val="20"/>
          <w:color w:val="auto"/>
        </w:rPr>
      </w:pPr>
    </w:p>
    <w:p>
      <w:pPr>
        <w:ind w:left="5240"/>
        <w:spacing w:after="0"/>
        <w:tabs>
          <w:tab w:leader="none" w:pos="5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E-1</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lvl w:ilvl="1">
      <w:lvlJc w:val="left"/>
      <w:lvlText w:val="☐"/>
      <w:numFmt w:val="bullet"/>
      <w:start w:val="1"/>
    </w:lvl>
  </w:abstractNum>
  <w:abstractNum w:abstractNumId="1">
    <w:nsid w:val="7FB7E0AA"/>
    <w:multiLevelType w:val="hybridMultilevel"/>
    <w:lvl w:ilvl="0">
      <w:lvlJc w:val="left"/>
      <w:lvlText w:val="%1"/>
      <w:numFmt w:val="decimal"/>
      <w:start w:val="104"/>
    </w:lvl>
  </w:abstractNum>
  <w:abstractNum w:abstractNumId="2">
    <w:nsid w:val="6EB5BD4"/>
    <w:multiLevelType w:val="hybridMultilevel"/>
    <w:lvl w:ilvl="0">
      <w:lvlJc w:val="left"/>
      <w:lvlText w:val="(%1)"/>
      <w:numFmt w:val="decimal"/>
      <w:start w:val="1"/>
    </w:lvl>
  </w:abstractNum>
  <w:abstractNum w:abstractNumId="3">
    <w:nsid w:val="6F6DD9AC"/>
    <w:multiLevelType w:val="hybridMultilevel"/>
    <w:lvl w:ilvl="0">
      <w:lvlJc w:val="left"/>
      <w:lvlText w:val="(%1)"/>
      <w:numFmt w:val="decimal"/>
      <w:start w:val="1"/>
    </w:lvl>
  </w:abstractNum>
  <w:abstractNum w:abstractNumId="4">
    <w:nsid w:val="94211F2"/>
    <w:multiLevelType w:val="hybridMultilevel"/>
    <w:lvl w:ilvl="0">
      <w:lvlJc w:val="left"/>
      <w:lvlText w:val="(%1)"/>
      <w:numFmt w:val="decimal"/>
      <w:start w:val="2"/>
    </w:lvl>
  </w:abstractNum>
  <w:abstractNum w:abstractNumId="5">
    <w:nsid w:val="885E1B"/>
    <w:multiLevelType w:val="hybridMultilevel"/>
    <w:lvl w:ilvl="0">
      <w:lvlJc w:val="left"/>
      <w:lvlText w:val="(%1)"/>
      <w:numFmt w:val="decimal"/>
      <w:start w:val="1"/>
    </w:lvl>
    <w:lvl w:ilvl="1">
      <w:lvlJc w:val="left"/>
      <w:lvlText w:val="(%2)"/>
      <w:numFmt w:val="lowerLetter"/>
      <w:start w:val="1"/>
    </w:lvl>
  </w:abstractNum>
  <w:abstractNum w:abstractNumId="6">
    <w:nsid w:val="76272110"/>
    <w:multiLevelType w:val="hybridMultilevel"/>
    <w:lvl w:ilvl="0">
      <w:lvlJc w:val="left"/>
      <w:lvlText w:val="(%1)"/>
      <w:numFmt w:val="decimal"/>
      <w:start w:val="1"/>
    </w:lvl>
  </w:abstractNum>
  <w:abstractNum w:abstractNumId="7">
    <w:nsid w:val="4C04A8AF"/>
    <w:multiLevelType w:val="hybridMultilevel"/>
    <w:lvl w:ilvl="0">
      <w:lvlJc w:val="left"/>
      <w:lvlText w:val="(%1)"/>
      <w:numFmt w:val="decimal"/>
      <w:start w:val="1"/>
    </w:lvl>
  </w:abstractNum>
  <w:abstractNum w:abstractNumId="8">
    <w:nsid w:val="1716703B"/>
    <w:multiLevelType w:val="hybridMultilevel"/>
    <w:lvl w:ilvl="0">
      <w:lvlJc w:val="left"/>
      <w:lvlText w:val="(%1)"/>
      <w:numFmt w:val="lowerLetter"/>
      <w:start w:val="1"/>
    </w:lvl>
  </w:abstractNum>
  <w:abstractNum w:abstractNumId="9">
    <w:nsid w:val="14E17E33"/>
    <w:multiLevelType w:val="hybridMultilevel"/>
    <w:lvl w:ilvl="0">
      <w:lvlJc w:val="left"/>
      <w:lvlText w:val="(%1)"/>
      <w:numFmt w:val="lowerLetter"/>
      <w:start w:val="9"/>
    </w:lvl>
  </w:abstractNum>
  <w:abstractNum w:abstractNumId="10">
    <w:nsid w:val="3222E7CD"/>
    <w:multiLevelType w:val="hybridMultilevel"/>
    <w:lvl w:ilvl="0">
      <w:lvlJc w:val="left"/>
      <w:lvlText w:val="(%1)"/>
      <w:numFmt w:val="lowerRoman"/>
      <w:start w:val="6"/>
    </w:lvl>
    <w:lvl w:ilvl="1">
      <w:lvlJc w:val="left"/>
      <w:lvlText w:val="(%2)"/>
      <w:numFmt w:val="lowerLetter"/>
      <w:start w:val="18"/>
    </w:lvl>
  </w:abstractNum>
  <w:abstractNum w:abstractNumId="11">
    <w:nsid w:val="74DE0EE3"/>
    <w:multiLevelType w:val="hybridMultilevel"/>
    <w:lvl w:ilvl="0">
      <w:lvlJc w:val="left"/>
      <w:lvlText w:val="(%1)"/>
      <w:numFmt w:val="decimal"/>
      <w:start w:val="1"/>
    </w:lvl>
  </w:abstractNum>
  <w:abstractNum w:abstractNumId="12">
    <w:nsid w:val="68EBC550"/>
    <w:multiLevelType w:val="hybridMultilevel"/>
    <w:lvl w:ilvl="0">
      <w:lvlJc w:val="left"/>
      <w:lvlText w:val="(%1)"/>
      <w:numFmt w:val="decimal"/>
      <w:start w:val="2"/>
    </w:lvl>
  </w:abstractNum>
  <w:abstractNum w:abstractNumId="13">
    <w:nsid w:val="2DF6D648"/>
    <w:multiLevelType w:val="hybridMultilevel"/>
    <w:lvl w:ilvl="0">
      <w:lvlJc w:val="left"/>
      <w:lvlText w:val="(%1)"/>
      <w:numFmt w:val="decimal"/>
      <w:start w:val="1"/>
    </w:lvl>
  </w:abstractNum>
  <w:abstractNum w:abstractNumId="14">
    <w:nsid w:val="46B7D447"/>
    <w:multiLevelType w:val="hybridMultilevel"/>
    <w:lvl w:ilvl="0">
      <w:lvlJc w:val="left"/>
      <w:lvlText w:val="(%1)"/>
      <w:numFmt w:val="decimal"/>
      <w:start w:val="1"/>
    </w:lvl>
  </w:abstractNum>
  <w:abstractNum w:abstractNumId="15">
    <w:nsid w:val="4A2AC315"/>
    <w:multiLevelType w:val="hybridMultilevel"/>
    <w:lvl w:ilvl="0">
      <w:lvlJc w:val="left"/>
      <w:lvlText w:val="(%1)"/>
      <w:numFmt w:val="decimal"/>
      <w:start w:val="3"/>
    </w:lvl>
    <w:lvl w:ilvl="1">
      <w:lvlJc w:val="left"/>
      <w:lvlText w:val="(%2)"/>
      <w:numFmt w:val="lowerLetter"/>
      <w:start w:val="1"/>
    </w:lvl>
  </w:abstractNum>
  <w:abstractNum w:abstractNumId="16">
    <w:nsid w:val="39EE015C"/>
    <w:multiLevelType w:val="hybridMultilevel"/>
    <w:lvl w:ilvl="0">
      <w:lvlJc w:val="left"/>
      <w:lvlText w:val="(%1)"/>
      <w:numFmt w:val="decimal"/>
      <w:start w:val="1"/>
    </w:lvl>
  </w:abstractNum>
  <w:abstractNum w:abstractNumId="17">
    <w:nsid w:val="57FC4FBB"/>
    <w:multiLevelType w:val="hybridMultilevel"/>
    <w:lvl w:ilvl="0">
      <w:lvlJc w:val="left"/>
      <w:lvlText w:val="(%1)"/>
      <w:numFmt w:val="lowerLetter"/>
      <w:start w:val="1"/>
    </w:lvl>
  </w:abstractNum>
  <w:abstractNum w:abstractNumId="18">
    <w:nsid w:val="CC1016F"/>
    <w:multiLevelType w:val="hybridMultilevel"/>
    <w:lvl w:ilvl="0">
      <w:lvlJc w:val="left"/>
      <w:lvlText w:val="(%1)"/>
      <w:numFmt w:val="lowerLetter"/>
      <w:start w:val="2"/>
    </w:lvl>
  </w:abstractNum>
  <w:abstractNum w:abstractNumId="19">
    <w:nsid w:val="43F18422"/>
    <w:multiLevelType w:val="hybridMultilevel"/>
    <w:lvl w:ilvl="0">
      <w:lvlJc w:val="left"/>
      <w:lvlText w:val="(%1)"/>
      <w:numFmt w:val="decimal"/>
      <w:start w:val="1"/>
    </w:lvl>
  </w:abstractNum>
  <w:abstractNum w:abstractNumId="20">
    <w:nsid w:val="60EF0119"/>
    <w:multiLevelType w:val="hybridMultilevel"/>
    <w:lvl w:ilvl="0">
      <w:lvlJc w:val="left"/>
      <w:lvlText w:val="(%1)"/>
      <w:numFmt w:val="decimal"/>
      <w:start w:val="1"/>
    </w:lvl>
  </w:abstractNum>
  <w:abstractNum w:abstractNumId="21">
    <w:nsid w:val="26F324BA"/>
    <w:multiLevelType w:val="hybridMultilevel"/>
    <w:lvl w:ilvl="0">
      <w:lvlJc w:val="left"/>
      <w:lvlText w:val="(%1)"/>
      <w:numFmt w:val="decimal"/>
      <w:start w:val="2"/>
    </w:lvl>
  </w:abstractNum>
  <w:abstractNum w:abstractNumId="22">
    <w:nsid w:val="7F01579B"/>
    <w:multiLevelType w:val="hybridMultilevel"/>
    <w:lvl w:ilvl="0">
      <w:lvlJc w:val="left"/>
      <w:lvlText w:val="(%1)"/>
      <w:numFmt w:val="decimal"/>
      <w:start w:val="1"/>
    </w:lvl>
  </w:abstractNum>
  <w:abstractNum w:abstractNumId="23">
    <w:nsid w:val="49DA307D"/>
    <w:multiLevelType w:val="hybridMultilevel"/>
    <w:lvl w:ilvl="0">
      <w:lvlJc w:val="left"/>
      <w:lvlText w:val="(%1)"/>
      <w:numFmt w:val="decimal"/>
      <w:start w:val="9"/>
    </w:lvl>
  </w:abstractNum>
  <w:abstractNum w:abstractNumId="24">
    <w:nsid w:val="7055A5F5"/>
    <w:multiLevelType w:val="hybridMultilevel"/>
    <w:lvl w:ilvl="0">
      <w:lvlJc w:val="left"/>
      <w:lvlText w:val="(%1)"/>
      <w:numFmt w:val="decimal"/>
      <w:start w:val="1"/>
    </w:lvl>
  </w:abstractNum>
  <w:abstractNum w:abstractNumId="25">
    <w:nsid w:val="5FB8370B"/>
    <w:multiLevelType w:val="hybridMultilevel"/>
    <w:lvl w:ilvl="0">
      <w:lvlJc w:val="left"/>
      <w:lvlText w:val="(%1)"/>
      <w:numFmt w:val="decimal"/>
      <w:start w:val="1"/>
    </w:lvl>
  </w:abstractNum>
  <w:abstractNum w:abstractNumId="26">
    <w:nsid w:val="50801EE1"/>
    <w:multiLevelType w:val="hybridMultilevel"/>
    <w:lvl w:ilvl="0">
      <w:lvlJc w:val="left"/>
      <w:lvlText w:val="(%1)"/>
      <w:numFmt w:val="decimal"/>
      <w:start w:val="1"/>
    </w:lvl>
  </w:abstractNum>
  <w:abstractNum w:abstractNumId="27">
    <w:nsid w:val="488AC1A"/>
    <w:multiLevelType w:val="hybridMultilevel"/>
    <w:lvl w:ilvl="0">
      <w:lvlJc w:val="left"/>
      <w:lvlText w:val="%1"/>
      <w:numFmt w:val="decimal"/>
      <w:start w:val="1"/>
    </w:lvl>
    <w:lvl w:ilvl="1">
      <w:lvlJc w:val="left"/>
      <w:lvlText w:val="(%2)"/>
      <w:numFmt w:val="decimal"/>
      <w:start w:val="6"/>
    </w:lvl>
  </w:abstractNum>
  <w:abstractNum w:abstractNumId="28">
    <w:nsid w:val="5FB8011C"/>
    <w:multiLevelType w:val="hybridMultilevel"/>
    <w:lvl w:ilvl="0">
      <w:lvlJc w:val="left"/>
      <w:lvlText w:val="(%1)"/>
      <w:numFmt w:val="decimal"/>
      <w:start w:val="11"/>
    </w:lvl>
    <w:lvl w:ilvl="1">
      <w:lvlJc w:val="left"/>
      <w:lvlText w:val="(%2)"/>
      <w:numFmt w:val="decimal"/>
      <w:start w:val="12"/>
    </w:lvl>
  </w:abstractNum>
  <w:abstractNum w:abstractNumId="29">
    <w:nsid w:val="6AA78F7F"/>
    <w:multiLevelType w:val="hybridMultilevel"/>
    <w:lvl w:ilvl="0">
      <w:lvlJc w:val="left"/>
      <w:lvlText w:val="(%1)"/>
      <w:numFmt w:val="decimal"/>
      <w:start w:val="16"/>
    </w:lvl>
    <w:lvl w:ilvl="1">
      <w:lvlJc w:val="left"/>
      <w:lvlText w:val="(%2)"/>
      <w:numFmt w:val="decimal"/>
      <w:start w:val="17"/>
    </w:lvl>
  </w:abstractNum>
  <w:abstractNum w:abstractNumId="30">
    <w:nsid w:val="7672BD23"/>
    <w:multiLevelType w:val="hybridMultilevel"/>
    <w:lvl w:ilvl="0">
      <w:lvlJc w:val="left"/>
      <w:lvlText w:val="(%1)"/>
      <w:numFmt w:val="decimal"/>
      <w:start w:val="18"/>
    </w:lvl>
  </w:abstractNum>
  <w:abstractNum w:abstractNumId="31">
    <w:nsid w:val="6FC75AF8"/>
    <w:multiLevelType w:val="hybridMultilevel"/>
    <w:lvl w:ilvl="0">
      <w:lvlJc w:val="left"/>
      <w:lvlText w:val="(%1)"/>
      <w:numFmt w:val="decimal"/>
      <w:start w:val="1"/>
    </w:lvl>
  </w:abstractNum>
  <w:abstractNum w:abstractNumId="32">
    <w:nsid w:val="6A5F7029"/>
    <w:multiLevelType w:val="hybridMultilevel"/>
    <w:lvl w:ilvl="0">
      <w:lvlJc w:val="left"/>
      <w:lvlText w:val="(%1)"/>
      <w:numFmt w:val="decimal"/>
      <w:start w:val="3"/>
    </w:lvl>
  </w:abstractNum>
  <w:abstractNum w:abstractNumId="33">
    <w:nsid w:val="7D5E18F8"/>
    <w:multiLevelType w:val="hybridMultilevel"/>
    <w:lvl w:ilvl="0">
      <w:lvlJc w:val="left"/>
      <w:lvlText w:val="(%1)"/>
      <w:numFmt w:val="decimal"/>
      <w:start w:val="12"/>
    </w:lvl>
  </w:abstractNum>
  <w:abstractNum w:abstractNumId="34">
    <w:nsid w:val="5F3534A4"/>
    <w:multiLevelType w:val="hybridMultilevel"/>
    <w:lvl w:ilvl="0">
      <w:lvlJc w:val="left"/>
      <w:lvlText w:val="(%1)"/>
      <w:numFmt w:val="decimal"/>
      <w:start w:val="24"/>
    </w:lvl>
  </w:abstractNum>
  <w:abstractNum w:abstractNumId="35">
    <w:nsid w:val="73A1821B"/>
    <w:multiLevelType w:val="hybridMultilevel"/>
    <w:lvl w:ilvl="0">
      <w:lvlJc w:val="left"/>
      <w:lvlText w:val="(%1)"/>
      <w:numFmt w:val="decimal"/>
      <w:start w:val="1"/>
    </w:lvl>
  </w:abstractNum>
  <w:abstractNum w:abstractNumId="36">
    <w:nsid w:val="7DE67713"/>
    <w:multiLevelType w:val="hybridMultilevel"/>
    <w:lvl w:ilvl="0">
      <w:lvlJc w:val="left"/>
      <w:lvlText w:val="(%1)"/>
      <w:numFmt w:val="decimal"/>
      <w:start w:val="3"/>
    </w:lvl>
  </w:abstractNum>
  <w:abstractNum w:abstractNumId="37">
    <w:nsid w:val="555C55B5"/>
    <w:multiLevelType w:val="hybridMultilevel"/>
    <w:lvl w:ilvl="0">
      <w:lvlJc w:val="left"/>
      <w:lvlText w:val="(%1)"/>
      <w:numFmt w:val="lowerLetter"/>
      <w:start w:val="1"/>
    </w:lvl>
  </w:abstractNum>
  <w:abstractNum w:abstractNumId="38">
    <w:nsid w:val="3FA62ACA"/>
    <w:multiLevelType w:val="hybridMultilevel"/>
    <w:lvl w:ilvl="0">
      <w:lvlJc w:val="left"/>
      <w:lvlText w:val="(%1)"/>
      <w:numFmt w:val="lowerRoman"/>
      <w:start w:val="10"/>
    </w:lvl>
  </w:abstractNum>
  <w:abstractNum w:abstractNumId="39">
    <w:nsid w:val="14FCE74E"/>
    <w:multiLevelType w:val="hybridMultilevel"/>
    <w:lvl w:ilvl="0">
      <w:lvlJc w:val="left"/>
      <w:lvlText w:val="(%1)"/>
      <w:numFmt w:val="lowerLetter"/>
      <w:start w:val="25"/>
    </w:lvl>
  </w:abstractNum>
  <w:abstractNum w:abstractNumId="40">
    <w:nsid w:val="6A3DD3E8"/>
    <w:multiLevelType w:val="hybridMultilevel"/>
    <w:lvl w:ilvl="0">
      <w:lvlJc w:val="left"/>
      <w:lvlText w:val="%1"/>
      <w:numFmt w:val="lowerLetter"/>
      <w:start w:val="1"/>
    </w:lvl>
    <w:lvl w:ilvl="1">
      <w:lvlJc w:val="left"/>
      <w:lvlText w:val="(%2)"/>
      <w:numFmt w:val="decimal"/>
      <w:start w:val="1"/>
    </w:lvl>
  </w:abstractNum>
  <w:abstractNum w:abstractNumId="41">
    <w:nsid w:val="71C91298"/>
    <w:multiLevelType w:val="hybridMultilevel"/>
    <w:lvl w:ilvl="0">
      <w:lvlJc w:val="left"/>
      <w:lvlText w:val="(%1)"/>
      <w:numFmt w:val="lowerLetter"/>
      <w:start w:val="2"/>
    </w:lvl>
    <w:lvl w:ilvl="1">
      <w:lvlJc w:val="left"/>
      <w:lvlText w:val="(%2)"/>
      <w:numFmt w:val="decimal"/>
      <w:start w:val="5"/>
    </w:lvl>
  </w:abstractNum>
  <w:abstractNum w:abstractNumId="42">
    <w:nsid w:val="9DAF632"/>
    <w:multiLevelType w:val="hybridMultilevel"/>
    <w:lvl w:ilvl="0">
      <w:lvlJc w:val="left"/>
      <w:lvlText w:val="(%1)"/>
      <w:numFmt w:val="decimal"/>
      <w:start w:val="1"/>
    </w:lvl>
  </w:abstractNum>
  <w:abstractNum w:abstractNumId="43">
    <w:nsid w:val="53299938"/>
    <w:multiLevelType w:val="hybridMultilevel"/>
    <w:lvl w:ilvl="0">
      <w:lvlJc w:val="left"/>
      <w:lvlText w:val="(%1)"/>
      <w:numFmt w:val="lowerLetter"/>
      <w:start w:val="17"/>
    </w:lvl>
  </w:abstractNum>
  <w:abstractNum w:abstractNumId="44">
    <w:nsid w:val="1FBFE8E0"/>
    <w:multiLevelType w:val="hybridMultilevel"/>
    <w:lvl w:ilvl="0">
      <w:lvlJc w:val="left"/>
      <w:lvlText w:val="(%1)"/>
      <w:numFmt w:val="decimal"/>
      <w:start w:val="1"/>
    </w:lvl>
  </w:abstractNum>
  <w:abstractNum w:abstractNumId="45">
    <w:nsid w:val="5092CA79"/>
    <w:multiLevelType w:val="hybridMultilevel"/>
    <w:lvl w:ilvl="0">
      <w:lvlJc w:val="left"/>
      <w:lvlText w:val="(%1)"/>
      <w:numFmt w:val="decimal"/>
      <w:start w:val="1"/>
    </w:lvl>
  </w:abstractNum>
  <w:abstractNum w:abstractNumId="46">
    <w:nsid w:val="1D545C4D"/>
    <w:multiLevelType w:val="hybridMultilevel"/>
    <w:lvl w:ilvl="0">
      <w:lvlJc w:val="left"/>
      <w:lvlText w:val="(%1)"/>
      <w:numFmt w:val="lowerLetter"/>
      <w:start w:val="1"/>
    </w:lvl>
    <w:lvl w:ilvl="1">
      <w:lvlJc w:val="left"/>
      <w:lvlText w:val="(%2)"/>
      <w:numFmt w:val="decimal"/>
      <w:start w:val="1"/>
    </w:lvl>
  </w:abstractNum>
  <w:abstractNum w:abstractNumId="47">
    <w:nsid w:val="59ADEA3D"/>
    <w:multiLevelType w:val="hybridMultilevel"/>
    <w:lvl w:ilvl="0">
      <w:lvlJc w:val="left"/>
      <w:lvlText w:val="(%1)"/>
      <w:numFmt w:val="decimal"/>
      <w:start w:val="7"/>
    </w:lvl>
  </w:abstractNum>
  <w:abstractNum w:abstractNumId="48">
    <w:nsid w:val="288F1A34"/>
    <w:multiLevelType w:val="hybridMultilevel"/>
    <w:lvl w:ilvl="0">
      <w:lvlJc w:val="left"/>
      <w:lvlText w:val="(%1)"/>
      <w:numFmt w:val="lowerLetter"/>
      <w:start w:val="1"/>
    </w:lvl>
  </w:abstractNum>
  <w:abstractNum w:abstractNumId="49">
    <w:nsid w:val="2A155DBC"/>
    <w:multiLevelType w:val="hybridMultilevel"/>
    <w:lvl w:ilvl="0">
      <w:lvlJc w:val="left"/>
      <w:lvlText w:val="(%1)"/>
      <w:numFmt w:val="lowerLetter"/>
      <w:start w:val="4"/>
    </w:lvl>
  </w:abstractNum>
  <w:abstractNum w:abstractNumId="50">
    <w:nsid w:val="1D9F6E5F"/>
    <w:multiLevelType w:val="hybridMultilevel"/>
    <w:lvl w:ilvl="0">
      <w:lvlJc w:val="left"/>
      <w:lvlText w:val="(%1)"/>
      <w:numFmt w:val="lowerLetter"/>
      <w:start w:val="1"/>
    </w:lvl>
  </w:abstractNum>
  <w:abstractNum w:abstractNumId="51">
    <w:nsid w:val="97E1B4E"/>
    <w:multiLevelType w:val="hybridMultilevel"/>
    <w:lvl w:ilvl="0">
      <w:lvlJc w:val="left"/>
      <w:lvlText w:val="(%1)"/>
      <w:numFmt w:val="lowerLetter"/>
      <w:start w:val="2"/>
    </w:lvl>
  </w:abstractNum>
  <w:abstractNum w:abstractNumId="52">
    <w:nsid w:val="51088277"/>
    <w:multiLevelType w:val="hybridMultilevel"/>
    <w:lvl w:ilvl="0">
      <w:lvlJc w:val="left"/>
      <w:lvlText w:val="(%1)"/>
      <w:numFmt w:val="lowerLetter"/>
      <w:start w:val="1"/>
    </w:lvl>
  </w:abstractNum>
  <w:abstractNum w:abstractNumId="53">
    <w:nsid w:val="1CA0C5FA"/>
    <w:multiLevelType w:val="hybridMultilevel"/>
    <w:lvl w:ilvl="0">
      <w:lvlJc w:val="left"/>
      <w:lvlText w:val="(%1)"/>
      <w:numFmt w:val="lowerLetter"/>
      <w:start w:val="2"/>
    </w:lvl>
    <w:lvl w:ilvl="1">
      <w:lvlJc w:val="left"/>
      <w:lvlText w:val="(%2)"/>
      <w:numFmt w:val="decimal"/>
      <w:start w:val="1"/>
    </w:lvl>
  </w:abstractNum>
  <w:abstractNum w:abstractNumId="54">
    <w:nsid w:val="53584BCB"/>
    <w:multiLevelType w:val="hybridMultilevel"/>
    <w:lvl w:ilvl="0">
      <w:lvlJc w:val="left"/>
      <w:lvlText w:val="(%1)"/>
      <w:numFmt w:val="decimal"/>
      <w:start w:val="4"/>
    </w:lvl>
  </w:abstractNum>
  <w:abstractNum w:abstractNumId="55">
    <w:nsid w:val="415E286C"/>
    <w:multiLevelType w:val="hybridMultilevel"/>
    <w:lvl w:ilvl="0">
      <w:lvlJc w:val="left"/>
      <w:lvlText w:val="(%1)"/>
      <w:numFmt w:val="lowerLetter"/>
      <w:start w:val="1"/>
    </w:lvl>
    <w:lvl w:ilvl="1">
      <w:lvlJc w:val="left"/>
      <w:lvlText w:val="(%2)"/>
      <w:numFmt w:val="decimal"/>
      <w:start w:val="1"/>
    </w:lvl>
  </w:abstractNum>
  <w:abstractNum w:abstractNumId="56">
    <w:nsid w:val="7C58FD05"/>
    <w:multiLevelType w:val="hybridMultilevel"/>
    <w:lvl w:ilvl="0">
      <w:lvlJc w:val="left"/>
      <w:lvlText w:val="(%1)"/>
      <w:numFmt w:val="lowerLetter"/>
      <w:start w:val="3"/>
    </w:lvl>
    <w:lvl w:ilvl="1">
      <w:lvlJc w:val="left"/>
      <w:lvlText w:val="(%2)"/>
      <w:numFmt w:val="decimal"/>
      <w:start w:val="1"/>
    </w:lvl>
  </w:abstractNum>
  <w:abstractNum w:abstractNumId="57">
    <w:nsid w:val="23D86AAC"/>
    <w:multiLevelType w:val="hybridMultilevel"/>
    <w:lvl w:ilvl="0">
      <w:lvlJc w:val="left"/>
      <w:lvlText w:val="(%1)"/>
      <w:numFmt w:val="lowerLetter"/>
      <w:start w:val="8"/>
    </w:lvl>
  </w:abstractNum>
  <w:abstractNum w:abstractNumId="58">
    <w:nsid w:val="45E6D486"/>
    <w:multiLevelType w:val="hybridMultilevel"/>
    <w:lvl w:ilvl="0">
      <w:lvlJc w:val="left"/>
      <w:lvlText w:val="(%1)"/>
      <w:numFmt w:val="decimal"/>
      <w:start w:val="1"/>
    </w:lvl>
  </w:abstractNum>
  <w:abstractNum w:abstractNumId="59">
    <w:nsid w:val="5C10FE21"/>
    <w:multiLevelType w:val="hybridMultilevel"/>
    <w:lvl w:ilvl="0">
      <w:lvlJc w:val="left"/>
      <w:lvlText w:val="(%1)"/>
      <w:numFmt w:val="lowerLetter"/>
      <w:start w:val="1"/>
    </w:lvl>
  </w:abstractNum>
  <w:abstractNum w:abstractNumId="60">
    <w:nsid w:val="E7FFA2B"/>
    <w:multiLevelType w:val="hybridMultilevel"/>
    <w:lvl w:ilvl="0">
      <w:lvlJc w:val="left"/>
      <w:lvlText w:val="(%1)"/>
      <w:numFmt w:val="decimal"/>
      <w:start w:val="1"/>
    </w:lvl>
  </w:abstractNum>
  <w:abstractNum w:abstractNumId="61">
    <w:nsid w:val="3C5991AA"/>
    <w:multiLevelType w:val="hybridMultilevel"/>
    <w:lvl w:ilvl="0">
      <w:lvlJc w:val="left"/>
      <w:lvlText w:val="(%1)"/>
      <w:numFmt w:val="lowerLetter"/>
      <w:start w:val="3"/>
    </w:lvl>
  </w:abstractNum>
  <w:abstractNum w:abstractNumId="62">
    <w:nsid w:val="4BD8591A"/>
    <w:multiLevelType w:val="hybridMultilevel"/>
    <w:lvl w:ilvl="0">
      <w:lvlJc w:val="left"/>
      <w:lvlText w:val="(%1)"/>
      <w:numFmt w:val="decimal"/>
      <w:start w:val="1"/>
    </w:lvl>
  </w:abstractNum>
  <w:abstractNum w:abstractNumId="63">
    <w:nsid w:val="78DF6A55"/>
    <w:multiLevelType w:val="hybridMultilevel"/>
    <w:lvl w:ilvl="0">
      <w:lvlJc w:val="left"/>
      <w:lvlText w:val="(%1)"/>
      <w:numFmt w:val="lowerLetter"/>
      <w:start w:val="1"/>
    </w:lvl>
  </w:abstractNum>
  <w:abstractNum w:abstractNumId="64">
    <w:nsid w:val="39B7AAA2"/>
    <w:multiLevelType w:val="hybridMultilevel"/>
    <w:lvl w:ilvl="0">
      <w:lvlJc w:val="left"/>
      <w:lvlText w:val="(%1)"/>
      <w:numFmt w:val="lowerLetter"/>
      <w:start w:val="3"/>
    </w:lvl>
    <w:lvl w:ilvl="1">
      <w:lvlJc w:val="left"/>
      <w:lvlText w:val="(%2)"/>
      <w:numFmt w:val="decimal"/>
      <w:start w:val="1"/>
    </w:lvl>
  </w:abstractNum>
  <w:abstractNum w:abstractNumId="65">
    <w:nsid w:val="2B0D8DBE"/>
    <w:multiLevelType w:val="hybridMultilevel"/>
    <w:lvl w:ilvl="0">
      <w:lvlJc w:val="left"/>
      <w:lvlText w:val="(%1)"/>
      <w:numFmt w:val="lowerLetter"/>
      <w:start w:val="1"/>
    </w:lvl>
    <w:lvl w:ilvl="1">
      <w:lvlJc w:val="left"/>
      <w:lvlText w:val="(%2)"/>
      <w:numFmt w:val="decimal"/>
      <w:start w:val="1"/>
    </w:lvl>
  </w:abstractNum>
  <w:abstractNum w:abstractNumId="66">
    <w:nsid w:val="6C80EC70"/>
    <w:multiLevelType w:val="hybridMultilevel"/>
    <w:lvl w:ilvl="0">
      <w:lvlJc w:val="left"/>
      <w:lvlText w:val="%1"/>
      <w:numFmt w:val="lowerLetter"/>
      <w:start w:val="1"/>
    </w:lvl>
    <w:lvl w:ilvl="1">
      <w:lvlJc w:val="left"/>
      <w:lvlText w:val="(%2)"/>
      <w:numFmt w:val="decimal"/>
      <w:start w:val="2"/>
    </w:lvl>
  </w:abstractNum>
  <w:abstractNum w:abstractNumId="67">
    <w:nsid w:val="379E21B5"/>
    <w:multiLevelType w:val="hybridMultilevel"/>
    <w:lvl w:ilvl="0">
      <w:lvlJc w:val="left"/>
      <w:lvlText w:val="(%1)"/>
      <w:numFmt w:val="lowerLetter"/>
      <w:start w:val="2"/>
    </w:lvl>
    <w:lvl w:ilvl="1">
      <w:lvlJc w:val="left"/>
      <w:lvlText w:val="%2"/>
      <w:numFmt w:val="decimal"/>
      <w:start w:val="1"/>
    </w:lvl>
  </w:abstractNum>
  <w:abstractNum w:abstractNumId="68">
    <w:nsid w:val="69E373"/>
    <w:multiLevelType w:val="hybridMultilevel"/>
    <w:lvl w:ilvl="0">
      <w:lvlJc w:val="left"/>
      <w:lvlText w:val="(%1)"/>
      <w:numFmt w:val="lowerLetter"/>
      <w:start w:val="1"/>
    </w:lvl>
  </w:abstractNum>
  <w:abstractNum w:abstractNumId="69">
    <w:nsid w:val="2C27173B"/>
    <w:multiLevelType w:val="hybridMultilevel"/>
    <w:lvl w:ilvl="0">
      <w:lvlJc w:val="left"/>
      <w:lvlText w:val="(%1)"/>
      <w:numFmt w:val="lowerLetter"/>
      <w:start w:val="1"/>
    </w:lvl>
    <w:lvl w:ilvl="1">
      <w:lvlJc w:val="left"/>
      <w:lvlText w:val="(%2)"/>
      <w:numFmt w:val="decimal"/>
      <w:start w:val="1"/>
    </w:lvl>
  </w:abstractNum>
  <w:abstractNum w:abstractNumId="70">
    <w:nsid w:val="4C9B0904"/>
    <w:multiLevelType w:val="hybridMultilevel"/>
    <w:lvl w:ilvl="0">
      <w:lvlJc w:val="left"/>
      <w:lvlText w:val="(%1)"/>
      <w:numFmt w:val="lowerLetter"/>
      <w:start w:val="2"/>
    </w:lvl>
  </w:abstractNum>
  <w:abstractNum w:abstractNumId="71">
    <w:nsid w:val="6AA7B75C"/>
    <w:multiLevelType w:val="hybridMultilevel"/>
    <w:lvl w:ilvl="0">
      <w:lvlJc w:val="left"/>
      <w:lvlText w:val="(%1)"/>
      <w:numFmt w:val="lowerLetter"/>
      <w:start w:val="4"/>
    </w:lvl>
    <w:lvl w:ilvl="1">
      <w:lvlJc w:val="left"/>
      <w:lvlText w:val="(%2)"/>
      <w:numFmt w:val="decimal"/>
      <w:start w:val="1"/>
    </w:lvl>
  </w:abstractNum>
  <w:abstractNum w:abstractNumId="72">
    <w:nsid w:val="1DF029D3"/>
    <w:multiLevelType w:val="hybridMultilevel"/>
    <w:lvl w:ilvl="0">
      <w:lvlJc w:val="left"/>
      <w:lvlText w:val="(%1)"/>
      <w:numFmt w:val="lowerLetter"/>
      <w:start w:val="1"/>
    </w:lvl>
    <w:lvl w:ilvl="1">
      <w:lvlJc w:val="left"/>
      <w:lvlText w:val="(%2)"/>
      <w:numFmt w:val="decimal"/>
      <w:start w:val="1"/>
    </w:lvl>
  </w:abstractNum>
  <w:abstractNum w:abstractNumId="73">
    <w:nsid w:val="5675FF3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74">
    <w:nsid w:val="3DD15094"/>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75">
    <w:nsid w:val="3DB012B3"/>
    <w:multiLevelType w:val="hybridMultilevel"/>
    <w:lvl w:ilvl="0">
      <w:lvlJc w:val="left"/>
      <w:lvlText w:val="(%1)"/>
      <w:numFmt w:val="decimal"/>
      <w:start w:val="5"/>
    </w:lvl>
  </w:abstractNum>
  <w:abstractNum w:abstractNumId="76">
    <w:nsid w:val="2708C9AF"/>
    <w:multiLevelType w:val="hybridMultilevel"/>
    <w:lvl w:ilvl="0">
      <w:lvlJc w:val="left"/>
      <w:lvlText w:val="(%1)"/>
      <w:numFmt w:val="decimal"/>
      <w:start w:val="11"/>
    </w:lvl>
  </w:abstractNum>
  <w:abstractNum w:abstractNumId="77">
    <w:nsid w:val="5B25ACE2"/>
    <w:multiLevelType w:val="hybridMultilevel"/>
    <w:lvl w:ilvl="0">
      <w:lvlJc w:val="left"/>
      <w:lvlText w:val="(%1)"/>
      <w:numFmt w:val="decimal"/>
      <w:start w:val="13"/>
    </w:lvl>
  </w:abstractNum>
  <w:abstractNum w:abstractNumId="78">
    <w:nsid w:val="175DFCF0"/>
    <w:multiLevelType w:val="hybridMultilevel"/>
    <w:lvl w:ilvl="0">
      <w:lvlJc w:val="left"/>
      <w:lvlText w:val="(%1)"/>
      <w:numFmt w:val="decimal"/>
      <w:start w:val="1"/>
    </w:lvl>
  </w:abstractNum>
  <w:abstractNum w:abstractNumId="79">
    <w:nsid w:val="4F97E3E4"/>
    <w:multiLevelType w:val="hybridMultilevel"/>
    <w:lvl w:ilvl="0">
      <w:lvlJc w:val="left"/>
      <w:lvlText w:val="%1"/>
      <w:numFmt w:val="lowerLetter"/>
      <w:start w:val="1"/>
    </w:lvl>
    <w:lvl w:ilvl="1">
      <w:lvlJc w:val="left"/>
      <w:lvlText w:val="(%2)"/>
      <w:numFmt w:val="decimal"/>
      <w:start w:val="2"/>
    </w:lvl>
  </w:abstractNum>
  <w:abstractNum w:abstractNumId="80">
    <w:nsid w:val="53B0A9E"/>
    <w:multiLevelType w:val="hybridMultilevel"/>
    <w:lvl w:ilvl="0">
      <w:lvlJc w:val="left"/>
      <w:lvlText w:val="(%1)"/>
      <w:numFmt w:val="lowerLetter"/>
      <w:start w:val="2"/>
    </w:lvl>
    <w:lvl w:ilvl="1">
      <w:lvlJc w:val="left"/>
      <w:lvlText w:val="(%2)"/>
      <w:numFmt w:val="decimal"/>
      <w:start w:val="1"/>
    </w:lvl>
  </w:abstractNum>
  <w:abstractNum w:abstractNumId="81">
    <w:nsid w:val="34FD6B4F"/>
    <w:multiLevelType w:val="hybridMultilevel"/>
    <w:lvl w:ilvl="0">
      <w:lvlJc w:val="left"/>
      <w:lvlText w:val="(%1)"/>
      <w:numFmt w:val="decimal"/>
      <w:start w:val="8"/>
    </w:lvl>
  </w:abstractNum>
  <w:abstractNum w:abstractNumId="82">
    <w:nsid w:val="5915FF32"/>
    <w:multiLevelType w:val="hybridMultilevel"/>
    <w:lvl w:ilvl="0">
      <w:lvlJc w:val="left"/>
      <w:lvlText w:val="(%1)"/>
      <w:numFmt w:val="lowerLetter"/>
      <w:start w:val="1"/>
    </w:lvl>
  </w:abstractNum>
  <w:abstractNum w:abstractNumId="83">
    <w:nsid w:val="56438D15"/>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84">
    <w:nsid w:val="519E314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85">
    <w:nsid w:val="2C6E4AFD"/>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86">
    <w:nsid w:val="17A1B582"/>
    <w:multiLevelType w:val="hybridMultilevel"/>
    <w:lvl w:ilvl="0">
      <w:lvlJc w:val="left"/>
      <w:lvlText w:val="(%1)"/>
      <w:numFmt w:val="lowerLetter"/>
      <w:start w:val="2"/>
    </w:lvl>
    <w:lvl w:ilvl="1">
      <w:lvlJc w:val="left"/>
      <w:lvlText w:val="(%2)"/>
      <w:numFmt w:val="decimal"/>
      <w:start w:val="8"/>
    </w:lvl>
    <w:lvl w:ilvl="2">
      <w:lvlJc w:val="left"/>
      <w:lvlText w:val="%3"/>
      <w:numFmt w:val="lowerLetter"/>
      <w:start w:val="1"/>
    </w:lvl>
  </w:abstractNum>
  <w:abstractNum w:abstractNumId="87">
    <w:nsid w:val="4DF72E4E"/>
    <w:multiLevelType w:val="hybridMultilevel"/>
    <w:lvl w:ilvl="0">
      <w:lvlJc w:val="left"/>
      <w:lvlText w:val="(%1)"/>
      <w:numFmt w:val="upperLetter"/>
      <w:start w:val="1"/>
    </w:lvl>
    <w:lvl w:ilvl="1">
      <w:lvlJc w:val="left"/>
      <w:lvlText w:val="(%2)"/>
      <w:numFmt w:val="decimal"/>
      <w:start w:val="16"/>
    </w:lvl>
  </w:abstractNum>
  <w:abstractNum w:abstractNumId="88">
    <w:nsid w:val="5046B5A9"/>
    <w:multiLevelType w:val="hybridMultilevel"/>
    <w:lvl w:ilvl="0">
      <w:lvlJc w:val="left"/>
      <w:lvlText w:val="(%1)"/>
      <w:numFmt w:val="lowerLetter"/>
      <w:start w:val="3"/>
    </w:lvl>
  </w:abstractNum>
  <w:abstractNum w:abstractNumId="89">
    <w:nsid w:val="5D888A08"/>
    <w:multiLevelType w:val="hybridMultilevel"/>
    <w:lvl w:ilvl="0">
      <w:lvlJc w:val="left"/>
      <w:lvlText w:val="(%1)"/>
      <w:numFmt w:val="lowerLetter"/>
      <w:start w:val="6"/>
    </w:lvl>
  </w:abstractNum>
  <w:abstractNum w:abstractNumId="90">
    <w:nsid w:val="2A082C70"/>
    <w:multiLevelType w:val="hybridMultilevel"/>
    <w:lvl w:ilvl="0">
      <w:lvlJc w:val="left"/>
      <w:lvlText w:val="(%1)"/>
      <w:numFmt w:val="lowerLetter"/>
      <w:start w:val="1"/>
    </w:lvl>
    <w:lvl w:ilvl="1">
      <w:lvlJc w:val="left"/>
      <w:lvlText w:val="(%2)"/>
      <w:numFmt w:val="decimal"/>
      <w:start w:val="1"/>
    </w:lvl>
  </w:abstractNum>
  <w:abstractNum w:abstractNumId="91">
    <w:nsid w:val="5EC6AFD4"/>
    <w:multiLevelType w:val="hybridMultilevel"/>
    <w:lvl w:ilvl="0">
      <w:lvlJc w:val="left"/>
      <w:lvlText w:val="(%1)"/>
      <w:numFmt w:val="upperLetter"/>
      <w:start w:val="1"/>
    </w:lvl>
  </w:abstractNum>
  <w:abstractNum w:abstractNumId="92">
    <w:nsid w:val="19E21BB2"/>
    <w:multiLevelType w:val="hybridMultilevel"/>
    <w:lvl w:ilvl="0">
      <w:lvlJc w:val="left"/>
      <w:lvlText w:val="(%1)"/>
      <w:numFmt w:val="lowerLetter"/>
      <w:start w:val="2"/>
    </w:lvl>
    <w:lvl w:ilvl="1">
      <w:lvlJc w:val="left"/>
      <w:lvlText w:val="(%2)"/>
      <w:numFmt w:val="decimal"/>
      <w:start w:val="1"/>
    </w:lvl>
  </w:abstractNum>
  <w:abstractNum w:abstractNumId="93">
    <w:nsid w:val="75E0858A"/>
    <w:multiLevelType w:val="hybridMultilevel"/>
    <w:lvl w:ilvl="0">
      <w:lvlJc w:val="left"/>
      <w:lvlText w:val="(%1)"/>
      <w:numFmt w:val="decimal"/>
      <w:start w:val="2"/>
    </w:lvl>
  </w:abstractNum>
  <w:abstractNum w:abstractNumId="94">
    <w:nsid w:val="57A61A29"/>
    <w:multiLevelType w:val="hybridMultilevel"/>
    <w:lvl w:ilvl="0">
      <w:lvlJc w:val="left"/>
      <w:lvlText w:val="(%1)"/>
      <w:numFmt w:val="lowerLetter"/>
      <w:start w:val="3"/>
    </w:lvl>
  </w:abstractNum>
  <w:abstractNum w:abstractNumId="95">
    <w:nsid w:val="5399C654"/>
    <w:multiLevelType w:val="hybridMultilevel"/>
    <w:lvl w:ilvl="0">
      <w:lvlJc w:val="left"/>
      <w:lvlText w:val="(%1)"/>
      <w:numFmt w:val="lowerLetter"/>
      <w:start w:val="4"/>
    </w:lvl>
  </w:abstractNum>
  <w:abstractNum w:abstractNumId="96">
    <w:nsid w:val="20EE1348"/>
    <w:multiLevelType w:val="hybridMultilevel"/>
    <w:lvl w:ilvl="0">
      <w:lvlJc w:val="left"/>
      <w:lvlText w:val="(%1)"/>
      <w:numFmt w:val="lowerLetter"/>
      <w:start w:val="8"/>
    </w:lvl>
  </w:abstractNum>
  <w:abstractNum w:abstractNumId="97">
    <w:nsid w:val="4427069A"/>
    <w:multiLevelType w:val="hybridMultilevel"/>
    <w:lvl w:ilvl="0">
      <w:lvlJc w:val="left"/>
      <w:lvlText w:val="(%1)"/>
      <w:numFmt w:val="lowerLetter"/>
      <w:start w:val="1"/>
    </w:lvl>
    <w:lvl w:ilvl="1">
      <w:lvlJc w:val="left"/>
      <w:lvlText w:val="(%2)"/>
      <w:numFmt w:val="decimal"/>
      <w:start w:val="1"/>
    </w:lvl>
  </w:abstractNum>
  <w:abstractNum w:abstractNumId="98">
    <w:nsid w:val="B37E80A"/>
    <w:multiLevelType w:val="hybridMultilevel"/>
    <w:lvl w:ilvl="0">
      <w:lvlJc w:val="left"/>
      <w:lvlText w:val="(%1)"/>
      <w:numFmt w:val="decimal"/>
      <w:start w:val="5"/>
    </w:lvl>
  </w:abstractNum>
  <w:abstractNum w:abstractNumId="99">
    <w:nsid w:val="2157F6BC"/>
    <w:multiLevelType w:val="hybridMultilevel"/>
    <w:lvl w:ilvl="0">
      <w:lvlJc w:val="left"/>
      <w:lvlText w:val="(%1)"/>
      <w:numFmt w:val="decimal"/>
      <w:start w:val="14"/>
    </w:lvl>
  </w:abstractNum>
  <w:abstractNum w:abstractNumId="100">
    <w:nsid w:val="704E1DD5"/>
    <w:multiLevelType w:val="hybridMultilevel"/>
    <w:lvl w:ilvl="0">
      <w:lvlJc w:val="left"/>
      <w:lvlText w:val="(%1)"/>
      <w:numFmt w:val="lowerLetter"/>
      <w:start w:val="1"/>
    </w:lvl>
    <w:lvl w:ilvl="1">
      <w:lvlJc w:val="left"/>
      <w:lvlText w:val="(%2)"/>
      <w:numFmt w:val="decimal"/>
      <w:start w:val="1"/>
    </w:lvl>
  </w:abstractNum>
  <w:abstractNum w:abstractNumId="101">
    <w:nsid w:val="57D2F10E"/>
    <w:multiLevelType w:val="hybridMultilevel"/>
    <w:lvl w:ilvl="0">
      <w:lvlJc w:val="left"/>
      <w:lvlText w:val="(%1)"/>
      <w:numFmt w:val="lowerLetter"/>
      <w:start w:val="1"/>
    </w:lvl>
    <w:lvl w:ilvl="1">
      <w:lvlJc w:val="left"/>
      <w:lvlText w:val="(%2)"/>
      <w:numFmt w:val="decimal"/>
      <w:start w:val="1"/>
    </w:lvl>
  </w:abstractNum>
  <w:abstractNum w:abstractNumId="102">
    <w:nsid w:val="BFFAE18"/>
    <w:multiLevelType w:val="hybridMultilevel"/>
    <w:lvl w:ilvl="0">
      <w:lvlJc w:val="left"/>
      <w:lvlText w:val="(%1)"/>
      <w:numFmt w:val="lowerLetter"/>
      <w:start w:val="3"/>
    </w:lvl>
    <w:lvl w:ilvl="1">
      <w:lvlJc w:val="left"/>
      <w:lvlText w:val="(%2)"/>
      <w:numFmt w:val="decimal"/>
      <w:start w:val="1"/>
    </w:lvl>
  </w:abstractNum>
  <w:abstractNum w:abstractNumId="103">
    <w:nsid w:val="E3E47A8"/>
    <w:multiLevelType w:val="hybridMultilevel"/>
    <w:lvl w:ilvl="0">
      <w:lvlJc w:val="left"/>
      <w:lvlText w:val="(%1)"/>
      <w:numFmt w:val="lowerLetter"/>
      <w:start w:val="9"/>
    </w:lvl>
  </w:abstractNum>
  <w:abstractNum w:abstractNumId="104">
    <w:nsid w:val="2E48F044"/>
    <w:multiLevelType w:val="hybridMultilevel"/>
    <w:lvl w:ilvl="0">
      <w:lvlJc w:val="left"/>
      <w:lvlText w:val="(%1)"/>
      <w:numFmt w:val="lowerLetter"/>
      <w:start w:val="1"/>
    </w:lvl>
    <w:lvl w:ilvl="1">
      <w:lvlJc w:val="left"/>
      <w:lvlText w:val="(%2)"/>
      <w:numFmt w:val="decimal"/>
      <w:start w:val="1"/>
    </w:lvl>
  </w:abstractNum>
  <w:abstractNum w:abstractNumId="105">
    <w:nsid w:val="49D0FEAC"/>
    <w:multiLevelType w:val="hybridMultilevel"/>
    <w:lvl w:ilvl="0">
      <w:lvlJc w:val="left"/>
      <w:lvlText w:val="%1"/>
      <w:numFmt w:val="lowerRoman"/>
      <w:start w:val="1"/>
    </w:lvl>
    <w:lvl w:ilvl="1">
      <w:lvlJc w:val="left"/>
      <w:lvlText w:val="(%2)"/>
      <w:numFmt w:val="decimal"/>
      <w:start w:val="1"/>
    </w:lvl>
  </w:abstractNum>
  <w:abstractNum w:abstractNumId="106">
    <w:nsid w:val="4BEE5A5B"/>
    <w:multiLevelType w:val="hybridMultilevel"/>
    <w:lvl w:ilvl="0">
      <w:lvlJc w:val="left"/>
      <w:lvlText w:val="(%1)"/>
      <w:numFmt w:val="lowerRoman"/>
      <w:start w:val="3"/>
    </w:lvl>
    <w:lvl w:ilvl="1">
      <w:lvlJc w:val="left"/>
      <w:lvlText w:val="%2"/>
      <w:numFmt w:val="decimal"/>
      <w:start w:val="1"/>
    </w:lvl>
  </w:abstractNum>
  <w:abstractNum w:abstractNumId="107">
    <w:nsid w:val="5551B9F3"/>
    <w:multiLevelType w:val="hybridMultilevel"/>
    <w:lvl w:ilvl="0">
      <w:lvlJc w:val="left"/>
      <w:lvlText w:val="(%1)"/>
      <w:numFmt w:val="decimal"/>
      <w:start w:val="2"/>
    </w:lvl>
  </w:abstractNum>
  <w:abstractNum w:abstractNumId="108">
    <w:nsid w:val="24F6AB8E"/>
    <w:multiLevelType w:val="hybridMultilevel"/>
    <w:lvl w:ilvl="0">
      <w:lvlJc w:val="left"/>
      <w:lvlText w:val="(%1)"/>
      <w:numFmt w:val="lowerLetter"/>
      <w:start w:val="3"/>
    </w:lvl>
  </w:abstractNum>
  <w:abstractNum w:abstractNumId="109">
    <w:nsid w:val="634C574C"/>
    <w:multiLevelType w:val="hybridMultilevel"/>
    <w:lvl w:ilvl="0">
      <w:lvlJc w:val="left"/>
      <w:lvlText w:val="(%1)"/>
      <w:numFmt w:val="decimal"/>
      <w:start w:val="1"/>
    </w:lvl>
  </w:abstractNum>
  <w:abstractNum w:abstractNumId="110">
    <w:nsid w:val="24E99DD7"/>
    <w:multiLevelType w:val="hybridMultilevel"/>
    <w:lvl w:ilvl="0">
      <w:lvlJc w:val="left"/>
      <w:lvlText w:val="(%1)"/>
      <w:numFmt w:val="decimal"/>
      <w:start w:val="1"/>
    </w:lvl>
  </w:abstractNum>
  <w:abstractNum w:abstractNumId="111">
    <w:nsid w:val="2A31B62D"/>
    <w:multiLevelType w:val="hybridMultilevel"/>
    <w:lvl w:ilvl="0">
      <w:lvlJc w:val="left"/>
      <w:lvlText w:val="(%1)"/>
      <w:numFmt w:val="lowerRoman"/>
      <w:start w:val="1"/>
    </w:lvl>
  </w:abstractNum>
  <w:abstractNum w:abstractNumId="112">
    <w:nsid w:val="1849C29B"/>
    <w:multiLevelType w:val="hybridMultilevel"/>
    <w:lvl w:ilvl="0">
      <w:lvlJc w:val="left"/>
      <w:lvlText w:val="(%1)"/>
      <w:numFmt w:val="lowerLetter"/>
      <w:start w:val="2"/>
    </w:lvl>
  </w:abstractNum>
  <w:abstractNum w:abstractNumId="113">
    <w:nsid w:val="7DFF9D0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14">
    <w:nsid w:val="754342"/>
    <w:multiLevelType w:val="hybridMultilevel"/>
    <w:lvl w:ilvl="0">
      <w:lvlJc w:val="left"/>
      <w:lvlText w:val="(%1)"/>
      <w:numFmt w:val="lowerLetter"/>
      <w:start w:val="2"/>
    </w:lvl>
  </w:abstractNum>
  <w:abstractNum w:abstractNumId="115">
    <w:nsid w:val="69E7F3E5"/>
    <w:multiLevelType w:val="hybridMultilevel"/>
    <w:lvl w:ilvl="0">
      <w:lvlJc w:val="left"/>
      <w:lvlText w:val="(%1)"/>
      <w:numFmt w:val="decimal"/>
      <w:start w:val="1"/>
    </w:lvl>
    <w:lvl w:ilvl="1">
      <w:lvlJc w:val="left"/>
      <w:lvlText w:val="(%2)"/>
      <w:numFmt w:val="upperLetter"/>
      <w:start w:val="2"/>
    </w:lvl>
  </w:abstractNum>
  <w:abstractNum w:abstractNumId="116">
    <w:nsid w:val="2A6DE806"/>
    <w:multiLevelType w:val="hybridMultilevel"/>
    <w:lvl w:ilvl="0">
      <w:lvlJc w:val="left"/>
      <w:lvlText w:val="(%1)"/>
      <w:numFmt w:val="lowerLetter"/>
      <w:start w:val="3"/>
    </w:lvl>
  </w:abstractNum>
  <w:abstractNum w:abstractNumId="117">
    <w:nsid w:val="1816F8C4"/>
    <w:multiLevelType w:val="hybridMultilevel"/>
    <w:lvl w:ilvl="0">
      <w:lvlJc w:val="left"/>
      <w:lvlText w:val="(%1)"/>
      <w:numFmt w:val="decimal"/>
      <w:start w:val="1"/>
    </w:lvl>
  </w:abstractNum>
  <w:abstractNum w:abstractNumId="118">
    <w:nsid w:val="37DF2233"/>
    <w:multiLevelType w:val="hybridMultilevel"/>
    <w:lvl w:ilvl="0">
      <w:lvlJc w:val="left"/>
      <w:lvlText w:val="(%1)"/>
      <w:numFmt w:val="decimal"/>
      <w:start w:val="2"/>
    </w:lvl>
    <w:lvl w:ilvl="1">
      <w:lvlJc w:val="left"/>
      <w:lvlText w:val="(%2)"/>
      <w:numFmt w:val="upperLetter"/>
      <w:start w:val="1"/>
    </w:lvl>
  </w:abstractNum>
  <w:abstractNum w:abstractNumId="119">
    <w:nsid w:val="7AB49DAF"/>
    <w:multiLevelType w:val="hybridMultilevel"/>
    <w:lvl w:ilvl="0">
      <w:lvlJc w:val="left"/>
      <w:lvlText w:val="(%1)"/>
      <w:numFmt w:val="decimal"/>
      <w:start w:val="6"/>
    </w:lvl>
    <w:lvl w:ilvl="1">
      <w:lvlJc w:val="left"/>
      <w:lvlText w:val="(%2)"/>
      <w:numFmt w:val="upperLetter"/>
      <w:start w:val="1"/>
    </w:lvl>
  </w:abstractNum>
  <w:abstractNum w:abstractNumId="120">
    <w:nsid w:val="759F82CD"/>
    <w:multiLevelType w:val="hybridMultilevel"/>
    <w:lvl w:ilvl="0">
      <w:lvlJc w:val="left"/>
      <w:lvlText w:val="(%1)"/>
      <w:numFmt w:val="upperLetter"/>
      <w:start w:val="4"/>
    </w:lvl>
    <w:lvl w:ilvl="1">
      <w:lvlJc w:val="left"/>
      <w:lvlText w:val="(%2)"/>
      <w:numFmt w:val="lowerRoman"/>
      <w:start w:val="1"/>
    </w:lvl>
  </w:abstractNum>
  <w:abstractNum w:abstractNumId="121">
    <w:nsid w:val="61E74EA3"/>
    <w:multiLevelType w:val="hybridMultilevel"/>
    <w:lvl w:ilvl="0">
      <w:lvlJc w:val="left"/>
      <w:lvlText w:val="(%1)"/>
      <w:numFmt w:val="decimal"/>
      <w:start w:val="8"/>
    </w:lvl>
  </w:abstractNum>
  <w:abstractNum w:abstractNumId="122">
    <w:nsid w:val="597B4D84"/>
    <w:multiLevelType w:val="hybridMultilevel"/>
    <w:lvl w:ilvl="0">
      <w:lvlJc w:val="left"/>
      <w:lvlText w:val="(%1)"/>
      <w:numFmt w:val="decimal"/>
      <w:start w:val="1"/>
    </w:lvl>
  </w:abstractNum>
  <w:abstractNum w:abstractNumId="123">
    <w:nsid w:val="F819E7F"/>
    <w:multiLevelType w:val="hybridMultilevel"/>
    <w:lvl w:ilvl="0">
      <w:lvlJc w:val="left"/>
      <w:lvlText w:val="(%1)"/>
      <w:numFmt w:val="decimal"/>
      <w:start w:val="1"/>
    </w:lvl>
  </w:abstractNum>
  <w:abstractNum w:abstractNumId="124">
    <w:nsid w:val="57C7D42D"/>
    <w:multiLevelType w:val="hybridMultilevel"/>
    <w:lvl w:ilvl="0">
      <w:lvlJc w:val="left"/>
      <w:lvlText w:val="(%1)"/>
      <w:numFmt w:val="lowerLetter"/>
      <w:start w:val="1"/>
    </w:lvl>
  </w:abstractNum>
  <w:abstractNum w:abstractNumId="125">
    <w:nsid w:val="312167AD"/>
    <w:multiLevelType w:val="hybridMultilevel"/>
    <w:lvl w:ilvl="0">
      <w:lvlJc w:val="left"/>
      <w:lvlText w:val="(%1)"/>
      <w:numFmt w:val="lowerLetter"/>
      <w:start w:val="1"/>
    </w:lvl>
  </w:abstractNum>
  <w:abstractNum w:abstractNumId="126">
    <w:nsid w:val="631B64D4"/>
    <w:multiLevelType w:val="hybridMultilevel"/>
    <w:lvl w:ilvl="0">
      <w:lvlJc w:val="left"/>
      <w:lvlText w:val="%1"/>
      <w:numFmt w:val="lowerLetter"/>
      <w:start w:val="1"/>
    </w:lvl>
    <w:lvl w:ilvl="1">
      <w:lvlJc w:val="left"/>
      <w:lvlText w:val="(%2)"/>
      <w:numFmt w:val="decimal"/>
      <w:start w:val="1"/>
    </w:lvl>
  </w:abstractNum>
  <w:abstractNum w:abstractNumId="127">
    <w:nsid w:val="78B5E776"/>
    <w:multiLevelType w:val="hybridMultilevel"/>
    <w:lvl w:ilvl="0">
      <w:lvlJc w:val="left"/>
      <w:lvlText w:val="(%1)"/>
      <w:numFmt w:val="lowerLetter"/>
      <w:start w:val="3"/>
    </w:lvl>
    <w:lvl w:ilvl="1">
      <w:lvlJc w:val="left"/>
      <w:lvlText w:val="(%2)"/>
      <w:numFmt w:val="decimal"/>
      <w:start w:val="1"/>
    </w:lvl>
  </w:abstractNum>
  <w:abstractNum w:abstractNumId="128">
    <w:nsid w:val="75486E47"/>
    <w:multiLevelType w:val="hybridMultilevel"/>
    <w:lvl w:ilvl="0">
      <w:lvlJc w:val="left"/>
      <w:lvlText w:val="%1"/>
      <w:numFmt w:val="lowerLetter"/>
      <w:start w:val="1"/>
    </w:lvl>
    <w:lvl w:ilvl="1">
      <w:lvlJc w:val="left"/>
      <w:lvlText w:val="(%2)"/>
      <w:numFmt w:val="decimal"/>
      <w:start w:val="3"/>
    </w:lvl>
  </w:abstractNum>
  <w:abstractNum w:abstractNumId="129">
    <w:nsid w:val="6E534CDE"/>
    <w:multiLevelType w:val="hybridMultilevel"/>
    <w:lvl w:ilvl="0">
      <w:lvlJc w:val="left"/>
      <w:lvlText w:val="(%1)"/>
      <w:numFmt w:val="lowerLetter"/>
      <w:start w:val="4"/>
    </w:lvl>
    <w:lvl w:ilvl="1">
      <w:lvlJc w:val="left"/>
      <w:lvlText w:val="%2"/>
      <w:numFmt w:val="decimal"/>
      <w:start w:val="1"/>
    </w:lvl>
  </w:abstractNum>
  <w:abstractNum w:abstractNumId="130">
    <w:nsid w:val="1A0DDE32"/>
    <w:multiLevelType w:val="hybridMultilevel"/>
    <w:lvl w:ilvl="0">
      <w:lvlJc w:val="left"/>
      <w:lvlText w:val="(%1)"/>
      <w:numFmt w:val="lowerLetter"/>
      <w:start w:val="1"/>
    </w:lvl>
  </w:abstractNum>
  <w:abstractNum w:abstractNumId="131">
    <w:nsid w:val="65968C1C"/>
    <w:multiLevelType w:val="hybridMultilevel"/>
    <w:lvl w:ilvl="0">
      <w:lvlJc w:val="left"/>
      <w:lvlText w:val="(%1)"/>
      <w:numFmt w:val="lowerLetter"/>
      <w:start w:val="8"/>
    </w:lvl>
  </w:abstractNum>
  <w:abstractNum w:abstractNumId="132">
    <w:nsid w:val="46263DEC"/>
    <w:multiLevelType w:val="hybridMultilevel"/>
    <w:lvl w:ilvl="0">
      <w:lvlJc w:val="left"/>
      <w:lvlText w:val="(%1)"/>
      <w:numFmt w:val="lowerLetter"/>
      <w:start w:val="1"/>
    </w:lvl>
  </w:abstractNum>
  <w:abstractNum w:abstractNumId="133">
    <w:nsid w:val="260D8C4A"/>
    <w:multiLevelType w:val="hybridMultilevel"/>
    <w:lvl w:ilvl="0">
      <w:lvlJc w:val="left"/>
      <w:lvlText w:val="(%1)"/>
      <w:numFmt w:val="lowerLetter"/>
      <w:start w:val="2"/>
    </w:lvl>
  </w:abstractNum>
  <w:abstractNum w:abstractNumId="134">
    <w:nsid w:val="73D4D3C4"/>
    <w:multiLevelType w:val="hybridMultilevel"/>
    <w:lvl w:ilvl="0">
      <w:lvlJc w:val="left"/>
      <w:lvlText w:val="(%1)"/>
      <w:numFmt w:val="decimal"/>
      <w:start w:val="1"/>
    </w:lvl>
    <w:lvl w:ilvl="1">
      <w:lvlJc w:val="left"/>
      <w:lvlText w:val="(%2)"/>
      <w:numFmt w:val="upperLetter"/>
      <w:start w:val="1"/>
    </w:lvl>
  </w:abstractNum>
  <w:abstractNum w:abstractNumId="135">
    <w:nsid w:val="746F2E30"/>
    <w:multiLevelType w:val="hybridMultilevel"/>
    <w:lvl w:ilvl="0">
      <w:lvlJc w:val="left"/>
      <w:lvlText w:val="(%1)"/>
      <w:numFmt w:val="decimal"/>
      <w:start w:val="3"/>
    </w:lvl>
  </w:abstractNum>
  <w:abstractNum w:abstractNumId="136">
    <w:nsid w:val="6FDE8AF6"/>
    <w:multiLevelType w:val="hybridMultilevel"/>
    <w:lvl w:ilvl="0">
      <w:lvlJc w:val="left"/>
      <w:lvlText w:val="(%1)"/>
      <w:numFmt w:val="decimal"/>
      <w:start w:val="1"/>
    </w:lvl>
    <w:lvl w:ilvl="1">
      <w:lvlJc w:val="left"/>
      <w:lvlText w:val="(%2)"/>
      <w:numFmt w:val="upperLetter"/>
      <w:start w:val="2"/>
    </w:lvl>
  </w:abstractNum>
  <w:abstractNum w:abstractNumId="137">
    <w:nsid w:val="3FC32E20"/>
    <w:multiLevelType w:val="hybridMultilevel"/>
    <w:lvl w:ilvl="0">
      <w:lvlJc w:val="left"/>
      <w:lvlText w:val="(%1)"/>
      <w:numFmt w:val="decimal"/>
      <w:start w:val="1"/>
    </w:lvl>
  </w:abstractNum>
  <w:abstractNum w:abstractNumId="138">
    <w:nsid w:val="49C0E823"/>
    <w:multiLevelType w:val="hybridMultilevel"/>
    <w:lvl w:ilvl="0">
      <w:lvlJc w:val="left"/>
      <w:lvlText w:val="(%1)"/>
      <w:numFmt w:val="decimal"/>
      <w:start w:val="1"/>
    </w:lvl>
  </w:abstractNum>
  <w:abstractNum w:abstractNumId="139">
    <w:nsid w:val="14D53685"/>
    <w:multiLevelType w:val="hybridMultilevel"/>
    <w:lvl w:ilvl="0">
      <w:lvlJc w:val="left"/>
      <w:lvlText w:val="(%1)"/>
      <w:numFmt w:val="lowerLetter"/>
      <w:start w:val="1"/>
    </w:lvl>
  </w:abstractNum>
  <w:abstractNum w:abstractNumId="140">
    <w:nsid w:val="230F856C"/>
    <w:multiLevelType w:val="hybridMultilevel"/>
    <w:lvl w:ilvl="0">
      <w:lvlJc w:val="left"/>
      <w:lvlText w:val="(%1)"/>
      <w:numFmt w:val="lowerLetter"/>
      <w:start w:val="4"/>
    </w:lvl>
  </w:abstractNum>
  <w:abstractNum w:abstractNumId="141">
    <w:nsid w:val="6EAA85FB"/>
    <w:multiLevelType w:val="hybridMultilevel"/>
    <w:lvl w:ilvl="0">
      <w:lvlJc w:val="left"/>
      <w:lvlText w:val="(%1)"/>
      <w:numFmt w:val="lowerLetter"/>
      <w:start w:val="1"/>
    </w:lvl>
  </w:abstractNum>
  <w:abstractNum w:abstractNumId="142">
    <w:nsid w:val="3F06EC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3">
    <w:nsid w:val="3B594807"/>
    <w:multiLevelType w:val="hybridMultilevel"/>
    <w:lvl w:ilvl="0">
      <w:lvlJc w:val="left"/>
      <w:lvlText w:val="(%1)"/>
      <w:numFmt w:val="upperLetter"/>
      <w:start w:val="6"/>
    </w:lvl>
  </w:abstractNum>
  <w:abstractNum w:abstractNumId="144">
    <w:nsid w:val="6CAA2304"/>
    <w:multiLevelType w:val="hybridMultilevel"/>
    <w:lvl w:ilvl="0">
      <w:lvlJc w:val="left"/>
      <w:lvlText w:val="(%1)"/>
      <w:numFmt w:val="lowerLetter"/>
      <w:start w:val="2"/>
    </w:lvl>
    <w:lvl w:ilvl="1">
      <w:lvlJc w:val="left"/>
      <w:lvlText w:val="(%2)"/>
      <w:numFmt w:val="lowerRoman"/>
      <w:start w:val="1"/>
    </w:lvl>
  </w:abstractNum>
  <w:abstractNum w:abstractNumId="145">
    <w:nsid w:val="3F7C2FF4"/>
    <w:multiLevelType w:val="hybridMultilevel"/>
    <w:lvl w:ilvl="0">
      <w:lvlJc w:val="left"/>
      <w:lvlText w:val="%1"/>
      <w:numFmt w:val="upperLetter"/>
      <w:start w:val="1"/>
    </w:lvl>
    <w:lvl w:ilvl="1">
      <w:lvlJc w:val="left"/>
      <w:lvlText w:val="(%2)"/>
      <w:numFmt w:val="upperLetter"/>
      <w:start w:val="1"/>
    </w:lvl>
  </w:abstractNum>
  <w:abstractNum w:abstractNumId="146">
    <w:nsid w:val="25413BEC"/>
    <w:multiLevelType w:val="hybridMultilevel"/>
    <w:lvl w:ilvl="0">
      <w:lvlJc w:val="left"/>
      <w:lvlText w:val="(%1)"/>
      <w:numFmt w:val="upperLetter"/>
      <w:start w:val="2"/>
    </w:lvl>
    <w:lvl w:ilvl="1">
      <w:lvlJc w:val="left"/>
      <w:lvlText w:val="%2"/>
      <w:numFmt w:val="upperLetter"/>
      <w:start w:val="1"/>
    </w:lvl>
  </w:abstractNum>
  <w:abstractNum w:abstractNumId="147">
    <w:nsid w:val="17180B0B"/>
    <w:multiLevelType w:val="hybridMultilevel"/>
    <w:lvl w:ilvl="0">
      <w:lvlJc w:val="left"/>
      <w:lvlText w:val="(%1)"/>
      <w:numFmt w:val="lowerLetter"/>
      <w:start w:val="3"/>
    </w:lvl>
    <w:lvl w:ilvl="1">
      <w:lvlJc w:val="left"/>
      <w:lvlText w:val="(%2)"/>
      <w:numFmt w:val="lowerRoman"/>
      <w:start w:val="1"/>
    </w:lvl>
  </w:abstractNum>
  <w:abstractNum w:abstractNumId="148">
    <w:nsid w:val="579328B9"/>
    <w:multiLevelType w:val="hybridMultilevel"/>
    <w:lvl w:ilvl="0">
      <w:lvlJc w:val="left"/>
      <w:lvlText w:val="(%1)"/>
      <w:numFmt w:val="upperLetter"/>
      <w:start w:val="1"/>
    </w:lvl>
    <w:lvl w:ilvl="1">
      <w:lvlJc w:val="left"/>
      <w:lvlText w:val="(%2)"/>
      <w:numFmt w:val="upperLetter"/>
      <w:start w:val="9"/>
    </w:lvl>
  </w:abstractNum>
  <w:abstractNum w:abstractNumId="149">
    <w:nsid w:val="5D205E20"/>
    <w:multiLevelType w:val="hybridMultilevel"/>
    <w:lvl w:ilvl="0">
      <w:lvlJc w:val="left"/>
      <w:lvlText w:val="(%1)"/>
      <w:numFmt w:val="upperLetter"/>
      <w:start w:val="61"/>
    </w:lvl>
  </w:abstractNum>
  <w:abstractNum w:abstractNumId="150">
    <w:nsid w:val="11CCA8BA"/>
    <w:multiLevelType w:val="hybridMultilevel"/>
    <w:lvl w:ilvl="0">
      <w:lvlJc w:val="left"/>
      <w:lvlText w:val="(%1)"/>
      <w:numFmt w:val="lowerRoman"/>
      <w:start w:val="3"/>
    </w:lvl>
  </w:abstractNum>
  <w:abstractNum w:abstractNumId="151">
    <w:nsid w:val="4D32AB86"/>
    <w:multiLevelType w:val="hybridMultilevel"/>
    <w:lvl w:ilvl="0">
      <w:lvlJc w:val="left"/>
      <w:lvlText w:val="(%1)"/>
      <w:numFmt w:val="upperLetter"/>
      <w:start w:val="1"/>
    </w:lvl>
  </w:abstractNum>
  <w:abstractNum w:abstractNumId="152">
    <w:nsid w:val="3F07ACC3"/>
    <w:multiLevelType w:val="hybridMultilevel"/>
    <w:lvl w:ilvl="0">
      <w:lvlJc w:val="left"/>
      <w:lvlText w:val="(%1)"/>
      <w:numFmt w:val="upperLetter"/>
      <w:start w:val="5"/>
    </w:lvl>
  </w:abstractNum>
  <w:abstractNum w:abstractNumId="153">
    <w:nsid w:val="6B47F63E"/>
    <w:multiLevelType w:val="hybridMultilevel"/>
    <w:lvl w:ilvl="0">
      <w:lvlJc w:val="left"/>
      <w:lvlText w:val="(%1)"/>
      <w:numFmt w:val="lowerRoman"/>
      <w:start w:val="5"/>
    </w:lvl>
  </w:abstractNum>
  <w:abstractNum w:abstractNumId="154">
    <w:nsid w:val="5CB44A05"/>
    <w:multiLevelType w:val="hybridMultilevel"/>
    <w:lvl w:ilvl="0">
      <w:lvlJc w:val="left"/>
      <w:lvlText w:val="(%1)"/>
      <w:numFmt w:val="lowerLetter"/>
      <w:start w:val="1"/>
    </w:lvl>
  </w:abstractNum>
  <w:abstractNum w:abstractNumId="155">
    <w:nsid w:val="16CF80F1"/>
    <w:multiLevelType w:val="hybridMultilevel"/>
    <w:lvl w:ilvl="0">
      <w:lvlJc w:val="left"/>
      <w:lvlText w:val="(%1)"/>
      <w:numFmt w:val="lowerLetter"/>
      <w:start w:val="1"/>
    </w:lvl>
  </w:abstractNum>
  <w:abstractNum w:abstractNumId="156">
    <w:nsid w:val="1C695DEC"/>
    <w:multiLevelType w:val="hybridMultilevel"/>
    <w:lvl w:ilvl="0">
      <w:lvlJc w:val="left"/>
      <w:lvlText w:val="(%1)"/>
      <w:numFmt w:val="lowerLetter"/>
      <w:start w:val="1"/>
    </w:lvl>
  </w:abstractNum>
  <w:abstractNum w:abstractNumId="157">
    <w:nsid w:val="3FCFAED9"/>
    <w:multiLevelType w:val="hybridMultilevel"/>
    <w:lvl w:ilvl="0">
      <w:lvlJc w:val="left"/>
      <w:lvlText w:val="1"/>
      <w:numFmt w:val="bullet"/>
      <w:start w:val="1"/>
    </w:lvl>
  </w:abstractNum>
  <w:abstractNum w:abstractNumId="158">
    <w:nsid w:val="F856867"/>
    <w:multiLevelType w:val="hybridMultilevel"/>
    <w:lvl w:ilvl="0">
      <w:lvlJc w:val="left"/>
      <w:lvlText w:val="(%1)"/>
      <w:numFmt w:val="decimal"/>
      <w:start w:val="1"/>
    </w:lvl>
  </w:abstractNum>
  <w:abstractNum w:abstractNumId="159">
    <w:nsid w:val="11B1CC33"/>
    <w:multiLevelType w:val="hybridMultilevel"/>
    <w:lvl w:ilvl="0">
      <w:lvlJc w:val="left"/>
      <w:lvlText w:val="(%1)"/>
      <w:numFmt w:val="decimal"/>
      <w:start w:val="3"/>
    </w:lvl>
  </w:abstractNum>
  <w:abstractNum w:abstractNumId="160">
    <w:nsid w:val="2E22FBB7"/>
    <w:multiLevelType w:val="hybridMultilevel"/>
    <w:lvl w:ilvl="0">
      <w:lvlJc w:val="left"/>
      <w:lvlText w:val="3"/>
      <w:numFmt w:val="bullet"/>
      <w:start w:val="1"/>
    </w:lvl>
  </w:abstractNum>
  <w:abstractNum w:abstractNumId="161">
    <w:nsid w:val="29934699"/>
    <w:multiLevelType w:val="hybridMultilevel"/>
    <w:lvl w:ilvl="0">
      <w:lvlJc w:val="left"/>
      <w:lvlText w:val="(%1)"/>
      <w:numFmt w:val="decimal"/>
      <w:start w:val="5"/>
    </w:lvl>
  </w:abstractNum>
  <w:abstractNum w:abstractNumId="162">
    <w:nsid w:val="77485850"/>
    <w:multiLevelType w:val="hybridMultilevel"/>
    <w:lvl w:ilvl="0">
      <w:lvlJc w:val="left"/>
      <w:lvlText w:val="(%1)"/>
      <w:numFmt w:val="decimal"/>
      <w:start w:val="7"/>
    </w:lvl>
  </w:abstractNum>
  <w:abstractNum w:abstractNumId="163">
    <w:nsid w:val="744939A3"/>
    <w:multiLevelType w:val="hybridMultilevel"/>
    <w:lvl w:ilvl="0">
      <w:lvlJc w:val="left"/>
      <w:lvlText w:val="(%1)"/>
      <w:numFmt w:val="decimal"/>
      <w:start w:val="13"/>
    </w:lvl>
  </w:abstractNum>
  <w:abstractNum w:abstractNumId="164">
    <w:nsid w:val="4FA0D2E3"/>
    <w:multiLevelType w:val="hybridMultilevel"/>
    <w:lvl w:ilvl="0">
      <w:lvlJc w:val="left"/>
      <w:lvlText w:val="(%1)"/>
      <w:numFmt w:val="decimal"/>
      <w:start w:val="1"/>
    </w:lvl>
  </w:abstractNum>
  <w:abstractNum w:abstractNumId="165">
    <w:nsid w:val="6B1D2C14"/>
    <w:multiLevelType w:val="hybridMultilevel"/>
    <w:lvl w:ilvl="0">
      <w:lvlJc w:val="left"/>
      <w:lvlText w:val="(%1)"/>
      <w:numFmt w:val="decimal"/>
      <w:start w:val="1"/>
    </w:lvl>
  </w:abstractNum>
  <w:abstractNum w:abstractNumId="166">
    <w:nsid w:val="68B867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2026-06-12T15:49:49Z</dcterms:created>
  <dcterms:modified xsi:type="dcterms:W3CDTF">2026-06-12T15:49:49Z</dcterms:modified>
</cp:coreProperties>
</file>