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ind w:right="-993"/>
        <w:spacing w:after="0"/>
        <w:rPr>
          <w:sz w:val="20"/>
          <w:szCs w:val="20"/>
          <w:color w:val="auto"/>
        </w:rPr>
      </w:pPr>
      <w:r>
        <w:rPr>
          <w:rFonts w:ascii="Arial" w:cs="Arial" w:eastAsia="Arial" w:hAnsi="Arial"/>
          <w:sz w:val="32"/>
          <w:szCs w:val="32"/>
          <w:b w:val="1"/>
          <w:bCs w:val="1"/>
          <w:color w:val="auto"/>
        </w:rPr>
        <w:t>SECURITIES AND EXCHANGE COMMISSION</w:t>
      </w:r>
    </w:p>
    <w:p>
      <w:pPr>
        <w:spacing w:after="0" w:line="20" w:lineRule="exact"/>
        <w:rPr>
          <w:sz w:val="24"/>
          <w:szCs w:val="24"/>
          <w:color w:val="auto"/>
        </w:rPr>
      </w:pPr>
    </w:p>
    <w:p>
      <w:pPr>
        <w:ind w:left="4354"/>
        <w:spacing w:after="0"/>
        <w:rPr>
          <w:sz w:val="20"/>
          <w:szCs w:val="20"/>
          <w:color w:val="auto"/>
        </w:rPr>
      </w:pPr>
      <w:r>
        <w:rPr>
          <w:rFonts w:ascii="Arial" w:cs="Arial" w:eastAsia="Arial" w:hAnsi="Arial"/>
          <w:sz w:val="22"/>
          <w:szCs w:val="22"/>
          <w:b w:val="1"/>
          <w:bCs w:val="1"/>
          <w:color w:val="auto"/>
        </w:rPr>
        <w:t>Washington, D.C. 20549</w:t>
      </w:r>
    </w:p>
    <w:p>
      <w:pPr>
        <w:ind w:left="4334"/>
        <w:spacing w:after="0"/>
        <w:rPr>
          <w:sz w:val="20"/>
          <w:szCs w:val="20"/>
          <w:color w:val="auto"/>
        </w:rPr>
      </w:pPr>
      <w:r>
        <w:rPr>
          <w:rFonts w:ascii="Arial" w:cs="Arial" w:eastAsia="Arial" w:hAnsi="Arial"/>
          <w:sz w:val="11"/>
          <w:szCs w:val="11"/>
          <w:b w:val="1"/>
          <w:bCs w:val="1"/>
          <w:color w:val="auto"/>
        </w:rPr>
        <w:t>__________________________________________</w:t>
      </w:r>
    </w:p>
    <w:p>
      <w:pPr>
        <w:spacing w:after="0" w:line="90" w:lineRule="exact"/>
        <w:rPr>
          <w:sz w:val="24"/>
          <w:szCs w:val="24"/>
          <w:color w:val="auto"/>
        </w:rPr>
      </w:pPr>
    </w:p>
    <w:p>
      <w:pPr>
        <w:jc w:val="center"/>
        <w:ind w:right="-953"/>
        <w:spacing w:after="0"/>
        <w:rPr>
          <w:sz w:val="20"/>
          <w:szCs w:val="20"/>
          <w:color w:val="auto"/>
        </w:rPr>
      </w:pPr>
      <w:r>
        <w:rPr>
          <w:rFonts w:ascii="Arial" w:cs="Arial" w:eastAsia="Arial" w:hAnsi="Arial"/>
          <w:sz w:val="32"/>
          <w:szCs w:val="32"/>
          <w:b w:val="1"/>
          <w:bCs w:val="1"/>
          <w:color w:val="auto"/>
        </w:rPr>
        <w:t>FORM 8-K</w:t>
      </w:r>
    </w:p>
    <w:p>
      <w:pPr>
        <w:spacing w:after="0" w:line="51" w:lineRule="exact"/>
        <w:rPr>
          <w:sz w:val="24"/>
          <w:szCs w:val="24"/>
          <w:color w:val="auto"/>
        </w:rPr>
      </w:pPr>
    </w:p>
    <w:p>
      <w:pPr>
        <w:ind w:left="4334"/>
        <w:spacing w:after="0"/>
        <w:rPr>
          <w:sz w:val="20"/>
          <w:szCs w:val="20"/>
          <w:color w:val="auto"/>
        </w:rPr>
      </w:pPr>
      <w:r>
        <w:rPr>
          <w:rFonts w:ascii="Arial" w:cs="Arial" w:eastAsia="Arial" w:hAnsi="Arial"/>
          <w:sz w:val="11"/>
          <w:szCs w:val="11"/>
          <w:b w:val="1"/>
          <w:bCs w:val="1"/>
          <w:color w:val="auto"/>
        </w:rPr>
        <w:t>__________________________________________</w:t>
      </w:r>
    </w:p>
    <w:p>
      <w:pPr>
        <w:spacing w:after="0" w:line="240" w:lineRule="exact"/>
        <w:rPr>
          <w:sz w:val="24"/>
          <w:szCs w:val="24"/>
          <w:color w:val="auto"/>
        </w:rPr>
      </w:pPr>
    </w:p>
    <w:p>
      <w:pPr>
        <w:jc w:val="center"/>
        <w:ind w:right="-993"/>
        <w:spacing w:after="0"/>
        <w:rPr>
          <w:sz w:val="20"/>
          <w:szCs w:val="20"/>
          <w:color w:val="auto"/>
        </w:rPr>
      </w:pPr>
      <w:r>
        <w:rPr>
          <w:rFonts w:ascii="Arial" w:cs="Arial" w:eastAsia="Arial" w:hAnsi="Arial"/>
          <w:sz w:val="22"/>
          <w:szCs w:val="22"/>
          <w:b w:val="1"/>
          <w:bCs w:val="1"/>
          <w:color w:val="auto"/>
        </w:rPr>
        <w:t>CURRENT REPORT</w:t>
      </w:r>
    </w:p>
    <w:p>
      <w:pPr>
        <w:spacing w:after="0" w:line="26" w:lineRule="exact"/>
        <w:rPr>
          <w:sz w:val="24"/>
          <w:szCs w:val="24"/>
          <w:color w:val="auto"/>
        </w:rPr>
      </w:pPr>
    </w:p>
    <w:p>
      <w:pPr>
        <w:jc w:val="center"/>
        <w:ind w:right="-993"/>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99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11" w:lineRule="exact"/>
        <w:rPr>
          <w:sz w:val="24"/>
          <w:szCs w:val="24"/>
          <w:color w:val="auto"/>
        </w:rPr>
      </w:pPr>
    </w:p>
    <w:p>
      <w:pPr>
        <w:jc w:val="center"/>
        <w:ind w:right="-993"/>
        <w:spacing w:after="0"/>
        <w:rPr>
          <w:sz w:val="20"/>
          <w:szCs w:val="20"/>
          <w:color w:val="auto"/>
        </w:rPr>
      </w:pPr>
      <w:r>
        <w:rPr>
          <w:rFonts w:ascii="Arial" w:cs="Arial" w:eastAsia="Arial" w:hAnsi="Arial"/>
          <w:sz w:val="22"/>
          <w:szCs w:val="22"/>
          <w:b w:val="1"/>
          <w:bCs w:val="1"/>
          <w:color w:val="auto"/>
        </w:rPr>
        <w:t>Date of report (date of earliest event reported): October 29, 2026</w:t>
      </w:r>
    </w:p>
    <w:p>
      <w:pPr>
        <w:spacing w:after="0" w:line="15" w:lineRule="exact"/>
        <w:rPr>
          <w:sz w:val="24"/>
          <w:szCs w:val="24"/>
          <w:color w:val="auto"/>
        </w:rPr>
      </w:pPr>
    </w:p>
    <w:p>
      <w:pPr>
        <w:ind w:left="4334"/>
        <w:spacing w:after="0"/>
        <w:rPr>
          <w:sz w:val="20"/>
          <w:szCs w:val="20"/>
          <w:color w:val="auto"/>
        </w:rPr>
      </w:pPr>
      <w:r>
        <w:rPr>
          <w:rFonts w:ascii="Arial" w:cs="Arial" w:eastAsia="Arial" w:hAnsi="Arial"/>
          <w:sz w:val="11"/>
          <w:szCs w:val="11"/>
          <w:b w:val="1"/>
          <w:bCs w:val="1"/>
          <w:color w:val="auto"/>
        </w:rPr>
        <w:t>__________________________________________</w:t>
      </w:r>
    </w:p>
    <w:p>
      <w:pPr>
        <w:spacing w:after="0" w:line="76" w:lineRule="exact"/>
        <w:rPr>
          <w:sz w:val="24"/>
          <w:szCs w:val="24"/>
          <w:color w:val="auto"/>
        </w:rPr>
      </w:pPr>
    </w:p>
    <w:p>
      <w:pPr>
        <w:jc w:val="center"/>
        <w:ind w:right="-993"/>
        <w:spacing w:after="0"/>
        <w:rPr>
          <w:sz w:val="20"/>
          <w:szCs w:val="20"/>
          <w:color w:val="auto"/>
        </w:rPr>
      </w:pPr>
      <w:r>
        <w:rPr>
          <w:rFonts w:ascii="Arial" w:cs="Arial" w:eastAsia="Arial" w:hAnsi="Arial"/>
          <w:sz w:val="43"/>
          <w:szCs w:val="43"/>
          <w:b w:val="1"/>
          <w:bCs w:val="1"/>
          <w:color w:val="auto"/>
        </w:rPr>
        <w:t>NOBLE CORPORATION plc</w:t>
      </w:r>
    </w:p>
    <w:p>
      <w:pPr>
        <w:spacing w:after="0" w:line="61" w:lineRule="exact"/>
        <w:rPr>
          <w:sz w:val="24"/>
          <w:szCs w:val="24"/>
          <w:color w:val="auto"/>
        </w:rPr>
      </w:pPr>
    </w:p>
    <w:p>
      <w:pPr>
        <w:ind w:left="3374"/>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0194"/>
          </w:cols>
          <w:pgMar w:left="346" w:top="1230" w:right="1359" w:bottom="1440" w:gutter="0" w:footer="0" w:header="0"/>
        </w:sectPr>
      </w:pPr>
    </w:p>
    <w:p>
      <w:pPr>
        <w:spacing w:after="0" w:line="113" w:lineRule="exact"/>
        <w:rPr>
          <w:sz w:val="24"/>
          <w:szCs w:val="24"/>
          <w:color w:val="auto"/>
        </w:rPr>
      </w:pPr>
    </w:p>
    <w:p>
      <w:pPr>
        <w:jc w:val="center"/>
        <w:ind w:left="674"/>
        <w:spacing w:after="0"/>
        <w:rPr>
          <w:sz w:val="20"/>
          <w:szCs w:val="20"/>
          <w:color w:val="auto"/>
        </w:rPr>
      </w:pPr>
      <w:r>
        <w:rPr>
          <w:rFonts w:ascii="Arial" w:cs="Arial" w:eastAsia="Arial" w:hAnsi="Arial"/>
          <w:sz w:val="18"/>
          <w:szCs w:val="18"/>
          <w:b w:val="1"/>
          <w:bCs w:val="1"/>
          <w:color w:val="auto"/>
        </w:rPr>
        <w:t>England and Wales</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jc w:val="center"/>
        <w:ind w:right="1180"/>
        <w:spacing w:after="0"/>
        <w:rPr>
          <w:sz w:val="20"/>
          <w:szCs w:val="20"/>
          <w:color w:val="auto"/>
        </w:rPr>
      </w:pPr>
      <w:r>
        <w:rPr>
          <w:rFonts w:ascii="Arial" w:cs="Arial" w:eastAsia="Arial" w:hAnsi="Arial"/>
          <w:sz w:val="17"/>
          <w:szCs w:val="17"/>
          <w:b w:val="1"/>
          <w:bCs w:val="1"/>
          <w:color w:val="auto"/>
        </w:rPr>
        <w:t>001-41520</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98-1644664</w:t>
      </w:r>
    </w:p>
    <w:p>
      <w:pPr>
        <w:spacing w:after="0" w:line="97" w:lineRule="exact"/>
        <w:rPr>
          <w:sz w:val="24"/>
          <w:szCs w:val="24"/>
          <w:color w:val="auto"/>
        </w:rPr>
      </w:pPr>
    </w:p>
    <w:p>
      <w:pPr>
        <w:sectPr>
          <w:pgSz w:w="11900" w:h="16838" w:orient="portrait"/>
          <w:cols w:equalWidth="0" w:num="3">
            <w:col w:w="4934" w:space="720"/>
            <w:col w:w="2040" w:space="720"/>
            <w:col w:w="1780"/>
          </w:cols>
          <w:pgMar w:left="346" w:top="1230" w:right="1359" w:bottom="1440" w:gutter="0" w:footer="0" w:header="0"/>
          <w:type w:val="continuous"/>
        </w:sectPr>
      </w:pPr>
    </w:p>
    <w:p>
      <w:pPr>
        <w:ind w:left="1314"/>
        <w:spacing w:after="0"/>
        <w:rPr>
          <w:sz w:val="20"/>
          <w:szCs w:val="20"/>
          <w:color w:val="auto"/>
        </w:rPr>
      </w:pPr>
      <w:r>
        <w:rPr>
          <w:rFonts w:ascii="Arial" w:cs="Arial" w:eastAsia="Arial" w:hAnsi="Arial"/>
          <w:sz w:val="14"/>
          <w:szCs w:val="14"/>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(I.R.S. employer identification no.)</w:t>
      </w:r>
    </w:p>
    <w:p>
      <w:pPr>
        <w:spacing w:after="0" w:line="153" w:lineRule="exact"/>
        <w:rPr>
          <w:sz w:val="24"/>
          <w:szCs w:val="24"/>
          <w:color w:val="auto"/>
        </w:rPr>
      </w:pPr>
    </w:p>
    <w:p>
      <w:pPr>
        <w:sectPr>
          <w:pgSz w:w="11900" w:h="16838" w:orient="portrait"/>
          <w:cols w:equalWidth="0" w:num="3">
            <w:col w:w="4474" w:space="720"/>
            <w:col w:w="1800" w:space="720"/>
            <w:col w:w="2480"/>
          </w:cols>
          <w:pgMar w:left="346" w:top="1230" w:right="1359" w:bottom="1440" w:gutter="0" w:footer="0" w:header="0"/>
          <w:type w:val="continuous"/>
        </w:sectPr>
      </w:pPr>
    </w:p>
    <w:p>
      <w:pPr>
        <w:spacing w:after="0" w:line="41" w:lineRule="exact"/>
        <w:rPr>
          <w:sz w:val="24"/>
          <w:szCs w:val="24"/>
          <w:color w:val="auto"/>
        </w:rPr>
      </w:pPr>
    </w:p>
    <w:p>
      <w:pPr>
        <w:ind w:left="2554"/>
        <w:spacing w:after="0"/>
        <w:tabs>
          <w:tab w:leader="none" w:pos="5954" w:val="left"/>
        </w:tabs>
        <w:rPr>
          <w:sz w:val="20"/>
          <w:szCs w:val="20"/>
          <w:color w:val="auto"/>
        </w:rPr>
      </w:pPr>
      <w:r>
        <w:rPr>
          <w:rFonts w:ascii="Arial" w:cs="Arial" w:eastAsia="Arial" w:hAnsi="Arial"/>
          <w:sz w:val="18"/>
          <w:szCs w:val="18"/>
          <w:b w:val="1"/>
          <w:bCs w:val="1"/>
          <w:color w:val="auto"/>
        </w:rPr>
        <w:t>2101 CityWest Boulevard, Suite 600,</w:t>
      </w:r>
      <w:r>
        <w:rPr>
          <w:sz w:val="20"/>
          <w:szCs w:val="20"/>
          <w:color w:val="auto"/>
        </w:rPr>
        <w:tab/>
      </w:r>
      <w:r>
        <w:rPr>
          <w:rFonts w:ascii="Arial" w:cs="Arial" w:eastAsia="Arial" w:hAnsi="Arial"/>
          <w:sz w:val="18"/>
          <w:szCs w:val="18"/>
          <w:b w:val="1"/>
          <w:bCs w:val="1"/>
          <w:color w:val="auto"/>
        </w:rPr>
        <w:t>Houston,</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Texas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77042</w:t>
      </w:r>
    </w:p>
    <w:p>
      <w:pPr>
        <w:spacing w:after="0" w:line="92" w:lineRule="exact"/>
        <w:rPr>
          <w:sz w:val="24"/>
          <w:szCs w:val="24"/>
          <w:color w:val="auto"/>
        </w:rPr>
      </w:pPr>
    </w:p>
    <w:p>
      <w:pPr>
        <w:sectPr>
          <w:pgSz w:w="11900" w:h="16838" w:orient="portrait"/>
          <w:cols w:equalWidth="0" w:num="3">
            <w:col w:w="6754" w:space="640"/>
            <w:col w:w="480" w:space="460"/>
            <w:col w:w="1860"/>
          </w:cols>
          <w:pgMar w:left="346" w:top="1230" w:right="1359" w:bottom="1440" w:gutter="0" w:footer="0" w:header="0"/>
          <w:type w:val="continuous"/>
        </w:sectPr>
      </w:pPr>
    </w:p>
    <w:p>
      <w:pPr>
        <w:ind w:left="3774"/>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(Zip code)</w:t>
      </w:r>
    </w:p>
    <w:p>
      <w:pPr>
        <w:spacing w:after="0" w:line="173" w:lineRule="exact"/>
        <w:rPr>
          <w:sz w:val="24"/>
          <w:szCs w:val="24"/>
          <w:color w:val="auto"/>
        </w:rPr>
      </w:pPr>
    </w:p>
    <w:p>
      <w:pPr>
        <w:sectPr>
          <w:pgSz w:w="11900" w:h="16838" w:orient="portrait"/>
          <w:cols w:equalWidth="0" w:num="2">
            <w:col w:w="7514" w:space="720"/>
            <w:col w:w="1960"/>
          </w:cols>
          <w:pgMar w:left="346" w:top="1230" w:right="1359" w:bottom="1440" w:gutter="0" w:footer="0" w:header="0"/>
          <w:type w:val="continuous"/>
        </w:sectPr>
      </w:pPr>
    </w:p>
    <w:p>
      <w:pPr>
        <w:jc w:val="center"/>
        <w:ind w:right="-993"/>
        <w:spacing w:after="0"/>
        <w:rPr>
          <w:sz w:val="20"/>
          <w:szCs w:val="20"/>
          <w:color w:val="auto"/>
        </w:rPr>
      </w:pPr>
      <w:r>
        <w:rPr>
          <w:rFonts w:ascii="Arial" w:cs="Arial" w:eastAsia="Arial" w:hAnsi="Arial"/>
          <w:sz w:val="18"/>
          <w:szCs w:val="18"/>
          <w:b w:val="1"/>
          <w:bCs w:val="1"/>
          <w:color w:val="auto"/>
        </w:rPr>
        <w:t>Registrant’s telephone number, including area code: (281) 276-6100</w:t>
      </w:r>
    </w:p>
    <w:p>
      <w:pPr>
        <w:spacing w:after="0" w:line="69" w:lineRule="exact"/>
        <w:rPr>
          <w:sz w:val="24"/>
          <w:szCs w:val="24"/>
          <w:color w:val="auto"/>
        </w:rPr>
      </w:pPr>
    </w:p>
    <w:p>
      <w:pPr>
        <w:ind w:left="4334"/>
        <w:spacing w:after="0"/>
        <w:rPr>
          <w:sz w:val="20"/>
          <w:szCs w:val="20"/>
          <w:color w:val="auto"/>
        </w:rPr>
      </w:pPr>
      <w:r>
        <w:rPr>
          <w:rFonts w:ascii="Arial" w:cs="Arial" w:eastAsia="Arial" w:hAnsi="Arial"/>
          <w:sz w:val="11"/>
          <w:szCs w:val="11"/>
          <w:b w:val="1"/>
          <w:bCs w:val="1"/>
          <w:color w:val="auto"/>
        </w:rPr>
        <w:t>__________________________________________</w:t>
      </w:r>
    </w:p>
    <w:p>
      <w:pPr>
        <w:spacing w:after="0" w:line="359" w:lineRule="exact"/>
        <w:rPr>
          <w:sz w:val="24"/>
          <w:szCs w:val="24"/>
          <w:color w:val="auto"/>
        </w:rPr>
      </w:pPr>
    </w:p>
    <w:p>
      <w:pPr>
        <w:ind w:left="1014" w:right="20"/>
        <w:spacing w:after="0" w:line="251"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223" w:lineRule="exact"/>
        <w:rPr>
          <w:sz w:val="24"/>
          <w:szCs w:val="24"/>
          <w:color w:val="auto"/>
        </w:rPr>
      </w:pPr>
    </w:p>
    <w:p>
      <w:pPr>
        <w:ind w:left="1594" w:hanging="588"/>
        <w:spacing w:after="0"/>
        <w:tabs>
          <w:tab w:leader="none" w:pos="1594" w:val="left"/>
        </w:tabs>
        <w:numPr>
          <w:ilvl w:val="1"/>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256" w:lineRule="exact"/>
        <w:rPr>
          <w:rFonts w:ascii="MS PGothic" w:cs="MS PGothic" w:eastAsia="MS PGothic" w:hAnsi="MS PGothic"/>
          <w:sz w:val="18"/>
          <w:szCs w:val="18"/>
          <w:color w:val="auto"/>
        </w:rPr>
      </w:pPr>
    </w:p>
    <w:p>
      <w:pPr>
        <w:ind w:left="1594" w:hanging="588"/>
        <w:spacing w:after="0"/>
        <w:tabs>
          <w:tab w:leader="none" w:pos="1594" w:val="left"/>
        </w:tabs>
        <w:numPr>
          <w:ilvl w:val="1"/>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189" w:lineRule="exact"/>
        <w:rPr>
          <w:rFonts w:ascii="MS PGothic" w:cs="MS PGothic" w:eastAsia="MS PGothic" w:hAnsi="MS PGothic"/>
          <w:sz w:val="18"/>
          <w:szCs w:val="18"/>
          <w:color w:val="auto"/>
        </w:rPr>
      </w:pPr>
    </w:p>
    <w:p>
      <w:pPr>
        <w:ind w:left="594" w:hanging="594"/>
        <w:spacing w:after="0"/>
        <w:tabs>
          <w:tab w:leader="none" w:pos="594"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56" w:lineRule="exact"/>
        <w:rPr>
          <w:rFonts w:ascii="MS PGothic" w:cs="MS PGothic" w:eastAsia="MS PGothic" w:hAnsi="MS PGothic"/>
          <w:sz w:val="18"/>
          <w:szCs w:val="18"/>
          <w:color w:val="auto"/>
        </w:rPr>
      </w:pPr>
    </w:p>
    <w:p>
      <w:pPr>
        <w:ind w:left="594" w:hanging="594"/>
        <w:spacing w:after="0" w:line="205" w:lineRule="auto"/>
        <w:tabs>
          <w:tab w:leader="none" w:pos="594" w:val="left"/>
        </w:tabs>
        <w:numPr>
          <w:ilvl w:val="0"/>
          <w:numId w:val="1"/>
        </w:numPr>
        <w:rPr>
          <w:rFonts w:ascii="MS PGothic" w:cs="MS PGothic" w:eastAsia="MS PGothic" w:hAnsi="MS PGothic"/>
          <w:sz w:val="36"/>
          <w:szCs w:val="36"/>
          <w:color w:val="auto"/>
          <w:vertAlign w:val="subscript"/>
        </w:rPr>
      </w:pPr>
      <w:r>
        <w:rPr>
          <w:rFonts w:ascii="Arial" w:cs="Arial" w:eastAsia="Arial" w:hAnsi="Arial"/>
          <w:sz w:val="16"/>
          <w:szCs w:val="16"/>
          <w:color w:val="auto"/>
        </w:rPr>
        <w:t>Pre-commencement communications pursuant to Rule 13e-4(c) under the Exchange Act (17 CFR 240.13e-4(c))</w:t>
      </w:r>
    </w:p>
    <w:p>
      <w:pPr>
        <w:spacing w:after="0" w:line="379" w:lineRule="exact"/>
        <w:rPr>
          <w:sz w:val="24"/>
          <w:szCs w:val="24"/>
          <w:color w:val="auto"/>
        </w:rPr>
      </w:pPr>
    </w:p>
    <w:p>
      <w:pPr>
        <w:ind w:left="3534"/>
        <w:spacing w:after="0"/>
        <w:rPr>
          <w:sz w:val="20"/>
          <w:szCs w:val="20"/>
          <w:color w:val="auto"/>
        </w:rPr>
      </w:pPr>
      <w:r>
        <w:rPr>
          <w:rFonts w:ascii="Arial" w:cs="Arial" w:eastAsia="Arial" w:hAnsi="Arial"/>
          <w:sz w:val="16"/>
          <w:szCs w:val="16"/>
          <w:color w:val="auto"/>
        </w:rPr>
        <w:t>Securities registered pursuant to Section 12(b) of the Act:</w:t>
      </w:r>
    </w:p>
    <w:p>
      <w:pPr>
        <w:spacing w:after="0" w:line="46" w:lineRule="exact"/>
        <w:rPr>
          <w:sz w:val="24"/>
          <w:szCs w:val="24"/>
          <w:color w:val="auto"/>
        </w:rPr>
      </w:pPr>
    </w:p>
    <w:tbl>
      <w:tblPr>
        <w:tblLayout w:type="fixed"/>
        <w:tblInd w:w="1154" w:type="dxa"/>
        <w:tblCellMar>
          <w:top w:w="0" w:type="dxa"/>
          <w:left w:w="0" w:type="dxa"/>
          <w:bottom w:w="0" w:type="dxa"/>
          <w:right w:w="0" w:type="dxa"/>
        </w:tblCellMar>
      </w:tblPr>
      <w:tr>
        <w:trPr>
          <w:trHeight w:val="215"/>
        </w:trPr>
        <w:tc>
          <w:tcPr>
            <w:tcW w:w="3640" w:type="dxa"/>
            <w:vAlign w:val="bottom"/>
            <w:vMerge w:val="restart"/>
          </w:tcPr>
          <w:p>
            <w:pPr>
              <w:jc w:val="center"/>
              <w:ind w:right="266"/>
              <w:spacing w:after="0"/>
              <w:rPr>
                <w:sz w:val="20"/>
                <w:szCs w:val="20"/>
                <w:color w:val="auto"/>
              </w:rPr>
            </w:pPr>
            <w:r>
              <w:rPr>
                <w:rFonts w:ascii="Arial" w:cs="Arial" w:eastAsia="Arial" w:hAnsi="Arial"/>
                <w:sz w:val="16"/>
                <w:szCs w:val="16"/>
                <w:color w:val="auto"/>
              </w:rPr>
              <w:t>Title of each class</w:t>
            </w:r>
          </w:p>
        </w:tc>
        <w:tc>
          <w:tcPr>
            <w:tcW w:w="1920" w:type="dxa"/>
            <w:vAlign w:val="bottom"/>
            <w:vMerge w:val="restart"/>
          </w:tcPr>
          <w:p>
            <w:pPr>
              <w:jc w:val="center"/>
              <w:ind w:left="6"/>
              <w:spacing w:after="0"/>
              <w:rPr>
                <w:sz w:val="20"/>
                <w:szCs w:val="20"/>
                <w:color w:val="auto"/>
              </w:rPr>
            </w:pPr>
            <w:r>
              <w:rPr>
                <w:rFonts w:ascii="Arial" w:cs="Arial" w:eastAsia="Arial" w:hAnsi="Arial"/>
                <w:sz w:val="16"/>
                <w:szCs w:val="16"/>
                <w:color w:val="auto"/>
              </w:rPr>
              <w:t>Trading Symbol(s)</w:t>
            </w:r>
          </w:p>
        </w:tc>
        <w:tc>
          <w:tcPr>
            <w:tcW w:w="3480" w:type="dxa"/>
            <w:vAlign w:val="bottom"/>
          </w:tcPr>
          <w:p>
            <w:pPr>
              <w:jc w:val="center"/>
              <w:ind w:left="186"/>
              <w:spacing w:after="0"/>
              <w:rPr>
                <w:sz w:val="20"/>
                <w:szCs w:val="20"/>
                <w:color w:val="auto"/>
              </w:rPr>
            </w:pPr>
            <w:r>
              <w:rPr>
                <w:rFonts w:ascii="Arial" w:cs="Arial" w:eastAsia="Arial" w:hAnsi="Arial"/>
                <w:sz w:val="16"/>
                <w:szCs w:val="16"/>
                <w:color w:val="auto"/>
              </w:rPr>
              <w:t>Name of each exchange on which registered</w:t>
            </w:r>
          </w:p>
        </w:tc>
        <w:tc>
          <w:tcPr>
            <w:tcW w:w="0" w:type="dxa"/>
            <w:vAlign w:val="bottom"/>
          </w:tcPr>
          <w:p>
            <w:pPr>
              <w:spacing w:after="0"/>
              <w:rPr>
                <w:sz w:val="1"/>
                <w:szCs w:val="1"/>
                <w:color w:val="auto"/>
              </w:rPr>
            </w:pPr>
          </w:p>
        </w:tc>
      </w:tr>
      <w:tr>
        <w:trPr>
          <w:trHeight w:val="162"/>
        </w:trPr>
        <w:tc>
          <w:tcPr>
            <w:tcW w:w="3640" w:type="dxa"/>
            <w:vAlign w:val="bottom"/>
            <w:vMerge w:val="continue"/>
          </w:tcPr>
          <w:p>
            <w:pPr>
              <w:spacing w:after="0"/>
              <w:rPr>
                <w:sz w:val="14"/>
                <w:szCs w:val="14"/>
                <w:color w:val="auto"/>
              </w:rPr>
            </w:pPr>
          </w:p>
        </w:tc>
        <w:tc>
          <w:tcPr>
            <w:tcW w:w="1920" w:type="dxa"/>
            <w:vAlign w:val="bottom"/>
            <w:vMerge w:val="continue"/>
          </w:tcPr>
          <w:p>
            <w:pPr>
              <w:spacing w:after="0"/>
              <w:rPr>
                <w:sz w:val="14"/>
                <w:szCs w:val="14"/>
                <w:color w:val="auto"/>
              </w:rPr>
            </w:pPr>
          </w:p>
        </w:tc>
        <w:tc>
          <w:tcPr>
            <w:tcW w:w="3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640" w:type="dxa"/>
            <w:vAlign w:val="bottom"/>
          </w:tcPr>
          <w:p>
            <w:pPr>
              <w:jc w:val="center"/>
              <w:ind w:right="266"/>
              <w:spacing w:after="0"/>
              <w:rPr>
                <w:sz w:val="20"/>
                <w:szCs w:val="20"/>
                <w:color w:val="auto"/>
              </w:rPr>
            </w:pPr>
            <w:r>
              <w:rPr>
                <w:rFonts w:ascii="Arial" w:cs="Arial" w:eastAsia="Arial" w:hAnsi="Arial"/>
                <w:sz w:val="14"/>
                <w:szCs w:val="14"/>
                <w:b w:val="1"/>
                <w:bCs w:val="1"/>
                <w:color w:val="auto"/>
              </w:rPr>
              <w:t>A Ordinary Shares, par value $0.00001 per share</w:t>
            </w:r>
          </w:p>
        </w:tc>
        <w:tc>
          <w:tcPr>
            <w:tcW w:w="1920" w:type="dxa"/>
            <w:vAlign w:val="bottom"/>
          </w:tcPr>
          <w:p>
            <w:pPr>
              <w:jc w:val="center"/>
              <w:ind w:left="6"/>
              <w:spacing w:after="0"/>
              <w:rPr>
                <w:sz w:val="20"/>
                <w:szCs w:val="20"/>
                <w:color w:val="auto"/>
              </w:rPr>
            </w:pPr>
            <w:r>
              <w:rPr>
                <w:rFonts w:ascii="Arial" w:cs="Arial" w:eastAsia="Arial" w:hAnsi="Arial"/>
                <w:sz w:val="14"/>
                <w:szCs w:val="14"/>
                <w:b w:val="1"/>
                <w:bCs w:val="1"/>
                <w:color w:val="auto"/>
              </w:rPr>
              <w:t>NE</w:t>
            </w:r>
          </w:p>
        </w:tc>
        <w:tc>
          <w:tcPr>
            <w:tcW w:w="3480" w:type="dxa"/>
            <w:vAlign w:val="bottom"/>
          </w:tcPr>
          <w:p>
            <w:pPr>
              <w:jc w:val="center"/>
              <w:ind w:left="166"/>
              <w:spacing w:after="0"/>
              <w:rPr>
                <w:sz w:val="20"/>
                <w:szCs w:val="20"/>
                <w:color w:val="auto"/>
              </w:rPr>
            </w:pPr>
            <w:r>
              <w:rPr>
                <w:rFonts w:ascii="Arial" w:cs="Arial" w:eastAsia="Arial" w:hAnsi="Arial"/>
                <w:sz w:val="14"/>
                <w:szCs w:val="14"/>
                <w:b w:val="1"/>
                <w:bCs w:val="1"/>
                <w:color w:val="auto"/>
              </w:rPr>
              <w:t>New York Stock Exchange</w:t>
            </w:r>
          </w:p>
        </w:tc>
        <w:tc>
          <w:tcPr>
            <w:tcW w:w="0" w:type="dxa"/>
            <w:vAlign w:val="bottom"/>
          </w:tcPr>
          <w:p>
            <w:pPr>
              <w:spacing w:after="0"/>
              <w:rPr>
                <w:sz w:val="1"/>
                <w:szCs w:val="1"/>
                <w:color w:val="auto"/>
              </w:rPr>
            </w:pPr>
          </w:p>
        </w:tc>
      </w:tr>
      <w:tr>
        <w:trPr>
          <w:trHeight w:val="216"/>
        </w:trPr>
        <w:tc>
          <w:tcPr>
            <w:tcW w:w="3640" w:type="dxa"/>
            <w:vAlign w:val="bottom"/>
          </w:tcPr>
          <w:p>
            <w:pPr>
              <w:jc w:val="center"/>
              <w:ind w:right="266"/>
              <w:spacing w:after="0"/>
              <w:rPr>
                <w:sz w:val="20"/>
                <w:szCs w:val="20"/>
                <w:color w:val="auto"/>
              </w:rPr>
            </w:pPr>
            <w:r>
              <w:rPr>
                <w:rFonts w:ascii="Arial" w:cs="Arial" w:eastAsia="Arial" w:hAnsi="Arial"/>
                <w:sz w:val="14"/>
                <w:szCs w:val="14"/>
                <w:b w:val="1"/>
                <w:bCs w:val="1"/>
                <w:color w:val="auto"/>
              </w:rPr>
              <w:t>Tranche 1 Warrants of Noble Corporation plc</w:t>
            </w: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rPr>
              <w:t>NE WS</w:t>
            </w:r>
          </w:p>
        </w:tc>
        <w:tc>
          <w:tcPr>
            <w:tcW w:w="3480" w:type="dxa"/>
            <w:vAlign w:val="bottom"/>
          </w:tcPr>
          <w:p>
            <w:pPr>
              <w:jc w:val="center"/>
              <w:ind w:left="166"/>
              <w:spacing w:after="0"/>
              <w:rPr>
                <w:sz w:val="20"/>
                <w:szCs w:val="20"/>
                <w:color w:val="auto"/>
              </w:rPr>
            </w:pPr>
            <w:r>
              <w:rPr>
                <w:rFonts w:ascii="Arial" w:cs="Arial" w:eastAsia="Arial" w:hAnsi="Arial"/>
                <w:sz w:val="14"/>
                <w:szCs w:val="14"/>
                <w:b w:val="1"/>
                <w:bCs w:val="1"/>
                <w:color w:val="auto"/>
              </w:rPr>
              <w:t>New York Stock Exchange</w:t>
            </w:r>
          </w:p>
        </w:tc>
        <w:tc>
          <w:tcPr>
            <w:tcW w:w="0" w:type="dxa"/>
            <w:vAlign w:val="bottom"/>
          </w:tcPr>
          <w:p>
            <w:pPr>
              <w:spacing w:after="0"/>
              <w:rPr>
                <w:sz w:val="1"/>
                <w:szCs w:val="1"/>
                <w:color w:val="auto"/>
              </w:rPr>
            </w:pPr>
          </w:p>
        </w:tc>
      </w:tr>
      <w:tr>
        <w:trPr>
          <w:trHeight w:val="216"/>
        </w:trPr>
        <w:tc>
          <w:tcPr>
            <w:tcW w:w="3640" w:type="dxa"/>
            <w:vAlign w:val="bottom"/>
          </w:tcPr>
          <w:p>
            <w:pPr>
              <w:jc w:val="center"/>
              <w:ind w:right="266"/>
              <w:spacing w:after="0"/>
              <w:rPr>
                <w:sz w:val="20"/>
                <w:szCs w:val="20"/>
                <w:color w:val="auto"/>
              </w:rPr>
            </w:pPr>
            <w:r>
              <w:rPr>
                <w:rFonts w:ascii="Arial" w:cs="Arial" w:eastAsia="Arial" w:hAnsi="Arial"/>
                <w:sz w:val="14"/>
                <w:szCs w:val="14"/>
                <w:b w:val="1"/>
                <w:bCs w:val="1"/>
                <w:color w:val="auto"/>
              </w:rPr>
              <w:t>Tranche 2 Warrants of Noble Corporation plc</w:t>
            </w: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rPr>
              <w:t>NE WSA</w:t>
            </w:r>
          </w:p>
        </w:tc>
        <w:tc>
          <w:tcPr>
            <w:tcW w:w="3480" w:type="dxa"/>
            <w:vAlign w:val="bottom"/>
          </w:tcPr>
          <w:p>
            <w:pPr>
              <w:jc w:val="center"/>
              <w:ind w:left="166"/>
              <w:spacing w:after="0"/>
              <w:rPr>
                <w:sz w:val="20"/>
                <w:szCs w:val="20"/>
                <w:color w:val="auto"/>
              </w:rPr>
            </w:pPr>
            <w:r>
              <w:rPr>
                <w:rFonts w:ascii="Arial" w:cs="Arial" w:eastAsia="Arial" w:hAnsi="Arial"/>
                <w:sz w:val="14"/>
                <w:szCs w:val="14"/>
                <w:b w:val="1"/>
                <w:bCs w:val="1"/>
                <w:color w:val="auto"/>
              </w:rPr>
              <w:t>New York Stock Exchange</w:t>
            </w:r>
          </w:p>
        </w:tc>
        <w:tc>
          <w:tcPr>
            <w:tcW w:w="0" w:type="dxa"/>
            <w:vAlign w:val="bottom"/>
          </w:tcPr>
          <w:p>
            <w:pPr>
              <w:spacing w:after="0"/>
              <w:rPr>
                <w:sz w:val="1"/>
                <w:szCs w:val="1"/>
                <w:color w:val="auto"/>
              </w:rPr>
            </w:pPr>
          </w:p>
        </w:tc>
      </w:tr>
    </w:tbl>
    <w:p>
      <w:pPr>
        <w:spacing w:after="0" w:line="258" w:lineRule="exact"/>
        <w:rPr>
          <w:sz w:val="24"/>
          <w:szCs w:val="24"/>
          <w:color w:val="auto"/>
        </w:rPr>
      </w:pPr>
    </w:p>
    <w:p>
      <w:pPr>
        <w:ind w:left="1014" w:right="260"/>
        <w:spacing w:after="0" w:line="251"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453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51" w:lineRule="exact"/>
        <w:rPr>
          <w:sz w:val="24"/>
          <w:szCs w:val="24"/>
          <w:color w:val="auto"/>
        </w:rPr>
      </w:pPr>
    </w:p>
    <w:p>
      <w:pPr>
        <w:ind w:left="1014"/>
        <w:spacing w:after="0" w:line="19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661670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94"/>
          </w:cols>
          <w:pgMar w:left="346" w:top="1230" w:right="1359" w:bottom="1440" w:gutter="0" w:footer="0" w:header="0"/>
          <w:type w:val="continuous"/>
        </w:sectPr>
      </w:pPr>
    </w:p>
    <w:bookmarkStart w:id="1" w:name="page2"/>
    <w:bookmarkEnd w:id="1"/>
    <w:p>
      <w:pPr>
        <w:jc w:val="both"/>
        <w:ind w:right="20"/>
        <w:spacing w:after="0" w:line="249"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577850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151" w:lineRule="exact"/>
        <w:rPr>
          <w:sz w:val="20"/>
          <w:szCs w:val="20"/>
          <w:color w:val="auto"/>
        </w:rPr>
      </w:pPr>
    </w:p>
    <w:p>
      <w:pPr>
        <w:jc w:val="both"/>
        <w:ind w:firstLine="446"/>
        <w:spacing w:after="0" w:line="268" w:lineRule="auto"/>
        <w:rPr>
          <w:sz w:val="20"/>
          <w:szCs w:val="20"/>
          <w:color w:val="auto"/>
        </w:rPr>
      </w:pPr>
      <w:r>
        <w:rPr>
          <w:rFonts w:ascii="Arial" w:cs="Arial" w:eastAsia="Arial" w:hAnsi="Arial"/>
          <w:sz w:val="18"/>
          <w:szCs w:val="18"/>
          <w:color w:val="auto"/>
        </w:rPr>
        <w:t>On October 29, 2026, Noble Corporation plc (the “Company”) promoted Joey M. Kawaja from Senior Vice President of Operations, a position he has held since October 2022, to Executive Vice President and Chief Operating Officer of the Company, effective November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2379345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180"/>
          </w:cols>
          <w:pgMar w:left="1360" w:top="1187" w:right="1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309" w:lineRule="exact"/>
        <w:rPr>
          <w:sz w:val="20"/>
          <w:szCs w:val="20"/>
          <w:color w:val="auto"/>
        </w:rPr>
      </w:pPr>
    </w:p>
    <w:p>
      <w:pPr>
        <w:ind w:firstLine="446"/>
        <w:spacing w:after="0"/>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NOBLE CORPORATION plc</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00"/>
        <w:spacing w:after="0"/>
        <w:tabs>
          <w:tab w:leader="none" w:pos="1000" w:val="left"/>
          <w:tab w:leader="none" w:pos="4920" w:val="left"/>
          <w:tab w:leader="none" w:pos="53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4,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Jennie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3313430</wp:posOffset>
            </wp:positionH>
            <wp:positionV relativeFrom="paragraph">
              <wp:posOffset>43180</wp:posOffset>
            </wp:positionV>
            <wp:extent cx="22288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57"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Jennie Howard</w:t>
      </w:r>
    </w:p>
    <w:p>
      <w:pPr>
        <w:spacing w:after="0" w:line="3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Senior Vice President, General Counsel</w:t>
      </w:r>
    </w:p>
    <w:p>
      <w:pPr>
        <w:ind w:left="5400"/>
        <w:spacing w:after="0"/>
        <w:rPr>
          <w:sz w:val="20"/>
          <w:szCs w:val="20"/>
          <w:color w:val="auto"/>
        </w:rPr>
      </w:pPr>
      <w:r>
        <w:rPr>
          <w:rFonts w:ascii="Arial" w:cs="Arial" w:eastAsia="Arial" w:hAnsi="Arial"/>
          <w:sz w:val="18"/>
          <w:szCs w:val="18"/>
          <w:color w:val="auto"/>
        </w:rPr>
        <w:t>and Corporate Secretary</w:t>
      </w:r>
    </w:p>
    <w:sectPr>
      <w:pgSz w:w="11900" w:h="16838" w:orient="portrait"/>
      <w:cols w:equalWidth="0" w:num="1">
        <w:col w:w="9180"/>
      </w:cols>
      <w:pgMar w:left="1360" w:top="688" w:right="1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2026-11-04T15:51:08Z</dcterms:created>
  <dcterms:modified xsi:type="dcterms:W3CDTF">2026-11-04T15:51:08Z</dcterms:modified>
</cp:coreProperties>
</file>