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1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80" w:type="dxa"/>
            <w:vAlign w:val="bottom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5328920</wp:posOffset>
            </wp:positionH>
            <wp:positionV relativeFrom="paragraph">
              <wp:posOffset>-631825</wp:posOffset>
            </wp:positionV>
            <wp:extent cx="58420" cy="645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4039235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-1571625</wp:posOffset>
            </wp:positionH>
            <wp:positionV relativeFrom="paragraph">
              <wp:posOffset>24130</wp:posOffset>
            </wp:positionV>
            <wp:extent cx="7045960" cy="4959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380"/>
            <w:col w:w="86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Pickard Ann Darlene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13135 DAIRY ASHFORD, SUITE 800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01/26/2024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4,528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9,498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(RSU) will vest one year from the date of grant. 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01/30/2024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59701" TargetMode="External"/><Relationship Id="rId12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2024-01-30T16:04:15Z</dcterms:created>
  <dcterms:modified xsi:type="dcterms:W3CDTF">2024-01-30T16:04:15Z</dcterms:modified>
</cp:coreProperties>
</file>