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-230505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-669290</wp:posOffset>
            </wp:positionV>
            <wp:extent cx="124460" cy="124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5277485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4001770</wp:posOffset>
            </wp:positionH>
            <wp:positionV relativeFrom="paragraph">
              <wp:posOffset>-633095</wp:posOffset>
            </wp:positionV>
            <wp:extent cx="58420" cy="646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753745</wp:posOffset>
            </wp:positionV>
            <wp:extent cx="7045960" cy="4655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5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BERGOO ERIK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2101 CITYWEST BOULEVARD,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7" w:right="600" w:firstLine="7"/>
        <w:spacing w:after="0" w:line="26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7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7"/>
            <w:col w:w="3353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3,159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240" w:firstLine="4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one year from the date of grant. Upon vesting, the RSUs will become payable 60% in A Ordinary Shares on a 1 for 1 basis and 40% in cash based on the cash value of the underlying A Ordinary Shares on the date of vesting.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P. Howard,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-27305</wp:posOffset>
            </wp:positionV>
            <wp:extent cx="13519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-19050</wp:posOffset>
            </wp:positionV>
            <wp:extent cx="3048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5586095</wp:posOffset>
            </wp:positionH>
            <wp:positionV relativeFrom="paragraph">
              <wp:posOffset>-85725</wp:posOffset>
            </wp:positionV>
            <wp:extent cx="490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31790" TargetMode="External"/><Relationship Id="rId14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2026-05-01T18:49:48Z</dcterms:created>
  <dcterms:modified xsi:type="dcterms:W3CDTF">2026-05-01T18:49:48Z</dcterms:modified>
</cp:coreProperties>
</file>