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993"/>
        <w:spacing w:after="0"/>
        <w:rPr>
          <w:sz w:val="20"/>
          <w:szCs w:val="20"/>
          <w:color w:val="auto"/>
        </w:rPr>
      </w:pPr>
      <w:r>
        <w:rPr>
          <w:rFonts w:ascii="Arial" w:cs="Arial" w:eastAsia="Arial" w:hAnsi="Arial"/>
          <w:sz w:val="32"/>
          <w:szCs w:val="32"/>
          <w:b w:val="1"/>
          <w:bCs w:val="1"/>
          <w:color w:val="auto"/>
        </w:rPr>
        <w:t>SECURITIES AND EXCHANGE COMMISSION</w:t>
      </w:r>
    </w:p>
    <w:p>
      <w:pPr>
        <w:spacing w:after="0" w:line="20" w:lineRule="exact"/>
        <w:rPr>
          <w:sz w:val="24"/>
          <w:szCs w:val="24"/>
          <w:color w:val="auto"/>
        </w:rPr>
      </w:pPr>
    </w:p>
    <w:p>
      <w:pPr>
        <w:ind w:left="4354"/>
        <w:spacing w:after="0"/>
        <w:rPr>
          <w:sz w:val="20"/>
          <w:szCs w:val="20"/>
          <w:color w:val="auto"/>
        </w:rPr>
      </w:pPr>
      <w:r>
        <w:rPr>
          <w:rFonts w:ascii="Arial" w:cs="Arial" w:eastAsia="Arial" w:hAnsi="Arial"/>
          <w:sz w:val="22"/>
          <w:szCs w:val="22"/>
          <w:b w:val="1"/>
          <w:bCs w:val="1"/>
          <w:color w:val="auto"/>
        </w:rPr>
        <w:t>Washington, D.C. 20549</w:t>
      </w:r>
    </w:p>
    <w:p>
      <w:pPr>
        <w:ind w:left="4334"/>
        <w:spacing w:after="0"/>
        <w:rPr>
          <w:sz w:val="20"/>
          <w:szCs w:val="20"/>
          <w:color w:val="auto"/>
        </w:rPr>
      </w:pPr>
      <w:r>
        <w:rPr>
          <w:rFonts w:ascii="Arial" w:cs="Arial" w:eastAsia="Arial" w:hAnsi="Arial"/>
          <w:sz w:val="11"/>
          <w:szCs w:val="11"/>
          <w:b w:val="1"/>
          <w:bCs w:val="1"/>
          <w:color w:val="auto"/>
        </w:rPr>
        <w:t>__________________________________________</w:t>
      </w:r>
    </w:p>
    <w:p>
      <w:pPr>
        <w:spacing w:after="0" w:line="90" w:lineRule="exact"/>
        <w:rPr>
          <w:sz w:val="24"/>
          <w:szCs w:val="24"/>
          <w:color w:val="auto"/>
        </w:rPr>
      </w:pPr>
    </w:p>
    <w:p>
      <w:pPr>
        <w:jc w:val="center"/>
        <w:ind w:right="-953"/>
        <w:spacing w:after="0"/>
        <w:rPr>
          <w:sz w:val="20"/>
          <w:szCs w:val="20"/>
          <w:color w:val="auto"/>
        </w:rPr>
      </w:pPr>
      <w:r>
        <w:rPr>
          <w:rFonts w:ascii="Arial" w:cs="Arial" w:eastAsia="Arial" w:hAnsi="Arial"/>
          <w:sz w:val="32"/>
          <w:szCs w:val="32"/>
          <w:b w:val="1"/>
          <w:bCs w:val="1"/>
          <w:color w:val="auto"/>
        </w:rPr>
        <w:t>FORM 8-K</w:t>
      </w:r>
    </w:p>
    <w:p>
      <w:pPr>
        <w:spacing w:after="0" w:line="51" w:lineRule="exact"/>
        <w:rPr>
          <w:sz w:val="24"/>
          <w:szCs w:val="24"/>
          <w:color w:val="auto"/>
        </w:rPr>
      </w:pPr>
    </w:p>
    <w:p>
      <w:pPr>
        <w:ind w:left="4334"/>
        <w:spacing w:after="0"/>
        <w:rPr>
          <w:sz w:val="20"/>
          <w:szCs w:val="20"/>
          <w:color w:val="auto"/>
        </w:rPr>
      </w:pPr>
      <w:r>
        <w:rPr>
          <w:rFonts w:ascii="Arial" w:cs="Arial" w:eastAsia="Arial" w:hAnsi="Arial"/>
          <w:sz w:val="11"/>
          <w:szCs w:val="11"/>
          <w:b w:val="1"/>
          <w:bCs w:val="1"/>
          <w:color w:val="auto"/>
        </w:rPr>
        <w:t>__________________________________________</w:t>
      </w:r>
    </w:p>
    <w:p>
      <w:pPr>
        <w:spacing w:after="0" w:line="240" w:lineRule="exact"/>
        <w:rPr>
          <w:sz w:val="24"/>
          <w:szCs w:val="24"/>
          <w:color w:val="auto"/>
        </w:rPr>
      </w:pPr>
    </w:p>
    <w:p>
      <w:pPr>
        <w:jc w:val="center"/>
        <w:ind w:right="-993"/>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ind w:right="-993"/>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99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11" w:lineRule="exact"/>
        <w:rPr>
          <w:sz w:val="24"/>
          <w:szCs w:val="24"/>
          <w:color w:val="auto"/>
        </w:rPr>
      </w:pPr>
    </w:p>
    <w:p>
      <w:pPr>
        <w:jc w:val="center"/>
        <w:ind w:right="-993"/>
        <w:spacing w:after="0"/>
        <w:rPr>
          <w:sz w:val="20"/>
          <w:szCs w:val="20"/>
          <w:color w:val="auto"/>
        </w:rPr>
      </w:pPr>
      <w:r>
        <w:rPr>
          <w:rFonts w:ascii="Arial" w:cs="Arial" w:eastAsia="Arial" w:hAnsi="Arial"/>
          <w:sz w:val="22"/>
          <w:szCs w:val="22"/>
          <w:b w:val="1"/>
          <w:bCs w:val="1"/>
          <w:color w:val="auto"/>
        </w:rPr>
        <w:t>Date of report (date of earliest event reported): June 24, 2024</w:t>
      </w:r>
    </w:p>
    <w:p>
      <w:pPr>
        <w:spacing w:after="0" w:line="15" w:lineRule="exact"/>
        <w:rPr>
          <w:sz w:val="24"/>
          <w:szCs w:val="24"/>
          <w:color w:val="auto"/>
        </w:rPr>
      </w:pPr>
    </w:p>
    <w:p>
      <w:pPr>
        <w:ind w:left="4334"/>
        <w:spacing w:after="0"/>
        <w:rPr>
          <w:sz w:val="20"/>
          <w:szCs w:val="20"/>
          <w:color w:val="auto"/>
        </w:rPr>
      </w:pPr>
      <w:r>
        <w:rPr>
          <w:rFonts w:ascii="Arial" w:cs="Arial" w:eastAsia="Arial" w:hAnsi="Arial"/>
          <w:sz w:val="11"/>
          <w:szCs w:val="11"/>
          <w:b w:val="1"/>
          <w:bCs w:val="1"/>
          <w:color w:val="auto"/>
        </w:rPr>
        <w:t>__________________________________________</w:t>
      </w:r>
    </w:p>
    <w:p>
      <w:pPr>
        <w:spacing w:after="0" w:line="76" w:lineRule="exact"/>
        <w:rPr>
          <w:sz w:val="24"/>
          <w:szCs w:val="24"/>
          <w:color w:val="auto"/>
        </w:rPr>
      </w:pPr>
    </w:p>
    <w:p>
      <w:pPr>
        <w:jc w:val="center"/>
        <w:ind w:right="-993"/>
        <w:spacing w:after="0"/>
        <w:rPr>
          <w:sz w:val="20"/>
          <w:szCs w:val="20"/>
          <w:color w:val="auto"/>
        </w:rPr>
      </w:pPr>
      <w:r>
        <w:rPr>
          <w:rFonts w:ascii="Arial" w:cs="Arial" w:eastAsia="Arial" w:hAnsi="Arial"/>
          <w:sz w:val="43"/>
          <w:szCs w:val="43"/>
          <w:b w:val="1"/>
          <w:bCs w:val="1"/>
          <w:color w:val="auto"/>
        </w:rPr>
        <w:t>NOBLE CORPORATION plc</w:t>
      </w:r>
    </w:p>
    <w:p>
      <w:pPr>
        <w:spacing w:after="0" w:line="61" w:lineRule="exact"/>
        <w:rPr>
          <w:sz w:val="24"/>
          <w:szCs w:val="24"/>
          <w:color w:val="auto"/>
        </w:rPr>
      </w:pPr>
    </w:p>
    <w:p>
      <w:pPr>
        <w:ind w:left="3374"/>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13" w:lineRule="exact"/>
        <w:rPr>
          <w:sz w:val="24"/>
          <w:szCs w:val="24"/>
          <w:color w:val="auto"/>
        </w:rPr>
      </w:pPr>
    </w:p>
    <w:tbl>
      <w:tblPr>
        <w:tblLayout w:type="fixed"/>
        <w:tblInd w:w="1314" w:type="dxa"/>
        <w:tblCellMar>
          <w:top w:w="0" w:type="dxa"/>
          <w:left w:w="0" w:type="dxa"/>
          <w:bottom w:w="0" w:type="dxa"/>
          <w:right w:w="0" w:type="dxa"/>
        </w:tblCellMar>
      </w:tblPr>
      <w:tr>
        <w:trPr>
          <w:trHeight w:val="247"/>
        </w:trPr>
        <w:tc>
          <w:tcPr>
            <w:tcW w:w="3440" w:type="dxa"/>
            <w:vAlign w:val="bottom"/>
          </w:tcPr>
          <w:p>
            <w:pPr>
              <w:jc w:val="center"/>
              <w:ind w:right="379"/>
              <w:spacing w:after="0"/>
              <w:rPr>
                <w:sz w:val="20"/>
                <w:szCs w:val="20"/>
                <w:color w:val="auto"/>
              </w:rPr>
            </w:pPr>
            <w:r>
              <w:rPr>
                <w:rFonts w:ascii="Arial" w:cs="Arial" w:eastAsia="Arial" w:hAnsi="Arial"/>
                <w:sz w:val="18"/>
                <w:szCs w:val="18"/>
                <w:b w:val="1"/>
                <w:bCs w:val="1"/>
                <w:color w:val="auto"/>
              </w:rPr>
              <w:t>England and Wales</w:t>
            </w:r>
          </w:p>
        </w:tc>
        <w:tc>
          <w:tcPr>
            <w:tcW w:w="760" w:type="dxa"/>
            <w:vAlign w:val="bottom"/>
          </w:tcPr>
          <w:p>
            <w:pPr>
              <w:spacing w:after="0"/>
              <w:rPr>
                <w:sz w:val="21"/>
                <w:szCs w:val="21"/>
                <w:color w:val="auto"/>
              </w:rPr>
            </w:pPr>
          </w:p>
        </w:tc>
        <w:tc>
          <w:tcPr>
            <w:tcW w:w="1520" w:type="dxa"/>
            <w:vAlign w:val="bottom"/>
          </w:tcPr>
          <w:p>
            <w:pPr>
              <w:jc w:val="right"/>
              <w:ind w:right="430"/>
              <w:spacing w:after="0"/>
              <w:rPr>
                <w:sz w:val="20"/>
                <w:szCs w:val="20"/>
                <w:color w:val="auto"/>
              </w:rPr>
            </w:pPr>
            <w:r>
              <w:rPr>
                <w:rFonts w:ascii="Arial" w:cs="Arial" w:eastAsia="Arial" w:hAnsi="Arial"/>
                <w:sz w:val="18"/>
                <w:szCs w:val="18"/>
                <w:b w:val="1"/>
                <w:bCs w:val="1"/>
                <w:color w:val="auto"/>
              </w:rPr>
              <w:t>001-41520</w:t>
            </w:r>
          </w:p>
        </w:tc>
        <w:tc>
          <w:tcPr>
            <w:tcW w:w="620" w:type="dxa"/>
            <w:vAlign w:val="bottom"/>
          </w:tcPr>
          <w:p>
            <w:pPr>
              <w:spacing w:after="0"/>
              <w:rPr>
                <w:sz w:val="21"/>
                <w:szCs w:val="21"/>
                <w:color w:val="auto"/>
              </w:rPr>
            </w:pPr>
          </w:p>
        </w:tc>
        <w:tc>
          <w:tcPr>
            <w:tcW w:w="2400" w:type="dxa"/>
            <w:vAlign w:val="bottom"/>
          </w:tcPr>
          <w:p>
            <w:pPr>
              <w:jc w:val="right"/>
              <w:ind w:right="599"/>
              <w:spacing w:after="0"/>
              <w:rPr>
                <w:sz w:val="20"/>
                <w:szCs w:val="20"/>
                <w:color w:val="auto"/>
              </w:rPr>
            </w:pPr>
            <w:r>
              <w:rPr>
                <w:rFonts w:ascii="Arial" w:cs="Arial" w:eastAsia="Arial" w:hAnsi="Arial"/>
                <w:sz w:val="18"/>
                <w:szCs w:val="18"/>
                <w:b w:val="1"/>
                <w:bCs w:val="1"/>
                <w:color w:val="auto"/>
              </w:rPr>
              <w:t>98-1644664</w:t>
            </w:r>
          </w:p>
        </w:tc>
      </w:tr>
      <w:tr>
        <w:trPr>
          <w:trHeight w:val="242"/>
        </w:trPr>
        <w:tc>
          <w:tcPr>
            <w:tcW w:w="3440" w:type="dxa"/>
            <w:vAlign w:val="bottom"/>
          </w:tcPr>
          <w:p>
            <w:pPr>
              <w:jc w:val="center"/>
              <w:ind w:right="379"/>
              <w:spacing w:after="0"/>
              <w:rPr>
                <w:sz w:val="20"/>
                <w:szCs w:val="20"/>
                <w:color w:val="auto"/>
              </w:rPr>
            </w:pPr>
            <w:r>
              <w:rPr>
                <w:rFonts w:ascii="Arial" w:cs="Arial" w:eastAsia="Arial" w:hAnsi="Arial"/>
                <w:sz w:val="14"/>
                <w:szCs w:val="14"/>
                <w:b w:val="1"/>
                <w:bCs w:val="1"/>
                <w:color w:val="auto"/>
              </w:rPr>
              <w:t>(State or other jurisdiction of incorporation)</w:t>
            </w:r>
          </w:p>
        </w:tc>
        <w:tc>
          <w:tcPr>
            <w:tcW w:w="228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rPr>
              <w:t>(Commission file number)</w:t>
            </w:r>
          </w:p>
        </w:tc>
        <w:tc>
          <w:tcPr>
            <w:tcW w:w="620" w:type="dxa"/>
            <w:vAlign w:val="bottom"/>
          </w:tcPr>
          <w:p>
            <w:pPr>
              <w:spacing w:after="0"/>
              <w:rPr>
                <w:sz w:val="21"/>
                <w:szCs w:val="21"/>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rPr>
              <w:t>(I.R.S. employer identification no.)</w:t>
            </w:r>
          </w:p>
        </w:tc>
      </w:tr>
      <w:tr>
        <w:trPr>
          <w:trHeight w:val="398"/>
        </w:trPr>
        <w:tc>
          <w:tcPr>
            <w:tcW w:w="4200" w:type="dxa"/>
            <w:vAlign w:val="bottom"/>
            <w:gridSpan w:val="2"/>
          </w:tcPr>
          <w:p>
            <w:pPr>
              <w:ind w:left="1380"/>
              <w:spacing w:after="0"/>
              <w:rPr>
                <w:sz w:val="20"/>
                <w:szCs w:val="20"/>
                <w:color w:val="auto"/>
              </w:rPr>
            </w:pPr>
            <w:r>
              <w:rPr>
                <w:rFonts w:ascii="Arial" w:cs="Arial" w:eastAsia="Arial" w:hAnsi="Arial"/>
                <w:sz w:val="18"/>
                <w:szCs w:val="18"/>
                <w:b w:val="1"/>
                <w:bCs w:val="1"/>
                <w:color w:val="auto"/>
              </w:rPr>
              <w:t>13135 Dairy Ashford, Suite 800,</w:t>
            </w:r>
          </w:p>
        </w:tc>
        <w:tc>
          <w:tcPr>
            <w:tcW w:w="1520" w:type="dxa"/>
            <w:vAlign w:val="bottom"/>
          </w:tcPr>
          <w:p>
            <w:pPr>
              <w:ind w:left="180"/>
              <w:spacing w:after="0"/>
              <w:rPr>
                <w:sz w:val="20"/>
                <w:szCs w:val="20"/>
                <w:color w:val="auto"/>
              </w:rPr>
            </w:pPr>
            <w:r>
              <w:rPr>
                <w:rFonts w:ascii="Arial" w:cs="Arial" w:eastAsia="Arial" w:hAnsi="Arial"/>
                <w:sz w:val="18"/>
                <w:szCs w:val="18"/>
                <w:b w:val="1"/>
                <w:bCs w:val="1"/>
                <w:color w:val="auto"/>
              </w:rPr>
              <w:t>Sugar Land,</w:t>
            </w:r>
          </w:p>
        </w:tc>
        <w:tc>
          <w:tcPr>
            <w:tcW w:w="620" w:type="dxa"/>
            <w:vAlign w:val="bottom"/>
          </w:tcPr>
          <w:p>
            <w:pPr>
              <w:ind w:left="60"/>
              <w:spacing w:after="0"/>
              <w:rPr>
                <w:sz w:val="20"/>
                <w:szCs w:val="20"/>
                <w:color w:val="auto"/>
              </w:rPr>
            </w:pPr>
            <w:r>
              <w:rPr>
                <w:rFonts w:ascii="Arial" w:cs="Arial" w:eastAsia="Arial" w:hAnsi="Arial"/>
                <w:sz w:val="18"/>
                <w:szCs w:val="18"/>
                <w:b w:val="1"/>
                <w:bCs w:val="1"/>
                <w:color w:val="auto"/>
              </w:rPr>
              <w:t>Texas</w:t>
            </w:r>
          </w:p>
        </w:tc>
        <w:tc>
          <w:tcPr>
            <w:tcW w:w="2400" w:type="dxa"/>
            <w:vAlign w:val="bottom"/>
          </w:tcPr>
          <w:p>
            <w:pPr>
              <w:jc w:val="right"/>
              <w:ind w:right="1439"/>
              <w:spacing w:after="0"/>
              <w:rPr>
                <w:sz w:val="20"/>
                <w:szCs w:val="20"/>
                <w:color w:val="auto"/>
              </w:rPr>
            </w:pPr>
            <w:r>
              <w:rPr>
                <w:rFonts w:ascii="Arial" w:cs="Arial" w:eastAsia="Arial" w:hAnsi="Arial"/>
                <w:sz w:val="18"/>
                <w:szCs w:val="18"/>
                <w:b w:val="1"/>
                <w:bCs w:val="1"/>
                <w:color w:val="auto"/>
              </w:rPr>
              <w:t>77478</w:t>
            </w:r>
          </w:p>
        </w:tc>
      </w:tr>
      <w:tr>
        <w:trPr>
          <w:trHeight w:val="196"/>
        </w:trPr>
        <w:tc>
          <w:tcPr>
            <w:tcW w:w="5720" w:type="dxa"/>
            <w:vAlign w:val="bottom"/>
            <w:gridSpan w:val="3"/>
          </w:tcPr>
          <w:p>
            <w:pPr>
              <w:ind w:left="2460"/>
              <w:spacing w:after="0"/>
              <w:rPr>
                <w:sz w:val="20"/>
                <w:szCs w:val="20"/>
                <w:color w:val="auto"/>
              </w:rPr>
            </w:pPr>
            <w:r>
              <w:rPr>
                <w:rFonts w:ascii="Arial" w:cs="Arial" w:eastAsia="Arial" w:hAnsi="Arial"/>
                <w:sz w:val="14"/>
                <w:szCs w:val="14"/>
                <w:b w:val="1"/>
                <w:bCs w:val="1"/>
                <w:color w:val="auto"/>
              </w:rPr>
              <w:t>(Address of principal executive offices)</w:t>
            </w:r>
          </w:p>
        </w:tc>
        <w:tc>
          <w:tcPr>
            <w:tcW w:w="620" w:type="dxa"/>
            <w:vAlign w:val="bottom"/>
          </w:tcPr>
          <w:p>
            <w:pPr>
              <w:spacing w:after="0"/>
              <w:rPr>
                <w:sz w:val="17"/>
                <w:szCs w:val="17"/>
                <w:color w:val="auto"/>
              </w:rPr>
            </w:pPr>
          </w:p>
        </w:tc>
        <w:tc>
          <w:tcPr>
            <w:tcW w:w="2400" w:type="dxa"/>
            <w:vAlign w:val="bottom"/>
          </w:tcPr>
          <w:p>
            <w:pPr>
              <w:jc w:val="center"/>
              <w:ind w:right="1039"/>
              <w:spacing w:after="0"/>
              <w:rPr>
                <w:sz w:val="20"/>
                <w:szCs w:val="20"/>
                <w:color w:val="auto"/>
              </w:rPr>
            </w:pPr>
            <w:r>
              <w:rPr>
                <w:rFonts w:ascii="Arial" w:cs="Arial" w:eastAsia="Arial" w:hAnsi="Arial"/>
                <w:sz w:val="14"/>
                <w:szCs w:val="14"/>
                <w:b w:val="1"/>
                <w:bCs w:val="1"/>
                <w:color w:val="auto"/>
              </w:rPr>
              <w:t>(Zip code)</w:t>
            </w:r>
          </w:p>
        </w:tc>
      </w:tr>
    </w:tbl>
    <w:p>
      <w:pPr>
        <w:spacing w:after="0" w:line="145" w:lineRule="exact"/>
        <w:rPr>
          <w:sz w:val="24"/>
          <w:szCs w:val="24"/>
          <w:color w:val="auto"/>
        </w:rPr>
      </w:pPr>
    </w:p>
    <w:p>
      <w:pPr>
        <w:jc w:val="center"/>
        <w:ind w:right="-993"/>
        <w:spacing w:after="0"/>
        <w:rPr>
          <w:sz w:val="20"/>
          <w:szCs w:val="20"/>
          <w:color w:val="auto"/>
        </w:rPr>
      </w:pPr>
      <w:r>
        <w:rPr>
          <w:rFonts w:ascii="Arial" w:cs="Arial" w:eastAsia="Arial" w:hAnsi="Arial"/>
          <w:sz w:val="18"/>
          <w:szCs w:val="18"/>
          <w:b w:val="1"/>
          <w:bCs w:val="1"/>
          <w:color w:val="auto"/>
        </w:rPr>
        <w:t>Registrant’s telephone number, including area code: 281 276-6100</w:t>
      </w:r>
    </w:p>
    <w:p>
      <w:pPr>
        <w:spacing w:after="0" w:line="69" w:lineRule="exact"/>
        <w:rPr>
          <w:sz w:val="24"/>
          <w:szCs w:val="24"/>
          <w:color w:val="auto"/>
        </w:rPr>
      </w:pPr>
    </w:p>
    <w:p>
      <w:pPr>
        <w:ind w:left="4334"/>
        <w:spacing w:after="0"/>
        <w:rPr>
          <w:sz w:val="20"/>
          <w:szCs w:val="20"/>
          <w:color w:val="auto"/>
        </w:rPr>
      </w:pPr>
      <w:r>
        <w:rPr>
          <w:rFonts w:ascii="Arial" w:cs="Arial" w:eastAsia="Arial" w:hAnsi="Arial"/>
          <w:sz w:val="11"/>
          <w:szCs w:val="11"/>
          <w:b w:val="1"/>
          <w:bCs w:val="1"/>
          <w:color w:val="auto"/>
        </w:rPr>
        <w:t>__________________________________________</w:t>
      </w:r>
    </w:p>
    <w:p>
      <w:pPr>
        <w:spacing w:after="0" w:line="359" w:lineRule="exact"/>
        <w:rPr>
          <w:sz w:val="24"/>
          <w:szCs w:val="24"/>
          <w:color w:val="auto"/>
        </w:rPr>
      </w:pPr>
    </w:p>
    <w:p>
      <w:pPr>
        <w:ind w:left="1014" w:right="20"/>
        <w:spacing w:after="0" w:line="251"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23" w:lineRule="exact"/>
        <w:rPr>
          <w:sz w:val="24"/>
          <w:szCs w:val="24"/>
          <w:color w:val="auto"/>
        </w:rPr>
      </w:pPr>
    </w:p>
    <w:p>
      <w:pPr>
        <w:ind w:left="1594" w:hanging="588"/>
        <w:spacing w:after="0"/>
        <w:tabs>
          <w:tab w:leader="none" w:pos="1594" w:val="left"/>
        </w:tabs>
        <w:numPr>
          <w:ilvl w:val="1"/>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256" w:lineRule="exact"/>
        <w:rPr>
          <w:rFonts w:ascii="MS PGothic" w:cs="MS PGothic" w:eastAsia="MS PGothic" w:hAnsi="MS PGothic"/>
          <w:sz w:val="18"/>
          <w:szCs w:val="18"/>
          <w:color w:val="auto"/>
        </w:rPr>
      </w:pPr>
    </w:p>
    <w:p>
      <w:pPr>
        <w:ind w:left="1594" w:hanging="588"/>
        <w:spacing w:after="0"/>
        <w:tabs>
          <w:tab w:leader="none" w:pos="1594" w:val="left"/>
        </w:tabs>
        <w:numPr>
          <w:ilvl w:val="1"/>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189" w:lineRule="exact"/>
        <w:rPr>
          <w:rFonts w:ascii="MS PGothic" w:cs="MS PGothic" w:eastAsia="MS PGothic" w:hAnsi="MS PGothic"/>
          <w:sz w:val="18"/>
          <w:szCs w:val="18"/>
          <w:color w:val="auto"/>
        </w:rPr>
      </w:pPr>
    </w:p>
    <w:p>
      <w:pPr>
        <w:ind w:left="594" w:hanging="594"/>
        <w:spacing w:after="0"/>
        <w:tabs>
          <w:tab w:leader="none" w:pos="594"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56" w:lineRule="exact"/>
        <w:rPr>
          <w:rFonts w:ascii="MS PGothic" w:cs="MS PGothic" w:eastAsia="MS PGothic" w:hAnsi="MS PGothic"/>
          <w:sz w:val="18"/>
          <w:szCs w:val="18"/>
          <w:color w:val="auto"/>
        </w:rPr>
      </w:pPr>
    </w:p>
    <w:p>
      <w:pPr>
        <w:ind w:left="594" w:hanging="594"/>
        <w:spacing w:after="0" w:line="205" w:lineRule="auto"/>
        <w:tabs>
          <w:tab w:leader="none" w:pos="594" w:val="left"/>
        </w:tabs>
        <w:numPr>
          <w:ilvl w:val="0"/>
          <w:numId w:val="1"/>
        </w:numPr>
        <w:rPr>
          <w:rFonts w:ascii="MS PGothic" w:cs="MS PGothic" w:eastAsia="MS PGothic" w:hAnsi="MS PGothic"/>
          <w:sz w:val="36"/>
          <w:szCs w:val="36"/>
          <w:color w:val="auto"/>
          <w:vertAlign w:val="subscript"/>
        </w:rPr>
      </w:pPr>
      <w:r>
        <w:rPr>
          <w:rFonts w:ascii="Arial" w:cs="Arial" w:eastAsia="Arial" w:hAnsi="Arial"/>
          <w:sz w:val="16"/>
          <w:szCs w:val="16"/>
          <w:color w:val="auto"/>
        </w:rPr>
        <w:t>Pre-commencement communications pursuant to Rule 13e-4(c) under the Exchange Act (17 CFR 240.13e-4(c))</w:t>
      </w:r>
    </w:p>
    <w:p>
      <w:pPr>
        <w:spacing w:after="0" w:line="379" w:lineRule="exact"/>
        <w:rPr>
          <w:sz w:val="24"/>
          <w:szCs w:val="24"/>
          <w:color w:val="auto"/>
        </w:rPr>
      </w:pPr>
    </w:p>
    <w:p>
      <w:pPr>
        <w:ind w:left="3534"/>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6" w:lineRule="exact"/>
        <w:rPr>
          <w:sz w:val="24"/>
          <w:szCs w:val="24"/>
          <w:color w:val="auto"/>
        </w:rPr>
      </w:pPr>
    </w:p>
    <w:tbl>
      <w:tblPr>
        <w:tblLayout w:type="fixed"/>
        <w:tblInd w:w="1154" w:type="dxa"/>
        <w:tblCellMar>
          <w:top w:w="0" w:type="dxa"/>
          <w:left w:w="0" w:type="dxa"/>
          <w:bottom w:w="0" w:type="dxa"/>
          <w:right w:w="0" w:type="dxa"/>
        </w:tblCellMar>
      </w:tblPr>
      <w:tr>
        <w:trPr>
          <w:trHeight w:val="215"/>
        </w:trPr>
        <w:tc>
          <w:tcPr>
            <w:tcW w:w="3640" w:type="dxa"/>
            <w:vAlign w:val="bottom"/>
            <w:vMerge w:val="restart"/>
          </w:tcPr>
          <w:p>
            <w:pPr>
              <w:jc w:val="center"/>
              <w:ind w:right="266"/>
              <w:spacing w:after="0"/>
              <w:rPr>
                <w:sz w:val="20"/>
                <w:szCs w:val="20"/>
                <w:color w:val="auto"/>
              </w:rPr>
            </w:pPr>
            <w:r>
              <w:rPr>
                <w:rFonts w:ascii="Arial" w:cs="Arial" w:eastAsia="Arial" w:hAnsi="Arial"/>
                <w:sz w:val="16"/>
                <w:szCs w:val="16"/>
                <w:color w:val="auto"/>
              </w:rPr>
              <w:t>Title of each class</w:t>
            </w:r>
          </w:p>
        </w:tc>
        <w:tc>
          <w:tcPr>
            <w:tcW w:w="1920" w:type="dxa"/>
            <w:vAlign w:val="bottom"/>
            <w:vMerge w:val="restart"/>
          </w:tcPr>
          <w:p>
            <w:pPr>
              <w:jc w:val="center"/>
              <w:ind w:left="6"/>
              <w:spacing w:after="0"/>
              <w:rPr>
                <w:sz w:val="20"/>
                <w:szCs w:val="20"/>
                <w:color w:val="auto"/>
              </w:rPr>
            </w:pPr>
            <w:r>
              <w:rPr>
                <w:rFonts w:ascii="Arial" w:cs="Arial" w:eastAsia="Arial" w:hAnsi="Arial"/>
                <w:sz w:val="16"/>
                <w:szCs w:val="16"/>
                <w:color w:val="auto"/>
              </w:rPr>
              <w:t>Trading Symbol(s)</w:t>
            </w:r>
          </w:p>
        </w:tc>
        <w:tc>
          <w:tcPr>
            <w:tcW w:w="3480" w:type="dxa"/>
            <w:vAlign w:val="bottom"/>
          </w:tcPr>
          <w:p>
            <w:pPr>
              <w:jc w:val="center"/>
              <w:ind w:left="186"/>
              <w:spacing w:after="0"/>
              <w:rPr>
                <w:sz w:val="20"/>
                <w:szCs w:val="20"/>
                <w:color w:val="auto"/>
              </w:rPr>
            </w:pPr>
            <w:r>
              <w:rPr>
                <w:rFonts w:ascii="Arial" w:cs="Arial" w:eastAsia="Arial" w:hAnsi="Arial"/>
                <w:sz w:val="16"/>
                <w:szCs w:val="16"/>
                <w:color w:val="auto"/>
              </w:rPr>
              <w:t>Name of each exchange on which registered</w:t>
            </w:r>
          </w:p>
        </w:tc>
        <w:tc>
          <w:tcPr>
            <w:tcW w:w="0" w:type="dxa"/>
            <w:vAlign w:val="bottom"/>
          </w:tcPr>
          <w:p>
            <w:pPr>
              <w:spacing w:after="0"/>
              <w:rPr>
                <w:sz w:val="1"/>
                <w:szCs w:val="1"/>
                <w:color w:val="auto"/>
              </w:rPr>
            </w:pPr>
          </w:p>
        </w:tc>
      </w:tr>
      <w:tr>
        <w:trPr>
          <w:trHeight w:val="162"/>
        </w:trPr>
        <w:tc>
          <w:tcPr>
            <w:tcW w:w="3640" w:type="dxa"/>
            <w:vAlign w:val="bottom"/>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40" w:type="dxa"/>
            <w:vAlign w:val="bottom"/>
          </w:tcPr>
          <w:p>
            <w:pPr>
              <w:jc w:val="center"/>
              <w:ind w:right="266"/>
              <w:spacing w:after="0"/>
              <w:rPr>
                <w:sz w:val="20"/>
                <w:szCs w:val="20"/>
                <w:color w:val="auto"/>
              </w:rPr>
            </w:pPr>
            <w:r>
              <w:rPr>
                <w:rFonts w:ascii="Arial" w:cs="Arial" w:eastAsia="Arial" w:hAnsi="Arial"/>
                <w:sz w:val="14"/>
                <w:szCs w:val="14"/>
                <w:b w:val="1"/>
                <w:bCs w:val="1"/>
                <w:color w:val="auto"/>
              </w:rPr>
              <w:t>A Ordinary Shares, par value $0.00001 per share</w:t>
            </w:r>
          </w:p>
        </w:tc>
        <w:tc>
          <w:tcPr>
            <w:tcW w:w="1920" w:type="dxa"/>
            <w:vAlign w:val="bottom"/>
          </w:tcPr>
          <w:p>
            <w:pPr>
              <w:jc w:val="center"/>
              <w:ind w:left="6"/>
              <w:spacing w:after="0"/>
              <w:rPr>
                <w:sz w:val="20"/>
                <w:szCs w:val="20"/>
                <w:color w:val="auto"/>
              </w:rPr>
            </w:pPr>
            <w:r>
              <w:rPr>
                <w:rFonts w:ascii="Arial" w:cs="Arial" w:eastAsia="Arial" w:hAnsi="Arial"/>
                <w:sz w:val="14"/>
                <w:szCs w:val="14"/>
                <w:b w:val="1"/>
                <w:bCs w:val="1"/>
                <w:color w:val="auto"/>
              </w:rPr>
              <w:t>NE</w:t>
            </w:r>
          </w:p>
        </w:tc>
        <w:tc>
          <w:tcPr>
            <w:tcW w:w="3480" w:type="dxa"/>
            <w:vAlign w:val="bottom"/>
          </w:tcPr>
          <w:p>
            <w:pPr>
              <w:jc w:val="center"/>
              <w:ind w:left="166"/>
              <w:spacing w:after="0"/>
              <w:rPr>
                <w:sz w:val="20"/>
                <w:szCs w:val="20"/>
                <w:color w:val="auto"/>
              </w:rPr>
            </w:pPr>
            <w:r>
              <w:rPr>
                <w:rFonts w:ascii="Arial" w:cs="Arial" w:eastAsia="Arial" w:hAnsi="Arial"/>
                <w:sz w:val="14"/>
                <w:szCs w:val="14"/>
                <w:b w:val="1"/>
                <w:bCs w:val="1"/>
                <w:color w:val="auto"/>
              </w:rPr>
              <w:t>New York Stock Exchange</w:t>
            </w:r>
          </w:p>
        </w:tc>
        <w:tc>
          <w:tcPr>
            <w:tcW w:w="0" w:type="dxa"/>
            <w:vAlign w:val="bottom"/>
          </w:tcPr>
          <w:p>
            <w:pPr>
              <w:spacing w:after="0"/>
              <w:rPr>
                <w:sz w:val="1"/>
                <w:szCs w:val="1"/>
                <w:color w:val="auto"/>
              </w:rPr>
            </w:pPr>
          </w:p>
        </w:tc>
      </w:tr>
      <w:tr>
        <w:trPr>
          <w:trHeight w:val="216"/>
        </w:trPr>
        <w:tc>
          <w:tcPr>
            <w:tcW w:w="3640" w:type="dxa"/>
            <w:vAlign w:val="bottom"/>
          </w:tcPr>
          <w:p>
            <w:pPr>
              <w:jc w:val="center"/>
              <w:ind w:right="266"/>
              <w:spacing w:after="0"/>
              <w:rPr>
                <w:sz w:val="20"/>
                <w:szCs w:val="20"/>
                <w:color w:val="auto"/>
              </w:rPr>
            </w:pPr>
            <w:r>
              <w:rPr>
                <w:rFonts w:ascii="Arial" w:cs="Arial" w:eastAsia="Arial" w:hAnsi="Arial"/>
                <w:sz w:val="14"/>
                <w:szCs w:val="14"/>
                <w:b w:val="1"/>
                <w:bCs w:val="1"/>
                <w:color w:val="auto"/>
              </w:rPr>
              <w:t>Tranche 1 Warrants of Noble Corporation plc</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NE WS</w:t>
            </w:r>
          </w:p>
        </w:tc>
        <w:tc>
          <w:tcPr>
            <w:tcW w:w="3480" w:type="dxa"/>
            <w:vAlign w:val="bottom"/>
          </w:tcPr>
          <w:p>
            <w:pPr>
              <w:jc w:val="center"/>
              <w:ind w:left="166"/>
              <w:spacing w:after="0"/>
              <w:rPr>
                <w:sz w:val="20"/>
                <w:szCs w:val="20"/>
                <w:color w:val="auto"/>
              </w:rPr>
            </w:pPr>
            <w:r>
              <w:rPr>
                <w:rFonts w:ascii="Arial" w:cs="Arial" w:eastAsia="Arial" w:hAnsi="Arial"/>
                <w:sz w:val="14"/>
                <w:szCs w:val="14"/>
                <w:b w:val="1"/>
                <w:bCs w:val="1"/>
                <w:color w:val="auto"/>
              </w:rPr>
              <w:t>New York Stock Exchange</w:t>
            </w:r>
          </w:p>
        </w:tc>
        <w:tc>
          <w:tcPr>
            <w:tcW w:w="0" w:type="dxa"/>
            <w:vAlign w:val="bottom"/>
          </w:tcPr>
          <w:p>
            <w:pPr>
              <w:spacing w:after="0"/>
              <w:rPr>
                <w:sz w:val="1"/>
                <w:szCs w:val="1"/>
                <w:color w:val="auto"/>
              </w:rPr>
            </w:pPr>
          </w:p>
        </w:tc>
      </w:tr>
      <w:tr>
        <w:trPr>
          <w:trHeight w:val="216"/>
        </w:trPr>
        <w:tc>
          <w:tcPr>
            <w:tcW w:w="3640" w:type="dxa"/>
            <w:vAlign w:val="bottom"/>
          </w:tcPr>
          <w:p>
            <w:pPr>
              <w:jc w:val="center"/>
              <w:ind w:right="266"/>
              <w:spacing w:after="0"/>
              <w:rPr>
                <w:sz w:val="20"/>
                <w:szCs w:val="20"/>
                <w:color w:val="auto"/>
              </w:rPr>
            </w:pPr>
            <w:r>
              <w:rPr>
                <w:rFonts w:ascii="Arial" w:cs="Arial" w:eastAsia="Arial" w:hAnsi="Arial"/>
                <w:sz w:val="14"/>
                <w:szCs w:val="14"/>
                <w:b w:val="1"/>
                <w:bCs w:val="1"/>
                <w:color w:val="auto"/>
              </w:rPr>
              <w:t>Tranche 2 Warrants of Noble Corporation plc</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NE WSA</w:t>
            </w:r>
          </w:p>
        </w:tc>
        <w:tc>
          <w:tcPr>
            <w:tcW w:w="3480" w:type="dxa"/>
            <w:vAlign w:val="bottom"/>
          </w:tcPr>
          <w:p>
            <w:pPr>
              <w:jc w:val="center"/>
              <w:ind w:left="166"/>
              <w:spacing w:after="0"/>
              <w:rPr>
                <w:sz w:val="20"/>
                <w:szCs w:val="20"/>
                <w:color w:val="auto"/>
              </w:rPr>
            </w:pPr>
            <w:r>
              <w:rPr>
                <w:rFonts w:ascii="Arial" w:cs="Arial" w:eastAsia="Arial" w:hAnsi="Arial"/>
                <w:sz w:val="14"/>
                <w:szCs w:val="14"/>
                <w:b w:val="1"/>
                <w:bCs w:val="1"/>
                <w:color w:val="auto"/>
              </w:rPr>
              <w:t>New York Stock Exchange</w:t>
            </w:r>
          </w:p>
        </w:tc>
        <w:tc>
          <w:tcPr>
            <w:tcW w:w="0" w:type="dxa"/>
            <w:vAlign w:val="bottom"/>
          </w:tcPr>
          <w:p>
            <w:pPr>
              <w:spacing w:after="0"/>
              <w:rPr>
                <w:sz w:val="1"/>
                <w:szCs w:val="1"/>
                <w:color w:val="auto"/>
              </w:rPr>
            </w:pPr>
          </w:p>
        </w:tc>
      </w:tr>
    </w:tbl>
    <w:p>
      <w:pPr>
        <w:spacing w:after="0" w:line="258" w:lineRule="exact"/>
        <w:rPr>
          <w:sz w:val="24"/>
          <w:szCs w:val="24"/>
          <w:color w:val="auto"/>
        </w:rPr>
      </w:pPr>
    </w:p>
    <w:p>
      <w:pPr>
        <w:ind w:left="1014" w:right="260"/>
        <w:spacing w:after="0" w:line="251"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53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51" w:lineRule="exact"/>
        <w:rPr>
          <w:sz w:val="24"/>
          <w:szCs w:val="24"/>
          <w:color w:val="auto"/>
        </w:rPr>
      </w:pPr>
    </w:p>
    <w:p>
      <w:pPr>
        <w:ind w:left="1014"/>
        <w:spacing w:after="0" w:line="19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464185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94"/>
          </w:cols>
          <w:pgMar w:left="346" w:top="1230" w:right="1359" w:bottom="1440" w:gutter="0" w:footer="0" w:header="0"/>
        </w:sectPr>
      </w:pPr>
    </w:p>
    <w:bookmarkStart w:id="1" w:name="page2"/>
    <w:bookmarkEnd w:id="1"/>
    <w:p>
      <w:pPr>
        <w:ind w:left="80"/>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Item 1.01.</w:t>
      </w:r>
      <w:r>
        <w:rPr>
          <w:sz w:val="20"/>
          <w:szCs w:val="20"/>
          <w:color w:val="auto"/>
        </w:rPr>
        <w:tab/>
      </w:r>
      <w:r>
        <w:rPr>
          <w:rFonts w:ascii="Arial" w:cs="Arial" w:eastAsia="Arial" w:hAnsi="Arial"/>
          <w:sz w:val="17"/>
          <w:szCs w:val="17"/>
          <w:b w:val="1"/>
          <w:bCs w:val="1"/>
          <w:color w:val="auto"/>
        </w:rPr>
        <w:t>Entry into a Material Definitive Agreement.</w:t>
      </w:r>
    </w:p>
    <w:p>
      <w:pPr>
        <w:spacing w:after="0" w:line="266" w:lineRule="exact"/>
        <w:rPr>
          <w:sz w:val="20"/>
          <w:szCs w:val="20"/>
          <w:color w:val="auto"/>
        </w:rPr>
      </w:pPr>
    </w:p>
    <w:p>
      <w:pPr>
        <w:jc w:val="both"/>
        <w:ind w:left="80" w:right="60"/>
        <w:spacing w:after="0" w:line="221" w:lineRule="auto"/>
        <w:rPr>
          <w:sz w:val="20"/>
          <w:szCs w:val="20"/>
          <w:color w:val="auto"/>
        </w:rPr>
      </w:pPr>
      <w:r>
        <w:rPr>
          <w:rFonts w:ascii="Arial" w:cs="Arial" w:eastAsia="Arial" w:hAnsi="Arial"/>
          <w:sz w:val="18"/>
          <w:szCs w:val="18"/>
          <w:color w:val="auto"/>
        </w:rPr>
        <w:t>On June 24, 2024, Noble Finance II LLC (the “Noble Finance Borrower”), a Delaware corporation and wholly owned subsidiary of Noble Corporation plc, a public limited company formed under the laws of England and Wales</w:t>
      </w:r>
    </w:p>
    <w:p>
      <w:pPr>
        <w:spacing w:after="0" w:line="1" w:lineRule="exact"/>
        <w:rPr>
          <w:sz w:val="20"/>
          <w:szCs w:val="20"/>
          <w:color w:val="auto"/>
        </w:rPr>
      </w:pPr>
    </w:p>
    <w:p>
      <w:pPr>
        <w:jc w:val="both"/>
        <w:ind w:left="80" w:right="60"/>
        <w:spacing w:after="0" w:line="208" w:lineRule="auto"/>
        <w:rPr>
          <w:sz w:val="20"/>
          <w:szCs w:val="20"/>
          <w:color w:val="auto"/>
        </w:rPr>
      </w:pPr>
      <w:r>
        <w:rPr>
          <w:rFonts w:ascii="Arial" w:cs="Arial" w:eastAsia="Arial" w:hAnsi="Arial"/>
          <w:sz w:val="18"/>
          <w:szCs w:val="18"/>
          <w:color w:val="auto"/>
        </w:rPr>
        <w:t>(“Parent”), entered into the First Amendment to the Amended and Restated Senior Secured Revolving Credit Agreement (the “First Amendment”) among the Noble Finance Borrower, Noble International Finance Company, an exempted company incorporated in the Cayman Islands with limited liability and a wholly-owned indirect Subsidiary</w:t>
      </w:r>
    </w:p>
    <w:p>
      <w:pPr>
        <w:spacing w:after="0" w:line="2" w:lineRule="exact"/>
        <w:rPr>
          <w:sz w:val="20"/>
          <w:szCs w:val="20"/>
          <w:color w:val="auto"/>
        </w:rPr>
      </w:pPr>
    </w:p>
    <w:p>
      <w:pPr>
        <w:jc w:val="both"/>
        <w:ind w:left="80" w:right="60"/>
        <w:spacing w:after="0" w:line="208" w:lineRule="auto"/>
        <w:rPr>
          <w:sz w:val="20"/>
          <w:szCs w:val="20"/>
          <w:color w:val="auto"/>
        </w:rPr>
      </w:pPr>
      <w:r>
        <w:rPr>
          <w:rFonts w:ascii="Arial" w:cs="Arial" w:eastAsia="Arial" w:hAnsi="Arial"/>
          <w:sz w:val="18"/>
          <w:szCs w:val="18"/>
          <w:color w:val="auto"/>
        </w:rPr>
        <w:t>of the Noble Finance Borrower (“NIFCO”), Noble Drilling A/S, a company incorporated under the laws of Denmark having its registered office at Lyngby Hovedgade 85, DK-2800 Kgs. Lyngby, Denmark with CVR no. 32673821 and a wholly-owned indirect Subsidiary of the Noble Finance Borrower (“Noble Drilling A/S” and together with the Noble</w:t>
      </w:r>
    </w:p>
    <w:p>
      <w:pPr>
        <w:spacing w:after="0" w:line="2" w:lineRule="exact"/>
        <w:rPr>
          <w:sz w:val="20"/>
          <w:szCs w:val="20"/>
          <w:color w:val="auto"/>
        </w:rPr>
      </w:pPr>
    </w:p>
    <w:p>
      <w:pPr>
        <w:jc w:val="both"/>
        <w:ind w:left="80" w:right="80"/>
        <w:spacing w:after="0" w:line="229" w:lineRule="auto"/>
        <w:rPr>
          <w:sz w:val="20"/>
          <w:szCs w:val="20"/>
          <w:color w:val="auto"/>
        </w:rPr>
      </w:pPr>
      <w:r>
        <w:rPr>
          <w:rFonts w:ascii="Arial" w:cs="Arial" w:eastAsia="Arial" w:hAnsi="Arial"/>
          <w:sz w:val="18"/>
          <w:szCs w:val="18"/>
          <w:color w:val="auto"/>
        </w:rPr>
        <w:t>Finance Borrower and NIFCO, the “Noble Borrowers”), each of the lenders party thereto and JPMorgan Chase Bank, as administrative agent for the lenders (the “Administrative Agent”).</w:t>
      </w:r>
    </w:p>
    <w:p>
      <w:pPr>
        <w:spacing w:after="0" w:line="73" w:lineRule="exact"/>
        <w:rPr>
          <w:sz w:val="20"/>
          <w:szCs w:val="20"/>
          <w:color w:val="auto"/>
        </w:rPr>
      </w:pPr>
    </w:p>
    <w:p>
      <w:pPr>
        <w:jc w:val="both"/>
        <w:ind w:left="80" w:right="60"/>
        <w:spacing w:after="0" w:line="221" w:lineRule="auto"/>
        <w:rPr>
          <w:sz w:val="20"/>
          <w:szCs w:val="20"/>
          <w:color w:val="auto"/>
        </w:rPr>
      </w:pPr>
      <w:r>
        <w:rPr>
          <w:rFonts w:ascii="Arial" w:cs="Arial" w:eastAsia="Arial" w:hAnsi="Arial"/>
          <w:sz w:val="18"/>
          <w:szCs w:val="18"/>
          <w:color w:val="auto"/>
        </w:rPr>
        <w:t>The First Amendment amends the Amended and Restated Senior Secured Revolving Credit Agreement, dated as of April 18, 2023, among the Noble Borrowers, the lenders and other parties party thereto from time to time and the</w:t>
      </w:r>
    </w:p>
    <w:p>
      <w:pPr>
        <w:spacing w:after="0" w:line="1" w:lineRule="exact"/>
        <w:rPr>
          <w:sz w:val="20"/>
          <w:szCs w:val="20"/>
          <w:color w:val="auto"/>
        </w:rPr>
      </w:pPr>
    </w:p>
    <w:p>
      <w:pPr>
        <w:jc w:val="both"/>
        <w:ind w:left="80" w:right="60"/>
        <w:spacing w:after="0" w:line="208" w:lineRule="auto"/>
        <w:rPr>
          <w:sz w:val="20"/>
          <w:szCs w:val="20"/>
          <w:color w:val="auto"/>
        </w:rPr>
      </w:pPr>
      <w:r>
        <w:rPr>
          <w:rFonts w:ascii="Arial" w:cs="Arial" w:eastAsia="Arial" w:hAnsi="Arial"/>
          <w:sz w:val="18"/>
          <w:szCs w:val="18"/>
          <w:color w:val="auto"/>
        </w:rPr>
        <w:t>Administrative Agent, by adding additional restricted payments capacity that, subject to the terms and conditions set forth in the First Amendment, may be used by the Noble Borrowers to make a distribution to Parent for the purpose of funding the cash portion of the consideration (together with certain costs, fees and expenses and taxes</w:t>
      </w:r>
    </w:p>
    <w:p>
      <w:pPr>
        <w:spacing w:after="0" w:line="2" w:lineRule="exact"/>
        <w:rPr>
          <w:sz w:val="20"/>
          <w:szCs w:val="20"/>
          <w:color w:val="auto"/>
        </w:rPr>
      </w:pPr>
    </w:p>
    <w:p>
      <w:pPr>
        <w:jc w:val="both"/>
        <w:ind w:left="80" w:right="80"/>
        <w:spacing w:after="0" w:line="229" w:lineRule="auto"/>
        <w:rPr>
          <w:sz w:val="20"/>
          <w:szCs w:val="20"/>
          <w:color w:val="auto"/>
        </w:rPr>
      </w:pPr>
      <w:r>
        <w:rPr>
          <w:rFonts w:ascii="Arial" w:cs="Arial" w:eastAsia="Arial" w:hAnsi="Arial"/>
          <w:sz w:val="18"/>
          <w:szCs w:val="18"/>
          <w:color w:val="auto"/>
        </w:rPr>
        <w:t>in connection therewith) for the direct or indirect acquisition by Parent of Diamond Offshore Drilling, Inc., a Delaware corporation.</w:t>
      </w:r>
    </w:p>
    <w:p>
      <w:pPr>
        <w:spacing w:after="0" w:line="208" w:lineRule="exact"/>
        <w:rPr>
          <w:sz w:val="20"/>
          <w:szCs w:val="20"/>
          <w:color w:val="auto"/>
        </w:rPr>
      </w:pPr>
    </w:p>
    <w:p>
      <w:pPr>
        <w:jc w:val="both"/>
        <w:ind w:left="80" w:right="80"/>
        <w:spacing w:after="0"/>
        <w:rPr>
          <w:sz w:val="20"/>
          <w:szCs w:val="20"/>
          <w:color w:val="auto"/>
        </w:rPr>
      </w:pPr>
      <w:r>
        <w:rPr>
          <w:rFonts w:ascii="Arial" w:cs="Arial" w:eastAsia="Arial" w:hAnsi="Arial"/>
          <w:sz w:val="18"/>
          <w:szCs w:val="18"/>
          <w:color w:val="auto"/>
        </w:rPr>
        <w:t>The foregoing description of the First Amendment is qualified in its entirety by the full text of the First Amendment, which is attached as Exhibit 10.1 to this Current Report and is incorporated herein by reference.</w:t>
      </w:r>
    </w:p>
    <w:p>
      <w:pPr>
        <w:spacing w:after="0" w:line="200" w:lineRule="exact"/>
        <w:rPr>
          <w:sz w:val="20"/>
          <w:szCs w:val="20"/>
          <w:color w:val="auto"/>
        </w:rPr>
      </w:pPr>
    </w:p>
    <w:p>
      <w:pPr>
        <w:spacing w:after="0" w:line="38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0" w:type="dxa"/>
            <w:vAlign w:val="bottom"/>
            <w:gridSpan w:val="8"/>
          </w:tcPr>
          <w:p>
            <w:pPr>
              <w:spacing w:after="0"/>
              <w:rPr>
                <w:sz w:val="20"/>
                <w:szCs w:val="20"/>
                <w:color w:val="auto"/>
              </w:rPr>
            </w:pPr>
            <w:r>
              <w:rPr>
                <w:rFonts w:ascii="Arial" w:cs="Arial" w:eastAsia="Arial" w:hAnsi="Arial"/>
                <w:sz w:val="18"/>
                <w:szCs w:val="18"/>
                <w:color w:val="auto"/>
              </w:rPr>
              <w:t>(d)  Exhibits</w:t>
            </w:r>
          </w:p>
        </w:tc>
      </w:tr>
      <w:tr>
        <w:trPr>
          <w:trHeight w:val="369"/>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800" w:type="dxa"/>
            <w:vAlign w:val="bottom"/>
          </w:tcPr>
          <w:p>
            <w:pPr>
              <w:spacing w:after="0" w:line="195" w:lineRule="exact"/>
              <w:rPr>
                <w:sz w:val="20"/>
                <w:szCs w:val="20"/>
                <w:color w:val="auto"/>
              </w:rPr>
            </w:pPr>
            <w:r>
              <w:rPr>
                <w:rFonts w:ascii="Arial" w:cs="Arial" w:eastAsia="Arial" w:hAnsi="Arial"/>
                <w:sz w:val="18"/>
                <w:szCs w:val="18"/>
                <w:b w:val="1"/>
                <w:bCs w:val="1"/>
                <w:color w:val="auto"/>
                <w:w w:val="98"/>
              </w:rPr>
              <w:t>NUMBER</w:t>
            </w:r>
          </w:p>
        </w:tc>
        <w:tc>
          <w:tcPr>
            <w:tcW w:w="3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720" w:type="dxa"/>
            <w:vAlign w:val="bottom"/>
            <w:gridSpan w:val="6"/>
          </w:tcPr>
          <w:p>
            <w:pPr>
              <w:spacing w:after="0" w:line="195"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1"/>
                <w:szCs w:val="21"/>
                <w:color w:val="auto"/>
              </w:rPr>
            </w:pPr>
          </w:p>
        </w:tc>
        <w:tc>
          <w:tcPr>
            <w:tcW w:w="82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rPr>
              <w:t>First Amendment to the Amended a</w:t>
            </w:r>
            <w:r>
              <w:rPr>
                <w:rFonts w:ascii="Arial" w:cs="Arial" w:eastAsia="Arial" w:hAnsi="Arial"/>
                <w:sz w:val="18"/>
                <w:szCs w:val="18"/>
                <w:color w:val="0000FF"/>
                <w:highlight w:val="white"/>
              </w:rPr>
              <w:t>nd Restated Senior Secured Revolving Credit Agreement dated</w:t>
            </w:r>
          </w:p>
        </w:tc>
      </w:tr>
      <w:tr>
        <w:trPr>
          <w:trHeight w:val="189"/>
        </w:trPr>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0" w:type="dxa"/>
            <w:vAlign w:val="bottom"/>
            <w:gridSpan w:val="8"/>
          </w:tcPr>
          <w:p>
            <w:pPr>
              <w:spacing w:after="0" w:line="169" w:lineRule="exact"/>
              <w:rPr>
                <w:sz w:val="20"/>
                <w:szCs w:val="20"/>
                <w:color w:val="auto"/>
              </w:rPr>
            </w:pPr>
            <w:r>
              <w:rPr>
                <w:rFonts w:ascii="Arial" w:cs="Arial" w:eastAsia="Arial" w:hAnsi="Arial"/>
                <w:sz w:val="18"/>
                <w:szCs w:val="18"/>
                <w:color w:val="0000FF"/>
                <w:highlight w:val="white"/>
              </w:rPr>
              <w:t>April 18, 2023 by and among the Noble Borrowers</w:t>
            </w:r>
            <w:r>
              <w:rPr>
                <w:rFonts w:ascii="Arial" w:cs="Arial" w:eastAsia="Arial" w:hAnsi="Arial"/>
                <w:sz w:val="18"/>
                <w:szCs w:val="18"/>
                <w:u w:val="single" w:color="auto"/>
                <w:color w:val="0000FF"/>
                <w:highlight w:val="white"/>
              </w:rPr>
              <w:t>,</w:t>
            </w:r>
            <w:r>
              <w:rPr>
                <w:rFonts w:ascii="Arial" w:cs="Arial" w:eastAsia="Arial" w:hAnsi="Arial"/>
                <w:sz w:val="18"/>
                <w:szCs w:val="18"/>
                <w:color w:val="0000FF"/>
                <w:highlight w:val="white"/>
              </w:rPr>
              <w:t xml:space="preserve"> </w:t>
            </w:r>
            <w:r>
              <w:rPr>
                <w:rFonts w:ascii="Arial" w:cs="Arial" w:eastAsia="Arial" w:hAnsi="Arial"/>
                <w:sz w:val="18"/>
                <w:szCs w:val="18"/>
                <w:color w:val="0000FF"/>
              </w:rPr>
              <w:t>the lenders party thereto and JPMorgan Chase</w:t>
            </w:r>
          </w:p>
        </w:tc>
      </w:tr>
      <w:tr>
        <w:trPr>
          <w:trHeight w:val="135"/>
        </w:trPr>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0" w:type="dxa"/>
            <w:vAlign w:val="bottom"/>
            <w:tcBorders>
              <w:top w:val="single" w:sz="8" w:color="0000FF"/>
              <w:bottom w:val="single" w:sz="8" w:color="0000FF"/>
            </w:tcBorders>
          </w:tcPr>
          <w:p>
            <w:pPr>
              <w:spacing w:after="0" w:line="136" w:lineRule="exact"/>
              <w:rPr>
                <w:sz w:val="20"/>
                <w:szCs w:val="20"/>
                <w:color w:val="auto"/>
              </w:rPr>
            </w:pPr>
            <w:r>
              <w:rPr>
                <w:rFonts w:ascii="Arial" w:cs="Arial" w:eastAsia="Arial" w:hAnsi="Arial"/>
                <w:sz w:val="15"/>
                <w:szCs w:val="15"/>
                <w:color w:val="0000FF"/>
              </w:rPr>
              <w:t>Bank, N.A., as administrative agent,</w:t>
            </w:r>
          </w:p>
        </w:tc>
        <w:tc>
          <w:tcPr>
            <w:tcW w:w="1340" w:type="dxa"/>
            <w:vAlign w:val="bottom"/>
            <w:tcBorders>
              <w:top w:val="single" w:sz="8" w:color="0000FF"/>
              <w:bottom w:val="single" w:sz="8" w:color="0000FF"/>
            </w:tcBorders>
            <w:gridSpan w:val="2"/>
          </w:tcPr>
          <w:p>
            <w:pPr>
              <w:ind w:left="100"/>
              <w:spacing w:after="0" w:line="136" w:lineRule="exact"/>
              <w:rPr>
                <w:sz w:val="20"/>
                <w:szCs w:val="20"/>
                <w:color w:val="auto"/>
              </w:rPr>
            </w:pPr>
            <w:r>
              <w:rPr>
                <w:rFonts w:ascii="Arial" w:cs="Arial" w:eastAsia="Arial" w:hAnsi="Arial"/>
                <w:sz w:val="15"/>
                <w:szCs w:val="15"/>
                <w:color w:val="0000FF"/>
              </w:rPr>
              <w:t>collateral agent</w:t>
            </w:r>
          </w:p>
        </w:tc>
        <w:tc>
          <w:tcPr>
            <w:tcW w:w="60" w:type="dxa"/>
            <w:vAlign w:val="bottom"/>
            <w:tcBorders>
              <w:bottom w:val="single" w:sz="8" w:color="0000FF"/>
            </w:tcBorders>
          </w:tcPr>
          <w:p>
            <w:pPr>
              <w:spacing w:after="0"/>
              <w:rPr>
                <w:sz w:val="11"/>
                <w:szCs w:val="11"/>
                <w:color w:val="auto"/>
              </w:rPr>
            </w:pPr>
          </w:p>
        </w:tc>
        <w:tc>
          <w:tcPr>
            <w:tcW w:w="1600" w:type="dxa"/>
            <w:vAlign w:val="bottom"/>
            <w:tcBorders>
              <w:top w:val="single" w:sz="8" w:color="0000FF"/>
              <w:bottom w:val="single" w:sz="8" w:color="0000FF"/>
            </w:tcBorders>
            <w:gridSpan w:val="2"/>
          </w:tcPr>
          <w:p>
            <w:pPr>
              <w:spacing w:after="0" w:line="136" w:lineRule="exact"/>
              <w:rPr>
                <w:sz w:val="20"/>
                <w:szCs w:val="20"/>
                <w:color w:val="auto"/>
              </w:rPr>
            </w:pPr>
            <w:r>
              <w:rPr>
                <w:rFonts w:ascii="Arial" w:cs="Arial" w:eastAsia="Arial" w:hAnsi="Arial"/>
                <w:sz w:val="15"/>
                <w:szCs w:val="15"/>
                <w:color w:val="0000FF"/>
              </w:rPr>
              <w:t>and security trustee.</w:t>
            </w:r>
          </w:p>
        </w:tc>
        <w:tc>
          <w:tcPr>
            <w:tcW w:w="238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r>
    </w:tbl>
    <w:p>
      <w:pPr>
        <w:spacing w:after="0" w:line="76" w:lineRule="exact"/>
        <w:rPr>
          <w:sz w:val="20"/>
          <w:szCs w:val="20"/>
          <w:color w:val="auto"/>
        </w:rPr>
      </w:pPr>
    </w:p>
    <w:p>
      <w:pPr>
        <w:ind w:left="1140" w:hanging="1136"/>
        <w:spacing w:after="0" w:line="256"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790575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20"/>
          </w:cols>
          <w:pgMar w:left="1280" w:top="1268" w:right="1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09" w:lineRule="exact"/>
        <w:rPr>
          <w:sz w:val="20"/>
          <w:szCs w:val="20"/>
          <w:color w:val="auto"/>
        </w:rPr>
      </w:pPr>
    </w:p>
    <w:p>
      <w:pPr>
        <w:ind w:firstLine="446"/>
        <w:spacing w:after="0"/>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NOBLE CORPORATION plc</w:t>
      </w:r>
    </w:p>
    <w:p>
      <w:pPr>
        <w:spacing w:after="0" w:line="116" w:lineRule="exact"/>
        <w:rPr>
          <w:sz w:val="20"/>
          <w:szCs w:val="20"/>
          <w:color w:val="auto"/>
        </w:rPr>
      </w:pPr>
    </w:p>
    <w:p>
      <w:pPr>
        <w:ind w:left="280"/>
        <w:spacing w:after="0"/>
        <w:tabs>
          <w:tab w:leader="none" w:pos="5100" w:val="left"/>
          <w:tab w:leader="none" w:pos="5640" w:val="left"/>
        </w:tabs>
        <w:rPr>
          <w:sz w:val="20"/>
          <w:szCs w:val="20"/>
          <w:color w:val="auto"/>
        </w:rPr>
      </w:pPr>
      <w:r>
        <w:rPr>
          <w:rFonts w:ascii="Arial" w:cs="Arial" w:eastAsia="Arial" w:hAnsi="Arial"/>
          <w:sz w:val="35"/>
          <w:szCs w:val="35"/>
          <w:color w:val="auto"/>
          <w:vertAlign w:val="subscript"/>
        </w:rPr>
        <w:t>Date: June 27,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Jennie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48895</wp:posOffset>
            </wp:positionV>
            <wp:extent cx="2194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6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Jennie Howard</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Senior Vice President, General Counsel</w:t>
      </w:r>
    </w:p>
    <w:p>
      <w:pPr>
        <w:ind w:left="5660"/>
        <w:spacing w:after="0"/>
        <w:rPr>
          <w:sz w:val="20"/>
          <w:szCs w:val="20"/>
          <w:color w:val="auto"/>
        </w:rPr>
      </w:pPr>
      <w:r>
        <w:rPr>
          <w:rFonts w:ascii="Arial" w:cs="Arial" w:eastAsia="Arial" w:hAnsi="Arial"/>
          <w:sz w:val="18"/>
          <w:szCs w:val="18"/>
          <w:color w:val="auto"/>
        </w:rPr>
        <w:t>and Corporate Secretary</w:t>
      </w:r>
    </w:p>
    <w:p>
      <w:pPr>
        <w:sectPr>
          <w:pgSz w:w="11900" w:h="16838" w:orient="portrait"/>
          <w:cols w:equalWidth="0" w:num="1">
            <w:col w:w="9180"/>
          </w:cols>
          <w:pgMar w:left="1360" w:top="688" w:right="1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u w:val="single" w:color="auto"/>
          <w:color w:val="auto"/>
        </w:rPr>
        <w:t>FIRST AMENDMENT TO AMENDED AND RESTATED SENIOR SECURED REVOLVING CREDIT AGREEMENT</w:t>
      </w:r>
    </w:p>
    <w:p>
      <w:pPr>
        <w:spacing w:after="0" w:line="191"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22"/>
          <w:szCs w:val="22"/>
          <w:color w:val="auto"/>
        </w:rPr>
        <w:t>This First Amendment to Amended and Restated Senior Secured Revolving Credit Agreement (this “</w:t>
      </w:r>
      <w:r>
        <w:rPr>
          <w:rFonts w:ascii="Times New Roman" w:cs="Times New Roman" w:eastAsia="Times New Roman" w:hAnsi="Times New Roman"/>
          <w:sz w:val="22"/>
          <w:szCs w:val="22"/>
          <w:i w:val="1"/>
          <w:iCs w:val="1"/>
          <w:color w:val="auto"/>
        </w:rPr>
        <w:t>Amendment</w:t>
      </w:r>
      <w:r>
        <w:rPr>
          <w:rFonts w:ascii="Times New Roman" w:cs="Times New Roman" w:eastAsia="Times New Roman" w:hAnsi="Times New Roman"/>
          <w:sz w:val="22"/>
          <w:szCs w:val="22"/>
          <w:color w:val="auto"/>
        </w:rPr>
        <w:t>”) dated as of June 24, 2024, is by and among NOBLE FINANCE II LLC, a Delaware limited liability company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NOBLE INTERNATIONAL FINANCE COMPANY, an exempted company incorporated in the Cayman Islands with limited liability and a wholly-owned indirect Subsidiary of the Company (“</w:t>
      </w:r>
      <w:r>
        <w:rPr>
          <w:rFonts w:ascii="Times New Roman" w:cs="Times New Roman" w:eastAsia="Times New Roman" w:hAnsi="Times New Roman"/>
          <w:sz w:val="22"/>
          <w:szCs w:val="22"/>
          <w:i w:val="1"/>
          <w:iCs w:val="1"/>
          <w:color w:val="auto"/>
        </w:rPr>
        <w:t>NIFCO</w:t>
      </w:r>
      <w:r>
        <w:rPr>
          <w:rFonts w:ascii="Times New Roman" w:cs="Times New Roman" w:eastAsia="Times New Roman" w:hAnsi="Times New Roman"/>
          <w:sz w:val="22"/>
          <w:szCs w:val="22"/>
          <w:color w:val="auto"/>
        </w:rPr>
        <w:t>”), as a Designated Borrower, NOBLE DRILLING A/S, a company incorporated under the laws of Denmark having its registered office at Lyngby Hovedgade 85, DK-2800 Kgs. Lyngby, Denmark with CVR no. 32673821 and a wholly-owned indirect Subsidiary of the Company (“</w:t>
      </w:r>
      <w:r>
        <w:rPr>
          <w:rFonts w:ascii="Times New Roman" w:cs="Times New Roman" w:eastAsia="Times New Roman" w:hAnsi="Times New Roman"/>
          <w:sz w:val="22"/>
          <w:szCs w:val="22"/>
          <w:i w:val="1"/>
          <w:iCs w:val="1"/>
          <w:color w:val="auto"/>
        </w:rPr>
        <w:t>Noble Drilling A/S</w:t>
      </w:r>
      <w:r>
        <w:rPr>
          <w:rFonts w:ascii="Times New Roman" w:cs="Times New Roman" w:eastAsia="Times New Roman" w:hAnsi="Times New Roman"/>
          <w:sz w:val="22"/>
          <w:szCs w:val="22"/>
          <w:color w:val="auto"/>
        </w:rPr>
        <w:t>”), as a Designated Borrower, each of the Lenders party hereto and JPMORGAN CHASE BANK, N.A., as Administrative Agent for the Lenders.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2"/>
          <w:szCs w:val="22"/>
          <w:color w:val="auto"/>
        </w:rPr>
        <w:t>WHEREAS, the Company, NIFCO, Noble Drilling A/S, the Administrative Agent and the Lenders and other parties from time to time party thereto have entered into that certain Amended and Restated Senior Secured Revolving Credit Agreement dated as of April 18, 2023 (as amended, restated, amended and restated, supplemented or otherwise modified from time to time, the “</w:t>
      </w:r>
      <w:r>
        <w:rPr>
          <w:rFonts w:ascii="Times New Roman" w:cs="Times New Roman" w:eastAsia="Times New Roman" w:hAnsi="Times New Roman"/>
          <w:sz w:val="22"/>
          <w:szCs w:val="22"/>
          <w:i w:val="1"/>
          <w:iCs w:val="1"/>
          <w:color w:val="auto"/>
        </w:rPr>
        <w:t>Credit Agreement</w:t>
      </w:r>
      <w:r>
        <w:rPr>
          <w:rFonts w:ascii="Times New Roman" w:cs="Times New Roman" w:eastAsia="Times New Roman" w:hAnsi="Times New Roman"/>
          <w:sz w:val="22"/>
          <w:szCs w:val="22"/>
          <w:color w:val="auto"/>
        </w:rPr>
        <w:t>”).</w:t>
      </w:r>
    </w:p>
    <w:p>
      <w:pPr>
        <w:spacing w:after="0" w:line="104"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WHEREAS, the Borrowers have requested, and the Lenders party hereto (which constitute Required Lenders) have agreed, to amend the Credit Agreement on the terms and conditions set forth herein.</w:t>
      </w:r>
    </w:p>
    <w:p>
      <w:pPr>
        <w:spacing w:after="0" w:line="91"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NOW, THEREFORE, to induce the Lenders party hereto to enter into this Amendment and in consideration of the premises and the mutual covenants herein contained, for good and valuable consideration, the receipt and sufficiency of which are hereby acknowledged, the parties hereto agree as follows:</w:t>
      </w:r>
    </w:p>
    <w:p>
      <w:pPr>
        <w:spacing w:after="0" w:line="99"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Unless otherwise defined in this Amendment, each capitalized term used in this Amendment, including the introductory paragraph and recitals hereto, has the meaning assigned to such term in the Credit Agreement.</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Amendment to Credit Agreement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firstLine="656"/>
        <w:spacing w:after="0" w:line="296" w:lineRule="auto"/>
        <w:tabs>
          <w:tab w:leader="none" w:pos="98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of the Credit Agreement is hereby amended by adding the following new defined terms in proper alphabetical order as follows:</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Diamond Offshore”</w:t>
      </w:r>
      <w:r>
        <w:rPr>
          <w:rFonts w:ascii="Times New Roman" w:cs="Times New Roman" w:eastAsia="Times New Roman" w:hAnsi="Times New Roman"/>
          <w:sz w:val="22"/>
          <w:szCs w:val="22"/>
          <w:color w:val="auto"/>
        </w:rPr>
        <w:t xml:space="preserve"> means, Diamond Offshore Drilling, Inc. a Delaware corporation.</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Diamond Offshore Merger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7.5(a)(ix)</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firstLine="648"/>
        <w:spacing w:after="0" w:line="30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Diamond Offshore Merger Agreement</w:t>
      </w:r>
      <w:r>
        <w:rPr>
          <w:rFonts w:ascii="Times New Roman" w:cs="Times New Roman" w:eastAsia="Times New Roman" w:hAnsi="Times New Roman"/>
          <w:sz w:val="22"/>
          <w:szCs w:val="22"/>
          <w:color w:val="auto"/>
        </w:rPr>
        <w:t>” means, that certain Agreement and Plan of Merger, dated as of June 9, 2024, by and among Noble Parent Company, Dolphin Merger Sub 1,</w:t>
      </w:r>
    </w:p>
    <w:p>
      <w:pPr>
        <w:sectPr>
          <w:pgSz w:w="11900" w:h="16838" w:orient="portrait"/>
          <w:cols w:equalWidth="0" w:num="1">
            <w:col w:w="11240"/>
          </w:cols>
          <w:pgMar w:left="320" w:top="117" w:right="339" w:bottom="1440" w:gutter="0" w:footer="0" w:header="0"/>
        </w:sectPr>
      </w:pPr>
    </w:p>
    <w:bookmarkStart w:id="4" w:name="page5"/>
    <w:bookmarkEnd w:id="4"/>
    <w:p>
      <w:pPr>
        <w:spacing w:after="0" w:line="296" w:lineRule="auto"/>
        <w:rPr>
          <w:sz w:val="20"/>
          <w:szCs w:val="20"/>
          <w:color w:val="auto"/>
        </w:rPr>
      </w:pPr>
      <w:r>
        <w:rPr>
          <w:rFonts w:ascii="Times New Roman" w:cs="Times New Roman" w:eastAsia="Times New Roman" w:hAnsi="Times New Roman"/>
          <w:sz w:val="22"/>
          <w:szCs w:val="22"/>
          <w:color w:val="auto"/>
        </w:rPr>
        <w:t>Inc., Dolphin Merger Sub 2, Inc. and Diamond Offshore, as amended, restated or modified from time to time and for so long as such agreement is in full force and effect and has not been terminated.</w:t>
      </w:r>
    </w:p>
    <w:p>
      <w:pPr>
        <w:spacing w:after="0" w:line="105" w:lineRule="exact"/>
        <w:rPr>
          <w:sz w:val="20"/>
          <w:szCs w:val="20"/>
          <w:color w:val="auto"/>
        </w:rPr>
      </w:pPr>
    </w:p>
    <w:p>
      <w:pPr>
        <w:jc w:val="both"/>
        <w:ind w:firstLine="656"/>
        <w:spacing w:after="0" w:line="282" w:lineRule="auto"/>
        <w:tabs>
          <w:tab w:leader="none" w:pos="95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7.5(a)</w:t>
      </w:r>
      <w:r>
        <w:rPr>
          <w:rFonts w:ascii="Times New Roman" w:cs="Times New Roman" w:eastAsia="Times New Roman" w:hAnsi="Times New Roman"/>
          <w:sz w:val="22"/>
          <w:szCs w:val="22"/>
          <w:color w:val="auto"/>
        </w:rPr>
        <w:t xml:space="preserve"> of the Credit Agreement is hereby amended by (a) deleting the word “and” at the end of </w:t>
      </w:r>
      <w:r>
        <w:rPr>
          <w:rFonts w:ascii="Times New Roman" w:cs="Times New Roman" w:eastAsia="Times New Roman" w:hAnsi="Times New Roman"/>
          <w:sz w:val="22"/>
          <w:szCs w:val="22"/>
          <w:u w:val="single" w:color="auto"/>
          <w:color w:val="auto"/>
        </w:rPr>
        <w:t>Section 7.5(a)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xml:space="preserve">, (b) replacing “.” at the end of Section </w:t>
      </w:r>
      <w:r>
        <w:rPr>
          <w:rFonts w:ascii="Times New Roman" w:cs="Times New Roman" w:eastAsia="Times New Roman" w:hAnsi="Times New Roman"/>
          <w:sz w:val="22"/>
          <w:szCs w:val="22"/>
          <w:u w:val="single" w:color="auto"/>
          <w:color w:val="auto"/>
        </w:rPr>
        <w:t>7.5(a)(viii)</w:t>
      </w:r>
      <w:r>
        <w:rPr>
          <w:rFonts w:ascii="Times New Roman" w:cs="Times New Roman" w:eastAsia="Times New Roman" w:hAnsi="Times New Roman"/>
          <w:sz w:val="22"/>
          <w:szCs w:val="22"/>
          <w:color w:val="auto"/>
        </w:rPr>
        <w:t xml:space="preserve"> with “; and” and (c) adding the following new </w:t>
      </w:r>
      <w:r>
        <w:rPr>
          <w:rFonts w:ascii="Times New Roman" w:cs="Times New Roman" w:eastAsia="Times New Roman" w:hAnsi="Times New Roman"/>
          <w:sz w:val="22"/>
          <w:szCs w:val="22"/>
          <w:u w:val="single" w:color="auto"/>
          <w:color w:val="auto"/>
        </w:rPr>
        <w:t>Section 7.5(a)(ix)</w:t>
      </w:r>
      <w:r>
        <w:rPr>
          <w:rFonts w:ascii="Times New Roman" w:cs="Times New Roman" w:eastAsia="Times New Roman" w:hAnsi="Times New Roman"/>
          <w:sz w:val="22"/>
          <w:szCs w:val="22"/>
          <w:color w:val="auto"/>
        </w:rPr>
        <w:t xml:space="preserve"> which reads as follows:</w:t>
      </w:r>
    </w:p>
    <w:p>
      <w:pPr>
        <w:spacing w:after="0" w:line="121" w:lineRule="exact"/>
        <w:rPr>
          <w:sz w:val="20"/>
          <w:szCs w:val="20"/>
          <w:color w:val="auto"/>
        </w:rPr>
      </w:pPr>
    </w:p>
    <w:p>
      <w:pPr>
        <w:jc w:val="both"/>
        <w:ind w:left="1300" w:right="640" w:firstLine="648"/>
        <w:spacing w:after="0" w:line="290" w:lineRule="auto"/>
        <w:rPr>
          <w:sz w:val="20"/>
          <w:szCs w:val="20"/>
          <w:color w:val="auto"/>
        </w:rPr>
      </w:pPr>
      <w:r>
        <w:rPr>
          <w:rFonts w:ascii="Times New Roman" w:cs="Times New Roman" w:eastAsia="Times New Roman" w:hAnsi="Times New Roman"/>
          <w:sz w:val="21"/>
          <w:szCs w:val="21"/>
          <w:color w:val="auto"/>
        </w:rPr>
        <w:t>“(ix) Restricted Payments in an aggregate amount not to exceed $660,000,000 in respect of (x) the cash portion of the transaction consideration and (y) related costs, fees, expenses and Taxes payable by Noble Parent Company in connection with its direct or indirect acquisition of Diamond Offshore pursuant to the Diamond Offshore Merger Agreement (such acquisition, the “</w:t>
      </w:r>
      <w:r>
        <w:rPr>
          <w:rFonts w:ascii="Times New Roman" w:cs="Times New Roman" w:eastAsia="Times New Roman" w:hAnsi="Times New Roman"/>
          <w:sz w:val="21"/>
          <w:szCs w:val="21"/>
          <w:i w:val="1"/>
          <w:iCs w:val="1"/>
          <w:color w:val="auto"/>
        </w:rPr>
        <w:t>Diamond Offshore Merger</w:t>
      </w:r>
      <w:r>
        <w:rPr>
          <w:rFonts w:ascii="Times New Roman" w:cs="Times New Roman" w:eastAsia="Times New Roman" w:hAnsi="Times New Roman"/>
          <w:sz w:val="21"/>
          <w:szCs w:val="21"/>
          <w:color w:val="auto"/>
        </w:rPr>
        <w:t xml:space="preserve">”), so long as (A) immediately after giving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effect thereto and any concurrent incurrence of Indebtedness, (x) the Consolidated Total Net Leverage Ratio is less than or equal to 2.00 to 1.00 and (y) Liquidity is greater than or equal to $500,000,000, (B) immediately before and after giving effect thereto, no Default or Event of Default has occurred and is continuing and (C) any such Restricted Payment pursuant to clause (x) above is made substantially concurrently with the consummation of the Diamond Offshore Merger in accordance with the terms and conditions set forth in the Diamond Offshore Merger Agreement.”</w:t>
      </w:r>
    </w:p>
    <w:p>
      <w:pPr>
        <w:spacing w:after="0" w:line="120" w:lineRule="exact"/>
        <w:rPr>
          <w:sz w:val="20"/>
          <w:szCs w:val="20"/>
          <w:color w:val="auto"/>
        </w:rPr>
      </w:pPr>
    </w:p>
    <w:p>
      <w:pPr>
        <w:ind w:firstLine="648"/>
        <w:spacing w:after="0" w:line="296"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xml:space="preserve">. This Amendment shall become effective on the first date on which each of the conditions set forth in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is satisfied (such date, the “</w:t>
      </w:r>
      <w:r>
        <w:rPr>
          <w:rFonts w:ascii="Times New Roman" w:cs="Times New Roman" w:eastAsia="Times New Roman" w:hAnsi="Times New Roman"/>
          <w:sz w:val="22"/>
          <w:szCs w:val="22"/>
          <w:i w:val="1"/>
          <w:iCs w:val="1"/>
          <w:color w:val="auto"/>
        </w:rPr>
        <w:t>First Amendment Effective Date</w:t>
      </w:r>
      <w:r>
        <w:rPr>
          <w:rFonts w:ascii="Times New Roman" w:cs="Times New Roman" w:eastAsia="Times New Roman" w:hAnsi="Times New Roman"/>
          <w:sz w:val="22"/>
          <w:szCs w:val="22"/>
          <w:color w:val="auto"/>
        </w:rPr>
        <w:t>”):</w:t>
      </w:r>
    </w:p>
    <w:p>
      <w:pPr>
        <w:spacing w:after="0" w:line="91" w:lineRule="exact"/>
        <w:rPr>
          <w:sz w:val="20"/>
          <w:szCs w:val="20"/>
          <w:color w:val="auto"/>
        </w:rPr>
      </w:pPr>
    </w:p>
    <w:p>
      <w:pPr>
        <w:ind w:left="660" w:firstLine="644"/>
        <w:spacing w:after="0" w:line="309" w:lineRule="auto"/>
        <w:tabs>
          <w:tab w:leader="none" w:pos="191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executed this Amendment and shall have received duly executed counterparts of this Amendment from the Borrowers and the Required Lenders.</w:t>
      </w:r>
    </w:p>
    <w:p>
      <w:pPr>
        <w:spacing w:after="0" w:line="77" w:lineRule="exact"/>
        <w:rPr>
          <w:rFonts w:ascii="Times New Roman" w:cs="Times New Roman" w:eastAsia="Times New Roman" w:hAnsi="Times New Roman"/>
          <w:sz w:val="22"/>
          <w:szCs w:val="22"/>
          <w:color w:val="auto"/>
        </w:rPr>
      </w:pPr>
    </w:p>
    <w:p>
      <w:pPr>
        <w:jc w:val="both"/>
        <w:ind w:left="660" w:firstLine="644"/>
        <w:spacing w:after="0" w:line="282" w:lineRule="auto"/>
        <w:tabs>
          <w:tab w:leader="none" w:pos="179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shall have paid all fees, costs and expenses then due and owing to the Administrative Agent, including, to the extent invoiced two (2) Business Days prior to the First Amendment Effective Date, all reasonable and documented fees and expenses of Simpson Thacher &amp; Bartlett LLP.</w:t>
      </w:r>
    </w:p>
    <w:p>
      <w:pPr>
        <w:spacing w:after="0" w:line="120" w:lineRule="exact"/>
        <w:rPr>
          <w:rFonts w:ascii="Times New Roman" w:cs="Times New Roman" w:eastAsia="Times New Roman" w:hAnsi="Times New Roman"/>
          <w:sz w:val="22"/>
          <w:szCs w:val="22"/>
          <w:color w:val="auto"/>
        </w:rPr>
      </w:pPr>
    </w:p>
    <w:p>
      <w:pPr>
        <w:jc w:val="both"/>
        <w:ind w:left="660" w:firstLine="644"/>
        <w:spacing w:after="0" w:line="279" w:lineRule="auto"/>
        <w:tabs>
          <w:tab w:leader="none" w:pos="188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representation and warranty of the Company and its Restricted Subsidiaries set forth in the Credit Agreement and in the other Credit Documents shall be true and correct in all material respects on and as of the First Amendment Effective Date (unless qualified by materiality or Material Adverse Effect, in which case such representation or warranty shall be true and correct in all respects), except as a result of the transactions expressly permitted under the Credit Agreement or such other Credit</w:t>
      </w:r>
    </w:p>
    <w:p>
      <w:pPr>
        <w:sectPr>
          <w:pgSz w:w="11900" w:h="16838" w:orient="portrait"/>
          <w:cols w:equalWidth="0" w:num="1">
            <w:col w:w="11240"/>
          </w:cols>
          <w:pgMar w:left="320" w:top="1435" w:right="339" w:bottom="1440" w:gutter="0" w:footer="0" w:header="0"/>
        </w:sectPr>
      </w:pPr>
    </w:p>
    <w:bookmarkStart w:id="5" w:name="page6"/>
    <w:bookmarkEnd w:id="5"/>
    <w:p>
      <w:pPr>
        <w:jc w:val="both"/>
        <w:ind w:left="660"/>
        <w:spacing w:after="0" w:line="289" w:lineRule="auto"/>
        <w:rPr>
          <w:sz w:val="20"/>
          <w:szCs w:val="20"/>
          <w:color w:val="auto"/>
        </w:rPr>
      </w:pPr>
      <w:r>
        <w:rPr>
          <w:rFonts w:ascii="Times New Roman" w:cs="Times New Roman" w:eastAsia="Times New Roman" w:hAnsi="Times New Roman"/>
          <w:sz w:val="22"/>
          <w:szCs w:val="22"/>
          <w:color w:val="auto"/>
        </w:rPr>
        <w:t>Documents and except to the extent that any such representation or warranty relates solely to an earlier date, in which case it shall have been true and correct in all material respects (unless qualified by materiality or Material Adverse Effect, in which case such representation shall be true and correct in all respects) as of such earlier date.</w:t>
      </w:r>
    </w:p>
    <w:p>
      <w:pPr>
        <w:spacing w:after="0" w:line="99" w:lineRule="exact"/>
        <w:rPr>
          <w:sz w:val="20"/>
          <w:szCs w:val="20"/>
          <w:color w:val="auto"/>
        </w:rPr>
      </w:pPr>
    </w:p>
    <w:p>
      <w:pPr>
        <w:ind w:left="660" w:firstLine="644"/>
        <w:spacing w:after="0" w:line="296" w:lineRule="auto"/>
        <w:tabs>
          <w:tab w:leader="none" w:pos="184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shall have occurred and be continuing immediately before or immediately after the First Amendment Effective Date.</w:t>
      </w:r>
    </w:p>
    <w:p>
      <w:pPr>
        <w:spacing w:after="0" w:line="105" w:lineRule="exact"/>
        <w:rPr>
          <w:sz w:val="20"/>
          <w:szCs w:val="20"/>
          <w:color w:val="auto"/>
        </w:rPr>
      </w:pPr>
    </w:p>
    <w:p>
      <w:pPr>
        <w:ind w:firstLine="648"/>
        <w:spacing w:after="0" w:line="296" w:lineRule="auto"/>
        <w:rPr>
          <w:sz w:val="20"/>
          <w:szCs w:val="20"/>
          <w:color w:val="auto"/>
        </w:rPr>
      </w:pPr>
      <w:r>
        <w:rPr>
          <w:rFonts w:ascii="Times New Roman" w:cs="Times New Roman" w:eastAsia="Times New Roman" w:hAnsi="Times New Roman"/>
          <w:sz w:val="22"/>
          <w:szCs w:val="22"/>
          <w:color w:val="auto"/>
        </w:rPr>
        <w:t>The Administrative Agent shall promptly notify the Company and the Lenders of the First Amendment Effective Date, and such notice shall be conclusive and binding.</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Governing Law; Submission to Jurisdiction; Waiver of Jury Trial</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ind w:left="660" w:firstLine="927"/>
        <w:spacing w:after="0" w:line="313" w:lineRule="auto"/>
        <w:tabs>
          <w:tab w:leader="none" w:pos="2121"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THIS AMENDMENT SHALL BE CONSTRUED IN ACCORDANCE WITH AND GOVERNED BY THE INTERNAL LAWS OF THE STATE OF NEW YORK.</w:t>
      </w:r>
    </w:p>
    <w:p>
      <w:pPr>
        <w:spacing w:after="0" w:line="69" w:lineRule="exact"/>
        <w:rPr>
          <w:rFonts w:ascii="Times New Roman" w:cs="Times New Roman" w:eastAsia="Times New Roman" w:hAnsi="Times New Roman"/>
          <w:sz w:val="22"/>
          <w:szCs w:val="22"/>
          <w:b w:val="1"/>
          <w:bCs w:val="1"/>
          <w:color w:val="auto"/>
        </w:rPr>
      </w:pPr>
    </w:p>
    <w:p>
      <w:pPr>
        <w:jc w:val="both"/>
        <w:ind w:left="660" w:firstLine="1136"/>
        <w:spacing w:after="0" w:line="291" w:lineRule="auto"/>
        <w:tabs>
          <w:tab w:leader="none" w:pos="2552" w:val="left"/>
        </w:tabs>
        <w:numPr>
          <w:ilvl w:val="1"/>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THE PROVISIONS OF SECTION 11.15(b) AND SECTION 11.5(c) OF THE CREDIT AGREEMENT SHALL APPLY TO THIS AMENDMENT AS IF EACH HAD BEEN FULLY SET FORTH HEREIN, </w:t>
      </w:r>
      <w:r>
        <w:rPr>
          <w:rFonts w:ascii="Times New Roman" w:cs="Times New Roman" w:eastAsia="Times New Roman" w:hAnsi="Times New Roman"/>
          <w:sz w:val="22"/>
          <w:szCs w:val="22"/>
          <w:b w:val="1"/>
          <w:bCs w:val="1"/>
          <w:i w:val="1"/>
          <w:iCs w:val="1"/>
          <w:color w:val="auto"/>
        </w:rPr>
        <w:t>MUTATIS MUTANDIS</w:t>
      </w:r>
      <w:r>
        <w:rPr>
          <w:rFonts w:ascii="Times New Roman" w:cs="Times New Roman" w:eastAsia="Times New Roman" w:hAnsi="Times New Roman"/>
          <w:sz w:val="22"/>
          <w:szCs w:val="22"/>
          <w:b w:val="1"/>
          <w:bCs w:val="1"/>
          <w:color w:val="auto"/>
        </w:rPr>
        <w:t>.</w:t>
      </w:r>
    </w:p>
    <w:p>
      <w:pPr>
        <w:spacing w:after="0" w:line="96"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Company hereby represents and warrants to the Administrative Agent and each Lender that (a) as of the First Amendment Effective Date, each representation and warranty of the Company and its Restricted Subsidiaries set forth in the Credit Agreement and in the other Credit Documents is true and correct in all material respects on and as of the First Amendment Effective Date (unless qualified by materiality or Material Adverse Effect, in which case such representation or warranty is true and correct in all respects), except as a result of the transactions expressly permitted under the Credit Agreement or such other Credit Documents and except to the extent that any such representation or warranty relates solely to an earlier date, in which case it shall have been true and correct in all material respects (unless qualified by materiality or Material Adverse Effect, in which case such representation shall be true and correct in all respects) as of such earlier date and (b) no Default or Event of Default shall have occurred and be continuing immediately before or immediately after the First Amendment Effective Date.</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82" w:lineRule="auto"/>
        <w:tabs>
          <w:tab w:leader="none" w:pos="1977"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and after the First Amendment Effective Date, each reference in the Credit Agreement to “this Agreement”, “hereunder”, “hereof” or words of like import referring to the Credit Agreement, and each reference in each other Credit Document to “the Credit Agreement”, “thereunder”, “thereof” or words of like import referring to the Credit Agreement, shall mean and be a reference to the Credit Agreement as amended or</w:t>
      </w:r>
    </w:p>
    <w:p>
      <w:pPr>
        <w:sectPr>
          <w:pgSz w:w="11900" w:h="16838" w:orient="portrait"/>
          <w:cols w:equalWidth="0" w:num="1">
            <w:col w:w="11240"/>
          </w:cols>
          <w:pgMar w:left="320" w:top="143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otherwise modified by this Amendment as such provisions of this Amendment are in effect on and after such date.</w:t>
      </w:r>
    </w:p>
    <w:p>
      <w:pPr>
        <w:spacing w:after="0" w:line="179" w:lineRule="exact"/>
        <w:rPr>
          <w:sz w:val="20"/>
          <w:szCs w:val="20"/>
          <w:color w:val="auto"/>
        </w:rPr>
      </w:pPr>
    </w:p>
    <w:p>
      <w:pPr>
        <w:jc w:val="both"/>
        <w:ind w:firstLine="644"/>
        <w:spacing w:after="0" w:line="289" w:lineRule="auto"/>
        <w:tabs>
          <w:tab w:leader="none" w:pos="1139"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effectiveness of this Amendment shall not, except as expressly provided herein, operate as an amendment or modification of the Credit Agreement or any other Credit Documents, nor constitute a waiver of any provision of any of the Credit Documents.</w:t>
      </w:r>
    </w:p>
    <w:p>
      <w:pPr>
        <w:spacing w:after="0" w:line="98" w:lineRule="exact"/>
        <w:rPr>
          <w:rFonts w:ascii="Times New Roman" w:cs="Times New Roman" w:eastAsia="Times New Roman" w:hAnsi="Times New Roman"/>
          <w:sz w:val="22"/>
          <w:szCs w:val="22"/>
          <w:color w:val="auto"/>
        </w:rPr>
      </w:pPr>
    </w:p>
    <w:p>
      <w:pPr>
        <w:ind w:firstLine="644"/>
        <w:spacing w:after="0" w:line="335" w:lineRule="auto"/>
        <w:tabs>
          <w:tab w:leader="none" w:pos="1105"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may be executed in any number of counterparts, all of which taken together shall constitute one and the same instrument and any of the parties hereto may execute this Agreement by signing any such counterpart.</w:t>
      </w:r>
    </w:p>
    <w:p>
      <w:pPr>
        <w:spacing w:after="0" w:line="54" w:lineRule="exact"/>
        <w:rPr>
          <w:rFonts w:ascii="Times New Roman" w:cs="Times New Roman" w:eastAsia="Times New Roman" w:hAnsi="Times New Roman"/>
          <w:sz w:val="21"/>
          <w:szCs w:val="21"/>
          <w:color w:val="auto"/>
        </w:rPr>
      </w:pPr>
    </w:p>
    <w:p>
      <w:pPr>
        <w:ind w:firstLine="644"/>
        <w:spacing w:after="0" w:line="296" w:lineRule="auto"/>
        <w:tabs>
          <w:tab w:leader="none" w:pos="115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Delivery of an executed counterpart of a signature page to this Amendment by telecopier or electronic mail shall be effective as delivery of a manually executed counterpart of this Amendment.</w:t>
      </w:r>
    </w:p>
    <w:p>
      <w:pPr>
        <w:spacing w:after="0" w:line="91" w:lineRule="exact"/>
        <w:rPr>
          <w:rFonts w:ascii="Times New Roman" w:cs="Times New Roman" w:eastAsia="Times New Roman" w:hAnsi="Times New Roman"/>
          <w:sz w:val="22"/>
          <w:szCs w:val="22"/>
          <w:color w:val="auto"/>
        </w:rPr>
      </w:pPr>
    </w:p>
    <w:p>
      <w:pPr>
        <w:jc w:val="both"/>
        <w:ind w:firstLine="644"/>
        <w:spacing w:after="0" w:line="282" w:lineRule="auto"/>
        <w:tabs>
          <w:tab w:leader="none" w:pos="1109"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Company, NIFCO and Noble Drilling A/S hereby (i) acknowledges the terms of this Amendment and (ii) ratifies and affirms its obligations under, and acknowledges, renews and extends its continued liability under, each Credit Document to which it is a party and agrees that each Credit Document to which it is a party remains in full force and effect, except as expressly amended or modified hereby.</w:t>
      </w:r>
    </w:p>
    <w:p>
      <w:pPr>
        <w:spacing w:after="0" w:line="120" w:lineRule="exact"/>
        <w:rPr>
          <w:rFonts w:ascii="Times New Roman" w:cs="Times New Roman" w:eastAsia="Times New Roman" w:hAnsi="Times New Roman"/>
          <w:sz w:val="22"/>
          <w:szCs w:val="22"/>
          <w:color w:val="auto"/>
        </w:rPr>
      </w:pPr>
    </w:p>
    <w:p>
      <w:pPr>
        <w:ind w:firstLine="644"/>
        <w:spacing w:after="0" w:line="296" w:lineRule="auto"/>
        <w:tabs>
          <w:tab w:leader="none" w:pos="108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is a Credit Document as defined and described in the Credit Agreement and all of the terms and provisions of the Credit Agreement relating to Credit Documents shall apply hereto.</w:t>
      </w:r>
    </w:p>
    <w:p>
      <w:pPr>
        <w:spacing w:after="0" w:line="91" w:lineRule="exact"/>
        <w:rPr>
          <w:rFonts w:ascii="Times New Roman" w:cs="Times New Roman" w:eastAsia="Times New Roman" w:hAnsi="Times New Roman"/>
          <w:sz w:val="22"/>
          <w:szCs w:val="22"/>
          <w:color w:val="auto"/>
        </w:rPr>
      </w:pPr>
    </w:p>
    <w:p>
      <w:pPr>
        <w:jc w:val="both"/>
        <w:ind w:firstLine="644"/>
        <w:spacing w:after="0" w:line="282" w:lineRule="auto"/>
        <w:tabs>
          <w:tab w:leader="none" w:pos="119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provision of this Amendment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07" w:lineRule="exact"/>
        <w:rPr>
          <w:rFonts w:ascii="Times New Roman" w:cs="Times New Roman" w:eastAsia="Times New Roman" w:hAnsi="Times New Roman"/>
          <w:sz w:val="22"/>
          <w:szCs w:val="22"/>
          <w:color w:val="auto"/>
        </w:rPr>
      </w:pPr>
    </w:p>
    <w:p>
      <w:pPr>
        <w:jc w:val="both"/>
        <w:ind w:firstLine="644"/>
        <w:spacing w:after="0" w:line="304" w:lineRule="auto"/>
        <w:tabs>
          <w:tab w:leader="none" w:pos="1415"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CREDIT AGREEMENT AND THE OTHER CREDIT DOCUMENTS, INCLUDING THIS AMENDMENT, REPRESENT THE FINAL AGREEMENT BETWEEN THE PARTIES AND MAY NOT BE CONTRADICTED BY EVIDENCE OF PRIOR, CONTEMPORANEOUS, OR SUBSEQUENT ORAL AGREEMENTS OF THE PARTIES. THERE ARE NO UNWRITTEN ORAL AGREEMENTS BETWEEN THE PARTIES.</w:t>
      </w:r>
    </w:p>
    <w:p>
      <w:pPr>
        <w:spacing w:after="0" w:line="200" w:lineRule="exact"/>
        <w:rPr>
          <w:sz w:val="20"/>
          <w:szCs w:val="20"/>
          <w:color w:val="auto"/>
        </w:rPr>
      </w:pPr>
    </w:p>
    <w:p>
      <w:pPr>
        <w:spacing w:after="0" w:line="27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[Signature Pages Follow]</w:t>
      </w:r>
    </w:p>
    <w:p>
      <w:pPr>
        <w:sectPr>
          <w:pgSz w:w="11900" w:h="16838" w:orient="portrait"/>
          <w:cols w:equalWidth="0" w:num="1">
            <w:col w:w="10580"/>
          </w:cols>
          <w:pgMar w:left="980" w:top="1435" w:right="339" w:bottom="1440" w:gutter="0" w:footer="0" w:header="0"/>
        </w:sectPr>
      </w:pPr>
    </w:p>
    <w:bookmarkStart w:id="7" w:name="page8"/>
    <w:bookmarkEnd w:id="7"/>
    <w:p>
      <w:pPr>
        <w:ind w:firstLine="648"/>
        <w:spacing w:after="0" w:line="296"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executed by their officers thereunto duly authorized as of the date first above written.</w:t>
      </w:r>
    </w:p>
    <w:p>
      <w:pPr>
        <w:spacing w:after="0" w:line="200" w:lineRule="exact"/>
        <w:rPr>
          <w:sz w:val="20"/>
          <w:szCs w:val="20"/>
          <w:color w:val="auto"/>
        </w:rPr>
      </w:pPr>
    </w:p>
    <w:p>
      <w:pPr>
        <w:spacing w:after="0" w:line="269" w:lineRule="exact"/>
        <w:rPr>
          <w:sz w:val="20"/>
          <w:szCs w:val="20"/>
          <w:color w:val="auto"/>
        </w:rPr>
      </w:pPr>
    </w:p>
    <w:p>
      <w:pPr>
        <w:ind w:left="3720" w:right="360"/>
        <w:spacing w:after="0" w:line="271" w:lineRule="auto"/>
        <w:rPr>
          <w:sz w:val="20"/>
          <w:szCs w:val="20"/>
          <w:color w:val="auto"/>
        </w:rPr>
      </w:pPr>
      <w:r>
        <w:rPr>
          <w:rFonts w:ascii="Times New Roman" w:cs="Times New Roman" w:eastAsia="Times New Roman" w:hAnsi="Times New Roman"/>
          <w:sz w:val="22"/>
          <w:szCs w:val="22"/>
          <w:color w:val="auto"/>
        </w:rPr>
        <w:t>NOBLE FINANCE II LLC, a Delaware limited liability company, as the Company and a Borrower</w:t>
      </w:r>
    </w:p>
    <w:p>
      <w:pPr>
        <w:spacing w:after="0" w:line="200" w:lineRule="exact"/>
        <w:rPr>
          <w:sz w:val="20"/>
          <w:szCs w:val="20"/>
          <w:color w:val="auto"/>
        </w:rPr>
      </w:pPr>
    </w:p>
    <w:p>
      <w:pPr>
        <w:spacing w:after="0" w:line="241" w:lineRule="exact"/>
        <w:rPr>
          <w:sz w:val="20"/>
          <w:szCs w:val="20"/>
          <w:color w:val="auto"/>
        </w:rPr>
      </w:pPr>
    </w:p>
    <w:p>
      <w:pPr>
        <w:ind w:left="3720"/>
        <w:spacing w:after="0"/>
        <w:tabs>
          <w:tab w:leader="none" w:pos="4220" w:val="left"/>
        </w:tabs>
        <w:rPr>
          <w:sz w:val="20"/>
          <w:szCs w:val="20"/>
          <w:color w:val="auto"/>
        </w:rPr>
      </w:pPr>
      <w:r>
        <w:rPr>
          <w:rFonts w:ascii="Times New Roman" w:cs="Times New Roman" w:eastAsia="Times New Roman" w:hAnsi="Times New Roman"/>
          <w:sz w:val="22"/>
          <w:szCs w:val="22"/>
          <w:color w:val="auto"/>
        </w:rPr>
        <w:t>By:</w:t>
        <w:tab/>
        <w:t>/s/ Brad A.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2554605</wp:posOffset>
            </wp:positionH>
            <wp:positionV relativeFrom="paragraph">
              <wp:posOffset>-13970</wp:posOffset>
            </wp:positionV>
            <wp:extent cx="1645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8" w:lineRule="exact"/>
        <w:rPr>
          <w:sz w:val="20"/>
          <w:szCs w:val="20"/>
          <w:color w:val="auto"/>
        </w:rPr>
      </w:pPr>
    </w:p>
    <w:p>
      <w:pPr>
        <w:ind w:left="3720"/>
        <w:spacing w:after="0"/>
        <w:tabs>
          <w:tab w:leader="none" w:pos="4480" w:val="left"/>
        </w:tabs>
        <w:rPr>
          <w:sz w:val="20"/>
          <w:szCs w:val="20"/>
          <w:color w:val="auto"/>
        </w:rPr>
      </w:pPr>
      <w:r>
        <w:rPr>
          <w:rFonts w:ascii="Times New Roman" w:cs="Times New Roman" w:eastAsia="Times New Roman" w:hAnsi="Times New Roman"/>
          <w:sz w:val="22"/>
          <w:szCs w:val="22"/>
          <w:color w:val="auto"/>
        </w:rPr>
        <w:t>Name:</w:t>
        <w:tab/>
        <w:t>Brad A. Baldwin</w:t>
      </w:r>
    </w:p>
    <w:p>
      <w:pPr>
        <w:spacing w:after="0" w:line="4" w:lineRule="exact"/>
        <w:rPr>
          <w:sz w:val="20"/>
          <w:szCs w:val="20"/>
          <w:color w:val="auto"/>
        </w:rPr>
      </w:pPr>
    </w:p>
    <w:p>
      <w:pPr>
        <w:ind w:left="3720"/>
        <w:spacing w:after="0"/>
        <w:tabs>
          <w:tab w:leader="none" w:pos="4420" w:val="left"/>
        </w:tabs>
        <w:rPr>
          <w:sz w:val="20"/>
          <w:szCs w:val="20"/>
          <w:color w:val="auto"/>
        </w:rPr>
      </w:pPr>
      <w:r>
        <w:rPr>
          <w:rFonts w:ascii="Times New Roman" w:cs="Times New Roman" w:eastAsia="Times New Roman" w:hAnsi="Times New Roman"/>
          <w:sz w:val="22"/>
          <w:szCs w:val="22"/>
          <w:color w:val="auto"/>
        </w:rPr>
        <w:t>Title:</w:t>
        <w:tab/>
        <w:t>President and Secretary</w:t>
      </w:r>
    </w:p>
    <w:p>
      <w:pPr>
        <w:spacing w:after="0" w:line="223" w:lineRule="exact"/>
        <w:rPr>
          <w:sz w:val="20"/>
          <w:szCs w:val="20"/>
          <w:color w:val="auto"/>
        </w:rPr>
      </w:pPr>
    </w:p>
    <w:p>
      <w:pPr>
        <w:ind w:left="3720" w:right="300"/>
        <w:spacing w:after="0" w:line="295" w:lineRule="auto"/>
        <w:rPr>
          <w:sz w:val="20"/>
          <w:szCs w:val="20"/>
          <w:color w:val="auto"/>
        </w:rPr>
      </w:pPr>
      <w:r>
        <w:rPr>
          <w:rFonts w:ascii="Times New Roman" w:cs="Times New Roman" w:eastAsia="Times New Roman" w:hAnsi="Times New Roman"/>
          <w:sz w:val="21"/>
          <w:szCs w:val="21"/>
          <w:color w:val="auto"/>
        </w:rPr>
        <w:t>NOBLE INTERNATIONAL FINANCE COMPANY, an exempted company incorporated in the Cayman Islands with limited liability, as a Designated Borrower</w:t>
      </w:r>
    </w:p>
    <w:p>
      <w:pPr>
        <w:spacing w:after="0" w:line="200" w:lineRule="exact"/>
        <w:rPr>
          <w:sz w:val="20"/>
          <w:szCs w:val="20"/>
          <w:color w:val="auto"/>
        </w:rPr>
      </w:pPr>
    </w:p>
    <w:p>
      <w:pPr>
        <w:spacing w:after="0" w:line="219" w:lineRule="exact"/>
        <w:rPr>
          <w:sz w:val="20"/>
          <w:szCs w:val="20"/>
          <w:color w:val="auto"/>
        </w:rPr>
      </w:pPr>
    </w:p>
    <w:p>
      <w:pPr>
        <w:ind w:left="3720"/>
        <w:spacing w:after="0"/>
        <w:tabs>
          <w:tab w:leader="none" w:pos="4220" w:val="left"/>
        </w:tabs>
        <w:rPr>
          <w:sz w:val="20"/>
          <w:szCs w:val="20"/>
          <w:color w:val="auto"/>
        </w:rPr>
      </w:pPr>
      <w:r>
        <w:rPr>
          <w:rFonts w:ascii="Times New Roman" w:cs="Times New Roman" w:eastAsia="Times New Roman" w:hAnsi="Times New Roman"/>
          <w:sz w:val="22"/>
          <w:szCs w:val="22"/>
          <w:color w:val="auto"/>
        </w:rPr>
        <w:t>By:</w:t>
        <w:tab/>
        <w:t>/s/ Brad A.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2554605</wp:posOffset>
            </wp:positionH>
            <wp:positionV relativeFrom="paragraph">
              <wp:posOffset>-13970</wp:posOffset>
            </wp:positionV>
            <wp:extent cx="1645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8" w:lineRule="exact"/>
        <w:rPr>
          <w:sz w:val="20"/>
          <w:szCs w:val="20"/>
          <w:color w:val="auto"/>
        </w:rPr>
      </w:pPr>
    </w:p>
    <w:p>
      <w:pPr>
        <w:ind w:left="3720"/>
        <w:spacing w:after="0"/>
        <w:tabs>
          <w:tab w:leader="none" w:pos="4480" w:val="left"/>
        </w:tabs>
        <w:rPr>
          <w:sz w:val="20"/>
          <w:szCs w:val="20"/>
          <w:color w:val="auto"/>
        </w:rPr>
      </w:pPr>
      <w:r>
        <w:rPr>
          <w:rFonts w:ascii="Times New Roman" w:cs="Times New Roman" w:eastAsia="Times New Roman" w:hAnsi="Times New Roman"/>
          <w:sz w:val="22"/>
          <w:szCs w:val="22"/>
          <w:color w:val="auto"/>
        </w:rPr>
        <w:t>Name:</w:t>
        <w:tab/>
        <w:t>Brad A. Baldwin</w:t>
      </w:r>
    </w:p>
    <w:p>
      <w:pPr>
        <w:spacing w:after="0" w:line="4" w:lineRule="exact"/>
        <w:rPr>
          <w:sz w:val="20"/>
          <w:szCs w:val="20"/>
          <w:color w:val="auto"/>
        </w:rPr>
      </w:pPr>
    </w:p>
    <w:p>
      <w:pPr>
        <w:ind w:left="3720"/>
        <w:spacing w:after="0"/>
        <w:tabs>
          <w:tab w:leader="none" w:pos="4420" w:val="left"/>
        </w:tabs>
        <w:rPr>
          <w:sz w:val="20"/>
          <w:szCs w:val="20"/>
          <w:color w:val="auto"/>
        </w:rPr>
      </w:pPr>
      <w:r>
        <w:rPr>
          <w:rFonts w:ascii="Times New Roman" w:cs="Times New Roman" w:eastAsia="Times New Roman" w:hAnsi="Times New Roman"/>
          <w:sz w:val="22"/>
          <w:szCs w:val="22"/>
          <w:color w:val="auto"/>
        </w:rPr>
        <w:t>Title:</w:t>
        <w:tab/>
        <w:t>President and Secretary</w:t>
      </w:r>
    </w:p>
    <w:p>
      <w:pPr>
        <w:spacing w:after="0" w:line="223" w:lineRule="exact"/>
        <w:rPr>
          <w:sz w:val="20"/>
          <w:szCs w:val="20"/>
          <w:color w:val="auto"/>
        </w:rPr>
      </w:pPr>
    </w:p>
    <w:p>
      <w:pPr>
        <w:ind w:left="3720" w:right="300"/>
        <w:spacing w:after="0" w:line="271" w:lineRule="auto"/>
        <w:rPr>
          <w:sz w:val="20"/>
          <w:szCs w:val="20"/>
          <w:color w:val="auto"/>
        </w:rPr>
      </w:pPr>
      <w:r>
        <w:rPr>
          <w:rFonts w:ascii="Times New Roman" w:cs="Times New Roman" w:eastAsia="Times New Roman" w:hAnsi="Times New Roman"/>
          <w:sz w:val="22"/>
          <w:szCs w:val="22"/>
          <w:color w:val="auto"/>
        </w:rPr>
        <w:t>NOBLE DRILLING A/S, a company incorporated under the laws of Denmark, as a Designated Borrower</w:t>
      </w:r>
    </w:p>
    <w:p>
      <w:pPr>
        <w:spacing w:after="0" w:line="200" w:lineRule="exact"/>
        <w:rPr>
          <w:sz w:val="20"/>
          <w:szCs w:val="20"/>
          <w:color w:val="auto"/>
        </w:rPr>
      </w:pPr>
    </w:p>
    <w:p>
      <w:pPr>
        <w:spacing w:after="0" w:line="228" w:lineRule="exact"/>
        <w:rPr>
          <w:sz w:val="20"/>
          <w:szCs w:val="20"/>
          <w:color w:val="auto"/>
        </w:rPr>
      </w:pPr>
    </w:p>
    <w:p>
      <w:pPr>
        <w:ind w:left="3720"/>
        <w:spacing w:after="0"/>
        <w:tabs>
          <w:tab w:leader="none" w:pos="4220" w:val="left"/>
        </w:tabs>
        <w:rPr>
          <w:sz w:val="20"/>
          <w:szCs w:val="20"/>
          <w:color w:val="auto"/>
        </w:rPr>
      </w:pPr>
      <w:r>
        <w:rPr>
          <w:rFonts w:ascii="Times New Roman" w:cs="Times New Roman" w:eastAsia="Times New Roman" w:hAnsi="Times New Roman"/>
          <w:sz w:val="22"/>
          <w:szCs w:val="22"/>
          <w:color w:val="auto"/>
        </w:rPr>
        <w:t>By:</w:t>
        <w:tab/>
        <w:t>/s/ Claus Bachmann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2554605</wp:posOffset>
            </wp:positionH>
            <wp:positionV relativeFrom="paragraph">
              <wp:posOffset>-13970</wp:posOffset>
            </wp:positionV>
            <wp:extent cx="1645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9" w:lineRule="exact"/>
        <w:rPr>
          <w:sz w:val="20"/>
          <w:szCs w:val="20"/>
          <w:color w:val="auto"/>
        </w:rPr>
      </w:pPr>
    </w:p>
    <w:p>
      <w:pPr>
        <w:ind w:left="3720"/>
        <w:spacing w:after="0"/>
        <w:tabs>
          <w:tab w:leader="none" w:pos="4480" w:val="left"/>
        </w:tabs>
        <w:rPr>
          <w:sz w:val="20"/>
          <w:szCs w:val="20"/>
          <w:color w:val="auto"/>
        </w:rPr>
      </w:pPr>
      <w:r>
        <w:rPr>
          <w:rFonts w:ascii="Times New Roman" w:cs="Times New Roman" w:eastAsia="Times New Roman" w:hAnsi="Times New Roman"/>
          <w:sz w:val="22"/>
          <w:szCs w:val="22"/>
          <w:color w:val="auto"/>
        </w:rPr>
        <w:t>Name:</w:t>
        <w:tab/>
        <w:t>Claus Bachmann</w:t>
      </w:r>
    </w:p>
    <w:p>
      <w:pPr>
        <w:spacing w:after="0" w:line="15" w:lineRule="exact"/>
        <w:rPr>
          <w:sz w:val="20"/>
          <w:szCs w:val="20"/>
          <w:color w:val="auto"/>
        </w:rPr>
      </w:pPr>
    </w:p>
    <w:p>
      <w:pPr>
        <w:ind w:left="3720"/>
        <w:spacing w:after="0"/>
        <w:tabs>
          <w:tab w:leader="none" w:pos="4360" w:val="left"/>
        </w:tabs>
        <w:rPr>
          <w:sz w:val="20"/>
          <w:szCs w:val="20"/>
          <w:color w:val="auto"/>
        </w:rPr>
      </w:pPr>
      <w:r>
        <w:rPr>
          <w:rFonts w:ascii="Times New Roman" w:cs="Times New Roman" w:eastAsia="Times New Roman" w:hAnsi="Times New Roman"/>
          <w:sz w:val="22"/>
          <w:szCs w:val="22"/>
          <w:color w:val="auto"/>
        </w:rPr>
        <w:t>Title:</w:t>
        <w:tab/>
        <w:t>Chairman</w:t>
      </w:r>
    </w:p>
    <w:p>
      <w:pPr>
        <w:sectPr>
          <w:pgSz w:w="11900" w:h="16838" w:orient="portrait"/>
          <w:cols w:equalWidth="0" w:num="1">
            <w:col w:w="11240"/>
          </w:cols>
          <w:pgMar w:left="320" w:top="1435" w:right="339" w:bottom="1440" w:gutter="0" w:footer="0" w:header="0"/>
        </w:sectPr>
      </w:pPr>
    </w:p>
    <w:bookmarkStart w:id="8" w:name="page9"/>
    <w:bookmarkEnd w:id="8"/>
    <w:p>
      <w:pPr>
        <w:ind w:left="260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as Administrative Agent and a Lender</w:t>
      </w:r>
    </w:p>
    <w:p>
      <w:pPr>
        <w:spacing w:after="0" w:line="200" w:lineRule="exact"/>
        <w:rPr>
          <w:sz w:val="20"/>
          <w:szCs w:val="20"/>
          <w:color w:val="auto"/>
        </w:rPr>
      </w:pPr>
    </w:p>
    <w:p>
      <w:pPr>
        <w:spacing w:after="0" w:line="277" w:lineRule="exact"/>
        <w:rPr>
          <w:sz w:val="20"/>
          <w:szCs w:val="20"/>
          <w:color w:val="auto"/>
        </w:rPr>
      </w:pPr>
    </w:p>
    <w:p>
      <w:pPr>
        <w:ind w:left="2600"/>
        <w:spacing w:after="0"/>
        <w:tabs>
          <w:tab w:leader="none" w:pos="3160" w:val="left"/>
        </w:tabs>
        <w:rPr>
          <w:sz w:val="20"/>
          <w:szCs w:val="20"/>
          <w:color w:val="auto"/>
        </w:rPr>
      </w:pPr>
      <w:r>
        <w:rPr>
          <w:rFonts w:ascii="Times New Roman" w:cs="Times New Roman" w:eastAsia="Times New Roman" w:hAnsi="Times New Roman"/>
          <w:sz w:val="22"/>
          <w:szCs w:val="22"/>
          <w:color w:val="auto"/>
        </w:rPr>
        <w:t>By:</w:t>
        <w:tab/>
        <w:t>/s/ Arina Mavilian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1843405</wp:posOffset>
            </wp:positionH>
            <wp:positionV relativeFrom="paragraph">
              <wp:posOffset>-13970</wp:posOffset>
            </wp:positionV>
            <wp:extent cx="17259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25930" cy="8255"/>
                    </a:xfrm>
                    <a:prstGeom prst="rect">
                      <a:avLst/>
                    </a:prstGeom>
                    <a:noFill/>
                  </pic:spPr>
                </pic:pic>
              </a:graphicData>
            </a:graphic>
          </wp:anchor>
        </w:drawing>
      </w:r>
    </w:p>
    <w:p>
      <w:pPr>
        <w:spacing w:after="0" w:line="9" w:lineRule="exact"/>
        <w:rPr>
          <w:sz w:val="20"/>
          <w:szCs w:val="20"/>
          <w:color w:val="auto"/>
        </w:rPr>
      </w:pPr>
    </w:p>
    <w:p>
      <w:pPr>
        <w:ind w:left="2600"/>
        <w:spacing w:after="0"/>
        <w:tabs>
          <w:tab w:leader="none" w:pos="33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Arina Mavilian</w:t>
      </w:r>
    </w:p>
    <w:p>
      <w:pPr>
        <w:spacing w:after="0" w:line="15" w:lineRule="exact"/>
        <w:rPr>
          <w:sz w:val="20"/>
          <w:szCs w:val="20"/>
          <w:color w:val="auto"/>
        </w:rPr>
      </w:pPr>
    </w:p>
    <w:p>
      <w:pPr>
        <w:ind w:left="2600"/>
        <w:spacing w:after="0"/>
        <w:tabs>
          <w:tab w:leader="none" w:pos="3240" w:val="left"/>
        </w:tabs>
        <w:rPr>
          <w:sz w:val="20"/>
          <w:szCs w:val="20"/>
          <w:color w:val="auto"/>
        </w:rPr>
      </w:pPr>
      <w:r>
        <w:rPr>
          <w:rFonts w:ascii="Times New Roman" w:cs="Times New Roman" w:eastAsia="Times New Roman" w:hAnsi="Times New Roman"/>
          <w:sz w:val="22"/>
          <w:szCs w:val="22"/>
          <w:color w:val="auto"/>
        </w:rPr>
        <w:t>Title:</w:t>
        <w:tab/>
        <w:t>Managing Director</w:t>
      </w:r>
    </w:p>
    <w:p>
      <w:pPr>
        <w:sectPr>
          <w:pgSz w:w="11900" w:h="16838" w:orient="portrait"/>
          <w:cols w:equalWidth="0" w:num="1">
            <w:col w:w="9019"/>
          </w:cols>
          <w:pgMar w:left="1440" w:top="1422" w:right="1440" w:bottom="1440" w:gutter="0" w:footer="0" w:header="0"/>
        </w:sectPr>
      </w:pPr>
    </w:p>
    <w:bookmarkStart w:id="9" w:name="page10"/>
    <w:bookmarkEnd w:id="9"/>
    <w:p>
      <w:pPr>
        <w:ind w:left="2600"/>
        <w:spacing w:after="0"/>
        <w:rPr>
          <w:sz w:val="20"/>
          <w:szCs w:val="20"/>
          <w:color w:val="auto"/>
        </w:rPr>
      </w:pPr>
      <w:r>
        <w:rPr>
          <w:rFonts w:ascii="Times New Roman" w:cs="Times New Roman" w:eastAsia="Times New Roman" w:hAnsi="Times New Roman"/>
          <w:sz w:val="22"/>
          <w:szCs w:val="22"/>
          <w:b w:val="1"/>
          <w:bCs w:val="1"/>
          <w:color w:val="auto"/>
        </w:rPr>
        <w:t>LENDERS:</w:t>
      </w:r>
    </w:p>
    <w:p>
      <w:pPr>
        <w:spacing w:after="0" w:line="25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BARCLAYS BANK PLC,</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79" w:lineRule="exact"/>
        <w:rPr>
          <w:sz w:val="20"/>
          <w:szCs w:val="20"/>
          <w:color w:val="auto"/>
        </w:rPr>
      </w:pPr>
    </w:p>
    <w:p>
      <w:pPr>
        <w:ind w:left="2600"/>
        <w:spacing w:after="0"/>
        <w:tabs>
          <w:tab w:leader="none" w:pos="3160" w:val="left"/>
        </w:tabs>
        <w:rPr>
          <w:sz w:val="20"/>
          <w:szCs w:val="20"/>
          <w:color w:val="auto"/>
        </w:rPr>
      </w:pPr>
      <w:r>
        <w:rPr>
          <w:rFonts w:ascii="Times New Roman" w:cs="Times New Roman" w:eastAsia="Times New Roman" w:hAnsi="Times New Roman"/>
          <w:sz w:val="21"/>
          <w:szCs w:val="21"/>
          <w:color w:val="auto"/>
        </w:rPr>
        <w:t>By:</w:t>
        <w:tab/>
        <w:t>/s/ Sydeny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1843405</wp:posOffset>
            </wp:positionH>
            <wp:positionV relativeFrom="paragraph">
              <wp:posOffset>-6985</wp:posOffset>
            </wp:positionV>
            <wp:extent cx="1885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9" w:lineRule="exact"/>
        <w:rPr>
          <w:sz w:val="20"/>
          <w:szCs w:val="20"/>
          <w:color w:val="auto"/>
        </w:rPr>
      </w:pPr>
    </w:p>
    <w:p>
      <w:pPr>
        <w:ind w:left="2600"/>
        <w:spacing w:after="0"/>
        <w:tabs>
          <w:tab w:leader="none" w:pos="3360" w:val="left"/>
        </w:tabs>
        <w:rPr>
          <w:sz w:val="20"/>
          <w:szCs w:val="20"/>
          <w:color w:val="auto"/>
        </w:rPr>
      </w:pPr>
      <w:r>
        <w:rPr>
          <w:rFonts w:ascii="Times New Roman" w:cs="Times New Roman" w:eastAsia="Times New Roman" w:hAnsi="Times New Roman"/>
          <w:sz w:val="22"/>
          <w:szCs w:val="22"/>
          <w:color w:val="auto"/>
        </w:rPr>
        <w:t>Name:</w:t>
        <w:tab/>
        <w:t>Sydeny G. Dennis</w:t>
      </w:r>
    </w:p>
    <w:p>
      <w:pPr>
        <w:spacing w:after="0" w:line="4" w:lineRule="exact"/>
        <w:rPr>
          <w:sz w:val="20"/>
          <w:szCs w:val="20"/>
          <w:color w:val="auto"/>
        </w:rPr>
      </w:pPr>
    </w:p>
    <w:p>
      <w:pPr>
        <w:ind w:left="2600"/>
        <w:spacing w:after="0"/>
        <w:tabs>
          <w:tab w:leader="none" w:pos="3240" w:val="left"/>
        </w:tabs>
        <w:rPr>
          <w:sz w:val="20"/>
          <w:szCs w:val="20"/>
          <w:color w:val="auto"/>
        </w:rPr>
      </w:pPr>
      <w:r>
        <w:rPr>
          <w:rFonts w:ascii="Times New Roman" w:cs="Times New Roman" w:eastAsia="Times New Roman" w:hAnsi="Times New Roman"/>
          <w:sz w:val="22"/>
          <w:szCs w:val="22"/>
          <w:color w:val="auto"/>
        </w:rPr>
        <w:t>Title:</w:t>
        <w:tab/>
        <w:t>Director</w:t>
      </w:r>
    </w:p>
    <w:p>
      <w:pPr>
        <w:sectPr>
          <w:pgSz w:w="11900" w:h="16838" w:orient="portrait"/>
          <w:cols w:equalWidth="0" w:num="1">
            <w:col w:w="9019"/>
          </w:cols>
          <w:pgMar w:left="1440" w:top="1418" w:right="1440" w:bottom="1440" w:gutter="0" w:footer="0" w:header="0"/>
        </w:sectPr>
      </w:pPr>
    </w:p>
    <w:bookmarkStart w:id="10" w:name="page11"/>
    <w:bookmarkEnd w:id="10"/>
    <w:p>
      <w:pPr>
        <w:ind w:left="2600"/>
        <w:spacing w:after="0"/>
        <w:rPr>
          <w:sz w:val="20"/>
          <w:szCs w:val="20"/>
          <w:color w:val="auto"/>
        </w:rPr>
      </w:pPr>
      <w:r>
        <w:rPr>
          <w:rFonts w:ascii="Times New Roman" w:cs="Times New Roman" w:eastAsia="Times New Roman" w:hAnsi="Times New Roman"/>
          <w:sz w:val="21"/>
          <w:szCs w:val="21"/>
          <w:color w:val="auto"/>
        </w:rPr>
        <w:t>DNB CAPITAL LLC, as a Lender</w:t>
      </w:r>
    </w:p>
    <w:p>
      <w:pPr>
        <w:spacing w:after="0" w:line="200" w:lineRule="exact"/>
        <w:rPr>
          <w:sz w:val="20"/>
          <w:szCs w:val="20"/>
          <w:color w:val="auto"/>
        </w:rPr>
      </w:pPr>
    </w:p>
    <w:p>
      <w:pPr>
        <w:spacing w:after="0" w:line="301" w:lineRule="exact"/>
        <w:rPr>
          <w:sz w:val="20"/>
          <w:szCs w:val="20"/>
          <w:color w:val="auto"/>
        </w:rPr>
      </w:pPr>
    </w:p>
    <w:p>
      <w:pPr>
        <w:ind w:left="2600"/>
        <w:spacing w:after="0"/>
        <w:tabs>
          <w:tab w:leader="none" w:pos="3100" w:val="left"/>
        </w:tabs>
        <w:rPr>
          <w:sz w:val="20"/>
          <w:szCs w:val="20"/>
          <w:color w:val="auto"/>
        </w:rPr>
      </w:pPr>
      <w:r>
        <w:rPr>
          <w:rFonts w:ascii="Times New Roman" w:cs="Times New Roman" w:eastAsia="Times New Roman" w:hAnsi="Times New Roman"/>
          <w:sz w:val="22"/>
          <w:szCs w:val="22"/>
          <w:color w:val="auto"/>
        </w:rPr>
        <w:t>By:</w:t>
        <w:tab/>
        <w:t>/s/ Aleksander Engås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1843405</wp:posOffset>
            </wp:positionH>
            <wp:positionV relativeFrom="paragraph">
              <wp:posOffset>-13970</wp:posOffset>
            </wp:positionV>
            <wp:extent cx="18440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44040" cy="8255"/>
                    </a:xfrm>
                    <a:prstGeom prst="rect">
                      <a:avLst/>
                    </a:prstGeom>
                    <a:noFill/>
                  </pic:spPr>
                </pic:pic>
              </a:graphicData>
            </a:graphic>
          </wp:anchor>
        </w:drawing>
      </w:r>
    </w:p>
    <w:p>
      <w:pPr>
        <w:spacing w:after="0" w:line="8" w:lineRule="exact"/>
        <w:rPr>
          <w:sz w:val="20"/>
          <w:szCs w:val="20"/>
          <w:color w:val="auto"/>
        </w:rPr>
      </w:pPr>
    </w:p>
    <w:p>
      <w:pPr>
        <w:ind w:left="2600"/>
        <w:spacing w:after="0"/>
        <w:tabs>
          <w:tab w:leader="none" w:pos="33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Aleksander Engås</w:t>
      </w:r>
    </w:p>
    <w:p>
      <w:pPr>
        <w:spacing w:after="0" w:line="5" w:lineRule="exact"/>
        <w:rPr>
          <w:sz w:val="20"/>
          <w:szCs w:val="20"/>
          <w:color w:val="auto"/>
        </w:rPr>
      </w:pPr>
    </w:p>
    <w:p>
      <w:pPr>
        <w:ind w:left="2600"/>
        <w:spacing w:after="0"/>
        <w:tabs>
          <w:tab w:leader="none" w:pos="3240" w:val="left"/>
        </w:tabs>
        <w:rPr>
          <w:sz w:val="20"/>
          <w:szCs w:val="20"/>
          <w:color w:val="auto"/>
        </w:rPr>
      </w:pPr>
      <w:r>
        <w:rPr>
          <w:rFonts w:ascii="Times New Roman" w:cs="Times New Roman" w:eastAsia="Times New Roman" w:hAnsi="Times New Roman"/>
          <w:sz w:val="22"/>
          <w:szCs w:val="22"/>
          <w:color w:val="auto"/>
        </w:rPr>
        <w:t>Title:</w:t>
        <w:tab/>
        <w:t>Senior Vice President</w:t>
      </w:r>
    </w:p>
    <w:p>
      <w:pPr>
        <w:spacing w:after="0" w:line="200" w:lineRule="exact"/>
        <w:rPr>
          <w:sz w:val="20"/>
          <w:szCs w:val="20"/>
          <w:color w:val="auto"/>
        </w:rPr>
      </w:pPr>
    </w:p>
    <w:p>
      <w:pPr>
        <w:spacing w:after="0" w:line="277" w:lineRule="exact"/>
        <w:rPr>
          <w:sz w:val="20"/>
          <w:szCs w:val="20"/>
          <w:color w:val="auto"/>
        </w:rPr>
      </w:pPr>
    </w:p>
    <w:p>
      <w:pPr>
        <w:ind w:left="2600"/>
        <w:spacing w:after="0"/>
        <w:tabs>
          <w:tab w:leader="none" w:pos="3100" w:val="left"/>
        </w:tabs>
        <w:rPr>
          <w:sz w:val="20"/>
          <w:szCs w:val="20"/>
          <w:color w:val="auto"/>
        </w:rPr>
      </w:pPr>
      <w:r>
        <w:rPr>
          <w:rFonts w:ascii="Times New Roman" w:cs="Times New Roman" w:eastAsia="Times New Roman" w:hAnsi="Times New Roman"/>
          <w:sz w:val="22"/>
          <w:szCs w:val="22"/>
          <w:color w:val="auto"/>
        </w:rPr>
        <w:t>By:</w:t>
        <w:tab/>
        <w:t>/s/ Sybille Andaur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1843405</wp:posOffset>
            </wp:positionH>
            <wp:positionV relativeFrom="paragraph">
              <wp:posOffset>-13970</wp:posOffset>
            </wp:positionV>
            <wp:extent cx="16840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84020" cy="8255"/>
                    </a:xfrm>
                    <a:prstGeom prst="rect">
                      <a:avLst/>
                    </a:prstGeom>
                    <a:noFill/>
                  </pic:spPr>
                </pic:pic>
              </a:graphicData>
            </a:graphic>
          </wp:anchor>
        </w:drawing>
      </w:r>
    </w:p>
    <w:p>
      <w:pPr>
        <w:spacing w:after="0" w:line="8" w:lineRule="exact"/>
        <w:rPr>
          <w:sz w:val="20"/>
          <w:szCs w:val="20"/>
          <w:color w:val="auto"/>
        </w:rPr>
      </w:pPr>
    </w:p>
    <w:p>
      <w:pPr>
        <w:ind w:left="2600"/>
        <w:spacing w:after="0"/>
        <w:tabs>
          <w:tab w:leader="none" w:pos="3360" w:val="left"/>
        </w:tabs>
        <w:rPr>
          <w:sz w:val="20"/>
          <w:szCs w:val="20"/>
          <w:color w:val="auto"/>
        </w:rPr>
      </w:pPr>
      <w:r>
        <w:rPr>
          <w:rFonts w:ascii="Times New Roman" w:cs="Times New Roman" w:eastAsia="Times New Roman" w:hAnsi="Times New Roman"/>
          <w:sz w:val="22"/>
          <w:szCs w:val="22"/>
          <w:color w:val="auto"/>
        </w:rPr>
        <w:t>Name:</w:t>
        <w:tab/>
        <w:t>Sybille Andaur</w:t>
      </w:r>
    </w:p>
    <w:p>
      <w:pPr>
        <w:spacing w:after="0" w:line="4" w:lineRule="exact"/>
        <w:rPr>
          <w:sz w:val="20"/>
          <w:szCs w:val="20"/>
          <w:color w:val="auto"/>
        </w:rPr>
      </w:pPr>
    </w:p>
    <w:p>
      <w:pPr>
        <w:ind w:left="2600"/>
        <w:spacing w:after="0"/>
        <w:tabs>
          <w:tab w:leader="none" w:pos="3240" w:val="left"/>
        </w:tabs>
        <w:rPr>
          <w:sz w:val="20"/>
          <w:szCs w:val="20"/>
          <w:color w:val="auto"/>
        </w:rPr>
      </w:pPr>
      <w:r>
        <w:rPr>
          <w:rFonts w:ascii="Times New Roman" w:cs="Times New Roman" w:eastAsia="Times New Roman" w:hAnsi="Times New Roman"/>
          <w:sz w:val="22"/>
          <w:szCs w:val="22"/>
          <w:color w:val="auto"/>
        </w:rPr>
        <w:t>Title:</w:t>
        <w:tab/>
        <w:t>Senior Vice President</w:t>
      </w:r>
    </w:p>
    <w:p>
      <w:pPr>
        <w:sectPr>
          <w:pgSz w:w="11900" w:h="16838" w:orient="portrait"/>
          <w:cols w:equalWidth="0" w:num="1">
            <w:col w:w="9019"/>
          </w:cols>
          <w:pgMar w:left="1440" w:top="1422" w:right="1440" w:bottom="1440" w:gutter="0" w:footer="0" w:header="0"/>
        </w:sectPr>
      </w:pPr>
    </w:p>
    <w:bookmarkStart w:id="11" w:name="page12"/>
    <w:bookmarkEnd w:id="11"/>
    <w:p>
      <w:pPr>
        <w:ind w:left="2600"/>
        <w:spacing w:after="0"/>
        <w:rPr>
          <w:sz w:val="20"/>
          <w:szCs w:val="20"/>
          <w:color w:val="auto"/>
        </w:rPr>
      </w:pPr>
      <w:r>
        <w:rPr>
          <w:rFonts w:ascii="Times New Roman" w:cs="Times New Roman" w:eastAsia="Times New Roman" w:hAnsi="Times New Roman"/>
          <w:sz w:val="21"/>
          <w:szCs w:val="21"/>
          <w:color w:val="auto"/>
        </w:rPr>
        <w:t>HSBC BANK USA, N.A., as a Lender</w:t>
      </w:r>
    </w:p>
    <w:p>
      <w:pPr>
        <w:spacing w:after="0" w:line="200" w:lineRule="exact"/>
        <w:rPr>
          <w:sz w:val="20"/>
          <w:szCs w:val="20"/>
          <w:color w:val="auto"/>
        </w:rPr>
      </w:pPr>
    </w:p>
    <w:p>
      <w:pPr>
        <w:spacing w:after="0" w:line="301" w:lineRule="exact"/>
        <w:rPr>
          <w:sz w:val="20"/>
          <w:szCs w:val="20"/>
          <w:color w:val="auto"/>
        </w:rPr>
      </w:pPr>
    </w:p>
    <w:p>
      <w:pPr>
        <w:ind w:left="2600"/>
        <w:spacing w:after="0"/>
        <w:tabs>
          <w:tab w:leader="none" w:pos="3160" w:val="left"/>
        </w:tabs>
        <w:rPr>
          <w:sz w:val="20"/>
          <w:szCs w:val="20"/>
          <w:color w:val="auto"/>
        </w:rPr>
      </w:pPr>
      <w:r>
        <w:rPr>
          <w:rFonts w:ascii="Times New Roman" w:cs="Times New Roman" w:eastAsia="Times New Roman" w:hAnsi="Times New Roman"/>
          <w:sz w:val="22"/>
          <w:szCs w:val="22"/>
          <w:color w:val="auto"/>
        </w:rPr>
        <w:t>By:</w:t>
        <w:tab/>
        <w:t>/s/ Balaji Rajgopal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1843405</wp:posOffset>
            </wp:positionH>
            <wp:positionV relativeFrom="paragraph">
              <wp:posOffset>-13970</wp:posOffset>
            </wp:positionV>
            <wp:extent cx="17411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41170" cy="8255"/>
                    </a:xfrm>
                    <a:prstGeom prst="rect">
                      <a:avLst/>
                    </a:prstGeom>
                    <a:noFill/>
                  </pic:spPr>
                </pic:pic>
              </a:graphicData>
            </a:graphic>
          </wp:anchor>
        </w:drawing>
      </w:r>
    </w:p>
    <w:p>
      <w:pPr>
        <w:spacing w:after="0" w:line="8" w:lineRule="exact"/>
        <w:rPr>
          <w:sz w:val="20"/>
          <w:szCs w:val="20"/>
          <w:color w:val="auto"/>
        </w:rPr>
      </w:pPr>
    </w:p>
    <w:p>
      <w:pPr>
        <w:ind w:left="2600"/>
        <w:spacing w:after="0"/>
        <w:tabs>
          <w:tab w:leader="none" w:pos="3360" w:val="left"/>
        </w:tabs>
        <w:rPr>
          <w:sz w:val="20"/>
          <w:szCs w:val="20"/>
          <w:color w:val="auto"/>
        </w:rPr>
      </w:pPr>
      <w:r>
        <w:rPr>
          <w:rFonts w:ascii="Times New Roman" w:cs="Times New Roman" w:eastAsia="Times New Roman" w:hAnsi="Times New Roman"/>
          <w:sz w:val="22"/>
          <w:szCs w:val="22"/>
          <w:color w:val="auto"/>
        </w:rPr>
        <w:t>Name:</w:t>
        <w:tab/>
        <w:t>Balaji Rajgopal</w:t>
      </w:r>
    </w:p>
    <w:p>
      <w:pPr>
        <w:spacing w:after="0" w:line="5" w:lineRule="exact"/>
        <w:rPr>
          <w:sz w:val="20"/>
          <w:szCs w:val="20"/>
          <w:color w:val="auto"/>
        </w:rPr>
      </w:pPr>
    </w:p>
    <w:p>
      <w:pPr>
        <w:ind w:left="2600"/>
        <w:spacing w:after="0"/>
        <w:tabs>
          <w:tab w:leader="none" w:pos="3240" w:val="left"/>
        </w:tabs>
        <w:rPr>
          <w:sz w:val="20"/>
          <w:szCs w:val="20"/>
          <w:color w:val="auto"/>
        </w:rPr>
      </w:pPr>
      <w:r>
        <w:rPr>
          <w:rFonts w:ascii="Times New Roman" w:cs="Times New Roman" w:eastAsia="Times New Roman" w:hAnsi="Times New Roman"/>
          <w:sz w:val="22"/>
          <w:szCs w:val="22"/>
          <w:color w:val="auto"/>
        </w:rPr>
        <w:t>Title:</w:t>
        <w:tab/>
        <w:t>Managing Director</w:t>
      </w:r>
    </w:p>
    <w:p>
      <w:pPr>
        <w:sectPr>
          <w:pgSz w:w="11900" w:h="16838" w:orient="portrait"/>
          <w:cols w:equalWidth="0" w:num="1">
            <w:col w:w="9019"/>
          </w:cols>
          <w:pgMar w:left="1440" w:top="1422" w:right="1440" w:bottom="1440" w:gutter="0" w:footer="0" w:header="0"/>
        </w:sectPr>
      </w:pPr>
    </w:p>
    <w:bookmarkStart w:id="12" w:name="page13"/>
    <w:bookmarkEnd w:id="12"/>
    <w:p>
      <w:pPr>
        <w:ind w:left="2600"/>
        <w:spacing w:after="0"/>
        <w:rPr>
          <w:sz w:val="20"/>
          <w:szCs w:val="20"/>
          <w:color w:val="auto"/>
        </w:rPr>
      </w:pPr>
      <w:r>
        <w:rPr>
          <w:rFonts w:ascii="Times New Roman" w:cs="Times New Roman" w:eastAsia="Times New Roman" w:hAnsi="Times New Roman"/>
          <w:sz w:val="21"/>
          <w:szCs w:val="21"/>
          <w:color w:val="auto"/>
        </w:rPr>
        <w:t>WELLS FARGO BANK, NATIONAL ASSOCIATION, as a Lender</w:t>
      </w:r>
    </w:p>
    <w:p>
      <w:pPr>
        <w:spacing w:after="0" w:line="200" w:lineRule="exact"/>
        <w:rPr>
          <w:sz w:val="20"/>
          <w:szCs w:val="20"/>
          <w:color w:val="auto"/>
        </w:rPr>
      </w:pPr>
    </w:p>
    <w:p>
      <w:pPr>
        <w:spacing w:after="0" w:line="301" w:lineRule="exact"/>
        <w:rPr>
          <w:sz w:val="20"/>
          <w:szCs w:val="20"/>
          <w:color w:val="auto"/>
        </w:rPr>
      </w:pPr>
    </w:p>
    <w:p>
      <w:pPr>
        <w:ind w:left="2600"/>
        <w:spacing w:after="0"/>
        <w:tabs>
          <w:tab w:leader="none" w:pos="3100" w:val="left"/>
        </w:tabs>
        <w:rPr>
          <w:sz w:val="20"/>
          <w:szCs w:val="20"/>
          <w:color w:val="auto"/>
        </w:rPr>
      </w:pPr>
      <w:r>
        <w:rPr>
          <w:rFonts w:ascii="Times New Roman" w:cs="Times New Roman" w:eastAsia="Times New Roman" w:hAnsi="Times New Roman"/>
          <w:sz w:val="22"/>
          <w:szCs w:val="22"/>
          <w:color w:val="auto"/>
        </w:rPr>
        <w:t>By:</w:t>
        <w:tab/>
        <w:t>/s/ Michael Janak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1843405</wp:posOffset>
            </wp:positionH>
            <wp:positionV relativeFrom="paragraph">
              <wp:posOffset>-13970</wp:posOffset>
            </wp:positionV>
            <wp:extent cx="16459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8" w:lineRule="exact"/>
        <w:rPr>
          <w:sz w:val="20"/>
          <w:szCs w:val="20"/>
          <w:color w:val="auto"/>
        </w:rPr>
      </w:pPr>
    </w:p>
    <w:p>
      <w:pPr>
        <w:ind w:left="2600"/>
        <w:spacing w:after="0"/>
        <w:tabs>
          <w:tab w:leader="none" w:pos="3420" w:val="left"/>
        </w:tabs>
        <w:rPr>
          <w:sz w:val="20"/>
          <w:szCs w:val="20"/>
          <w:color w:val="auto"/>
        </w:rPr>
      </w:pPr>
      <w:r>
        <w:rPr>
          <w:rFonts w:ascii="Times New Roman" w:cs="Times New Roman" w:eastAsia="Times New Roman" w:hAnsi="Times New Roman"/>
          <w:sz w:val="22"/>
          <w:szCs w:val="22"/>
          <w:color w:val="auto"/>
        </w:rPr>
        <w:t>Name:</w:t>
        <w:tab/>
        <w:t>Michael Janak</w:t>
      </w:r>
    </w:p>
    <w:p>
      <w:pPr>
        <w:spacing w:after="0" w:line="5" w:lineRule="exact"/>
        <w:rPr>
          <w:sz w:val="20"/>
          <w:szCs w:val="20"/>
          <w:color w:val="auto"/>
        </w:rPr>
      </w:pPr>
    </w:p>
    <w:p>
      <w:pPr>
        <w:ind w:left="2600"/>
        <w:spacing w:after="0"/>
        <w:tabs>
          <w:tab w:leader="none" w:pos="3300" w:val="left"/>
        </w:tabs>
        <w:rPr>
          <w:sz w:val="20"/>
          <w:szCs w:val="20"/>
          <w:color w:val="auto"/>
        </w:rPr>
      </w:pPr>
      <w:r>
        <w:rPr>
          <w:rFonts w:ascii="Times New Roman" w:cs="Times New Roman" w:eastAsia="Times New Roman" w:hAnsi="Times New Roman"/>
          <w:sz w:val="22"/>
          <w:szCs w:val="22"/>
          <w:color w:val="auto"/>
        </w:rPr>
        <w:t>Title:</w:t>
        <w:tab/>
        <w:t>Managing Director</w:t>
      </w:r>
    </w:p>
    <w:p>
      <w:pPr>
        <w:sectPr>
          <w:pgSz w:w="11900" w:h="16838" w:orient="portrait"/>
          <w:cols w:equalWidth="0" w:num="1">
            <w:col w:w="9019"/>
          </w:cols>
          <w:pgMar w:left="1440" w:top="1422" w:right="1440" w:bottom="1440" w:gutter="0" w:footer="0" w:header="0"/>
        </w:sectPr>
      </w:pPr>
    </w:p>
    <w:bookmarkStart w:id="13" w:name="page14"/>
    <w:bookmarkEnd w:id="13"/>
    <w:p>
      <w:pPr>
        <w:ind w:left="2600"/>
        <w:spacing w:after="0"/>
        <w:rPr>
          <w:sz w:val="20"/>
          <w:szCs w:val="20"/>
          <w:color w:val="auto"/>
        </w:rPr>
      </w:pPr>
      <w:r>
        <w:rPr>
          <w:rFonts w:ascii="Times New Roman" w:cs="Times New Roman" w:eastAsia="Times New Roman" w:hAnsi="Times New Roman"/>
          <w:sz w:val="21"/>
          <w:szCs w:val="21"/>
          <w:color w:val="auto"/>
        </w:rPr>
        <w:t>MORGAN STANLEY SENIOR FUNDING, INC., as a Lender</w:t>
      </w:r>
    </w:p>
    <w:p>
      <w:pPr>
        <w:spacing w:after="0" w:line="200" w:lineRule="exact"/>
        <w:rPr>
          <w:sz w:val="20"/>
          <w:szCs w:val="20"/>
          <w:color w:val="auto"/>
        </w:rPr>
      </w:pPr>
    </w:p>
    <w:p>
      <w:pPr>
        <w:spacing w:after="0" w:line="301" w:lineRule="exact"/>
        <w:rPr>
          <w:sz w:val="20"/>
          <w:szCs w:val="20"/>
          <w:color w:val="auto"/>
        </w:rPr>
      </w:pPr>
    </w:p>
    <w:p>
      <w:pPr>
        <w:ind w:left="2600"/>
        <w:spacing w:after="0"/>
        <w:tabs>
          <w:tab w:leader="none" w:pos="3100" w:val="left"/>
        </w:tabs>
        <w:rPr>
          <w:sz w:val="20"/>
          <w:szCs w:val="20"/>
          <w:color w:val="auto"/>
        </w:rPr>
      </w:pPr>
      <w:r>
        <w:rPr>
          <w:rFonts w:ascii="Times New Roman" w:cs="Times New Roman" w:eastAsia="Times New Roman" w:hAnsi="Times New Roman"/>
          <w:sz w:val="22"/>
          <w:szCs w:val="22"/>
          <w:color w:val="auto"/>
        </w:rPr>
        <w:t>By:</w:t>
        <w:tab/>
        <w:t>/s/ Karina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1843405</wp:posOffset>
            </wp:positionH>
            <wp:positionV relativeFrom="paragraph">
              <wp:posOffset>-13970</wp:posOffset>
            </wp:positionV>
            <wp:extent cx="18288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8800" cy="8255"/>
                    </a:xfrm>
                    <a:prstGeom prst="rect">
                      <a:avLst/>
                    </a:prstGeom>
                    <a:noFill/>
                  </pic:spPr>
                </pic:pic>
              </a:graphicData>
            </a:graphic>
          </wp:anchor>
        </w:drawing>
      </w:r>
    </w:p>
    <w:p>
      <w:pPr>
        <w:spacing w:after="0" w:line="8" w:lineRule="exact"/>
        <w:rPr>
          <w:sz w:val="20"/>
          <w:szCs w:val="20"/>
          <w:color w:val="auto"/>
        </w:rPr>
      </w:pPr>
    </w:p>
    <w:p>
      <w:pPr>
        <w:ind w:left="2600"/>
        <w:spacing w:after="0"/>
        <w:tabs>
          <w:tab w:leader="none" w:pos="3420" w:val="left"/>
        </w:tabs>
        <w:rPr>
          <w:sz w:val="20"/>
          <w:szCs w:val="20"/>
          <w:color w:val="auto"/>
        </w:rPr>
      </w:pPr>
      <w:r>
        <w:rPr>
          <w:rFonts w:ascii="Times New Roman" w:cs="Times New Roman" w:eastAsia="Times New Roman" w:hAnsi="Times New Roman"/>
          <w:sz w:val="22"/>
          <w:szCs w:val="22"/>
          <w:color w:val="auto"/>
        </w:rPr>
        <w:t>Name:</w:t>
        <w:tab/>
        <w:t>Karina Rodriguez</w:t>
      </w:r>
    </w:p>
    <w:p>
      <w:pPr>
        <w:spacing w:after="0" w:line="5" w:lineRule="exact"/>
        <w:rPr>
          <w:sz w:val="20"/>
          <w:szCs w:val="20"/>
          <w:color w:val="auto"/>
        </w:rPr>
      </w:pPr>
    </w:p>
    <w:p>
      <w:pPr>
        <w:ind w:left="2600"/>
        <w:spacing w:after="0"/>
        <w:tabs>
          <w:tab w:leader="none" w:pos="3300" w:val="left"/>
        </w:tabs>
        <w:rPr>
          <w:sz w:val="20"/>
          <w:szCs w:val="20"/>
          <w:color w:val="auto"/>
        </w:rPr>
      </w:pPr>
      <w:r>
        <w:rPr>
          <w:rFonts w:ascii="Times New Roman" w:cs="Times New Roman" w:eastAsia="Times New Roman" w:hAnsi="Times New Roman"/>
          <w:sz w:val="22"/>
          <w:szCs w:val="22"/>
          <w:color w:val="auto"/>
        </w:rPr>
        <w:t>Title:</w:t>
        <w:tab/>
        <w:t>Vice President</w:t>
      </w:r>
    </w:p>
    <w:p>
      <w:pPr>
        <w:sectPr>
          <w:pgSz w:w="11900" w:h="16838" w:orient="portrait"/>
          <w:cols w:equalWidth="0" w:num="1">
            <w:col w:w="9019"/>
          </w:cols>
          <w:pgMar w:left="1440" w:top="1422" w:right="1440" w:bottom="1440" w:gutter="0" w:footer="0" w:header="0"/>
        </w:sectPr>
      </w:pPr>
    </w:p>
    <w:bookmarkStart w:id="14" w:name="page15"/>
    <w:bookmarkEnd w:id="14"/>
    <w:tbl>
      <w:tblPr>
        <w:tblLayout w:type="fixed"/>
        <w:tblInd w:w="2600" w:type="dxa"/>
        <w:tblCellMar>
          <w:top w:w="0" w:type="dxa"/>
          <w:left w:w="0" w:type="dxa"/>
          <w:bottom w:w="0" w:type="dxa"/>
          <w:right w:w="0" w:type="dxa"/>
        </w:tblCellMar>
      </w:tblPr>
      <w:tr>
        <w:trPr>
          <w:trHeight w:val="282"/>
        </w:trPr>
        <w:tc>
          <w:tcPr>
            <w:tcW w:w="48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SPAREBANK 1 SR-BANK ASA, as a Lender</w:t>
            </w:r>
          </w:p>
        </w:tc>
        <w:tc>
          <w:tcPr>
            <w:tcW w:w="1200" w:type="dxa"/>
            <w:vAlign w:val="bottom"/>
          </w:tcPr>
          <w:p>
            <w:pPr>
              <w:spacing w:after="0"/>
              <w:rPr>
                <w:sz w:val="24"/>
                <w:szCs w:val="24"/>
                <w:color w:val="auto"/>
              </w:rPr>
            </w:pPr>
          </w:p>
        </w:tc>
      </w:tr>
      <w:tr>
        <w:trPr>
          <w:trHeight w:val="690"/>
        </w:trPr>
        <w:tc>
          <w:tcPr>
            <w:tcW w:w="48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Stig Horsberg Eriksen</w:t>
            </w:r>
          </w:p>
        </w:tc>
        <w:tc>
          <w:tcPr>
            <w:tcW w:w="120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77"/>
        </w:trPr>
        <w:tc>
          <w:tcPr>
            <w:tcW w:w="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w:t>
            </w:r>
          </w:p>
        </w:tc>
        <w:tc>
          <w:tcPr>
            <w:tcW w:w="420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Stig Horsberg Eriksen</w:t>
            </w:r>
          </w:p>
        </w:tc>
        <w:tc>
          <w:tcPr>
            <w:tcW w:w="1200" w:type="dxa"/>
            <w:vAlign w:val="bottom"/>
          </w:tcPr>
          <w:p>
            <w:pPr>
              <w:spacing w:after="0"/>
              <w:rPr>
                <w:sz w:val="24"/>
                <w:szCs w:val="24"/>
                <w:color w:val="auto"/>
              </w:rPr>
            </w:pPr>
          </w:p>
        </w:tc>
      </w:tr>
      <w:tr>
        <w:trPr>
          <w:trHeight w:val="282"/>
        </w:trPr>
        <w:tc>
          <w:tcPr>
            <w:tcW w:w="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42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Director and Head of Energy and Maratime</w:t>
            </w:r>
          </w:p>
        </w:tc>
        <w:tc>
          <w:tcPr>
            <w:tcW w:w="12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Industries</w:t>
            </w:r>
          </w:p>
        </w:tc>
      </w:tr>
    </w:tbl>
    <w:p>
      <w:pPr>
        <w:spacing w:after="0" w:line="1" w:lineRule="exact"/>
        <w:rPr>
          <w:sz w:val="20"/>
          <w:szCs w:val="20"/>
          <w:color w:val="auto"/>
        </w:rPr>
      </w:pPr>
    </w:p>
    <w:sectPr>
      <w:pgSz w:w="11900" w:h="16838" w:orient="portrait"/>
      <w:cols w:equalWidth="0" w:num="1">
        <w:col w:w="9019"/>
      </w:cols>
      <w:pgMar w:left="1440" w:top="14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w:numFmt w:val="bullet"/>
      <w:start w:val="1"/>
    </w:lvl>
  </w:abstractNum>
  <w:abstractNum w:abstractNumId="1">
    <w:nsid w:val="3D1B58BA"/>
    <w:multiLevelType w:val="hybridMultilevel"/>
    <w:lvl w:ilvl="0">
      <w:lvlJc w:val="left"/>
      <w:lvlText w:val="%1"/>
      <w:numFmt w:val="decimal"/>
      <w:start w:val="104"/>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4"/>
    </w:lvl>
  </w:abstractNum>
  <w:abstractNum w:abstractNumId="6">
    <w:nsid w:val="7545E146"/>
    <w:multiLevelType w:val="hybridMultilevel"/>
    <w:lvl w:ilvl="0">
      <w:lvlJc w:val="left"/>
      <w:lvlText w:val="(%1)"/>
      <w:numFmt w:val="lowerLetter"/>
      <w:start w:val="1"/>
    </w:lvl>
    <w:lvl w:ilvl="1">
      <w:lvlJc w:val="left"/>
      <w:lvlText w:val="(%2)"/>
      <w:numFmt w:val="lowerLetter"/>
      <w:start w:val="2"/>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2024-06-27T15:33:37Z</dcterms:created>
  <dcterms:modified xsi:type="dcterms:W3CDTF">2024-06-27T15:33:37Z</dcterms:modified>
</cp:coreProperties>
</file>