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6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-238760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-620395</wp:posOffset>
            </wp:positionV>
            <wp:extent cx="57785" cy="633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3973195</wp:posOffset>
            </wp:positionH>
            <wp:positionV relativeFrom="paragraph">
              <wp:posOffset>-620395</wp:posOffset>
            </wp:positionV>
            <wp:extent cx="57785" cy="6337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6995160" cy="5420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420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Turcotte William E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13135 DAIRY ASHFORD, SUITE 800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Noble Corp plc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NE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60"/>
        <w:spacing w:after="0" w:line="25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Gen. Counsel &amp; Corp. Sec.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7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6,692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2,787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39.44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02/05/2023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35,420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39,325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 Ordinary Shares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02/05/2023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13,938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39.44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25,387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6,692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84,226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35,420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35,420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48,806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-2089150</wp:posOffset>
            </wp:positionV>
            <wp:extent cx="29210" cy="20942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9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(RSU) represents a contingent right to receive one Class A Ordinary Share.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Shares withheld by Issuer to satisfy tax withholding requirements on vesting of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3. Represents the first of three vesting events for RSUs granted on February 3, 2022.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4. The RSUs vest in three equal annual installments beginning on the first anniversary of the grant date, which was February 3, 2022.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5. Represents the second of three vesting events for restricted stock units grants on February 5, 2021.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 The RSUs vest in three equal annual installments beginning on the first anniversary of the grant date, which was February 5, 2021.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7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William E. Turcotte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02/07/2023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2"/>
        </w:trPr>
        <w:tc>
          <w:tcPr>
            <w:tcW w:w="8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93661" TargetMode="External"/><Relationship Id="rId13" Type="http://schemas.openxmlformats.org/officeDocument/2006/relationships/hyperlink" Target="http://www.sec.gov/cgi-bin/browse-edgar?action=getcompany&amp;CIK=0001895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2023-02-07T16:37:49Z</dcterms:created>
  <dcterms:modified xsi:type="dcterms:W3CDTF">2023-02-07T16:37:49Z</dcterms:modified>
</cp:coreProperties>
</file>