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Noble Corporation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Diamond Offshore Drilling,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001-13926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June 10, 2024</w:t>
      </w:r>
    </w:p>
    <w:p>
      <w:pPr>
        <w:spacing w:after="0" w:line="200" w:lineRule="exact"/>
        <w:rPr>
          <w:sz w:val="24"/>
          <w:szCs w:val="24"/>
          <w:color w:val="auto"/>
        </w:rPr>
      </w:pPr>
    </w:p>
    <w:p>
      <w:pPr>
        <w:spacing w:after="0" w:line="223"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connection with the potential acquisition of Diamond Offshore Drilling, Inc. (“Diamond”) by Noble Corporation plc (“Noble”), Noble has made available on its website the following transcript of the investor call held on June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156845</wp:posOffset>
            </wp:positionV>
            <wp:extent cx="95123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23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70C0"/>
        </w:rPr>
        <w:t>Noble Corporation to Acquire Diamond Offshore Drilling</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070C0"/>
        </w:rPr>
        <w:t>Edited Transcript</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0070C0"/>
        </w:rPr>
        <w:t>Monday, June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443230</wp:posOffset>
            </wp:positionV>
            <wp:extent cx="951230" cy="45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230"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10,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AM CT</w:t>
      </w:r>
    </w:p>
    <w:p>
      <w:pPr>
        <w:spacing w:after="0" w:line="203" w:lineRule="exact"/>
        <w:rPr>
          <w:sz w:val="24"/>
          <w:szCs w:val="24"/>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This transcript has been edited by Noble Corporation.   It is generally consistent with the original conference call transcript.  For a replay of the Investor Conference Call, please listen to the webcast presentation posted on www.investors.noblecorp.com under the headings “Investor Relations,” “Events &amp; Presentations.”</w:t>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Eifler</w:t>
      </w:r>
    </w:p>
    <w:p>
      <w:pPr>
        <w:spacing w:after="0" w:line="31" w:lineRule="exact"/>
        <w:rPr>
          <w:sz w:val="24"/>
          <w:szCs w:val="24"/>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Good morning. Welcome, everyone, and thank you for joining us on the call today. We're incredibly excited about this combination, which presents an abundance of industrial logic, a great cultural fit between our two companies, and significant and immediate accretion for shareholders on both sides of the deal. Over the past three years, Noble has been very active and purposeful with our M&amp;A strategy to create a leading offshore driller that could credibly aim to become first choice with customers, employees and shareholders. Bringing Diamond onto this platform is the next logical step in this journey. We have stated consistently that following the successful integration of the transformative Maersk drilling combination, Noble is now at a sufficient scale that any further M&amp;A would have to be considered highly selectively. And indeed, this opportunity is uniquely well aligned with our growth roadmap and our commitment to driving shareholder value through strong execution for our customers, free cash flow generation and returning capital to shareholders. Hence an adjacent feature of today's announcement is the 25% increase to our quarterly dividend, up from $0.40 to $0.50 effective next quarter. This increase is further supported by the significant accretion to Noble's 2025 free cash flow per share that is expected to arise from the Diamond acquisition. This is a relatively straightforward transaction with Diamond shareholders to receive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right="40"/>
        <w:spacing w:after="0" w:line="282" w:lineRule="auto"/>
        <w:rPr>
          <w:sz w:val="20"/>
          <w:szCs w:val="20"/>
          <w:color w:val="auto"/>
        </w:rPr>
      </w:pPr>
      <w:r>
        <w:rPr>
          <w:rFonts w:ascii="Times New Roman" w:cs="Times New Roman" w:eastAsia="Times New Roman" w:hAnsi="Times New Roman"/>
          <w:sz w:val="18"/>
          <w:szCs w:val="18"/>
          <w:color w:val="auto"/>
        </w:rPr>
        <w:t>$24.6 million Noble shares and $600 million in cash, representing an 11.4% premium to last Friday's close. Subject to normal closing conditions, including regulatory clearances and Diamond shareholder approval, we're targeting to close in the fourth quarter of this year, our first quarter of 2025.</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Now, I'll cover a few of the key highlights that we think make this such a compelling combination. First, from a fleet perspective, this creates the leading operator of Tier 1 drillships. Diamond's four BlackShips plus Noble's 11 Tier 1 drillships, all compete at the top echelon with the highest day rates in the industry. Additionally, the Ocean GreatWhite will bring a very high spec harsh-environment semi into our fleet, which is an attractive segment of the market where we do not currently participate. Behind these five most modern assets, Diamond's remaining five semis possess a variety of niche applications, primarily in the moored segment. These five units have been over 85% utilized over the past three years and have strong forward contract coverage representing close to $800 million out of Diamond's $2.1 billion of total backlog.</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Second, when we speak to the cultural fit across our two companies in terms of operational excellence, safety and environmental stewardship, there's perhaps no closer comparison to be found in between Noble and Diamond. Bernie and I, of course, share a lot of important history over the years, both as colleagues and as respected competitors. And it's safe to say that there's a lot of common ground in the way that our respective companies prioritize and manage operational risk and take care of our employees and customers.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Next, our companies enjoy highly complementary positioning of our operations and customer coverage. We have a great deal of customer diversity with over 80% of Diamond's backlog contracted to customers that are not current Noble customers on the floater side. So, we're very excited about the opportunity to serve these additional customers.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Next, there's a very attractive backlog dimension to this transaction, including Diamond's $2.1 billion of backlog, our combined pro forma backlog extends to $6.5 billion. Diamond's is a high quality backlog as well. The four BlackShips average about two years at $460,000 per day and closer to $480,000 per day by year two. And the remaining $800 million of backlog across the other rigs provides a complementary firm cash flow stream through late 2027. Importantly, this backlog accretion is supportive and intrinsic to the cash component of our transaction structure.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Finally, on synergies, we're targeting $100 million of total cost synergies. We aim to realize 75% of this synergy target within the first year, with active muscle memory and expertise in-house, from having recently digested a comparably larger and more complex integration of Maersk Drilling, we are highly confident in executing a successful integration, which of course is also aided by the aforementioned cultural dimension. As we have in our past integrations, we'll ensure our customers’ needs and our own service posture remain the priority through this integration.</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So, that's a quick summary of some of the highlights. We're extremely excited about the value that this transaction can deliver across all stakeholders, and we look forward to the journey ahead in bringing these two fantastic organizations together.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pause there and ask Bernie to share his thoughts before we move on to Q&amp;A.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Bernie Wolford</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Thank you, Robert. First of all, I couldn't agree more about the importance of the unique fit of these two companies, which I know from personal experience, share our common culture and an uncompromising commitment to service, excellence and reliability for our customers. From a Diamond perspective, we've been pretty transparent about the imperative to gain more efficient scale. This combination with Noble is an ideal path to attain that scale while providing Diamond shareholders access to both immediate and long-term upside potential as part of a larger enterprise with a compelling free cash flow and dividend offering, as well as shared participation and meaningful synergies with through-cycle scale. To all of the dedicated Diamond employees who have committed so much to our long and impressive history, I'd like to offer my most sincere appreciation. The opportunity ahead for this combined company as a leader in deepwater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incredibly promising, and I'm confident that we have the right assets and people to make this a great success.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hand it back to Robert.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Eifler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so much, Bernie. Sarah, I think we're just going to go straight to Q&amp;A.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Q&amp;A Section</w:t>
      </w:r>
    </w:p>
    <w:p>
      <w:pPr>
        <w:spacing w:after="0" w:line="22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Gregory Lewis, BTIG </w:t>
      </w:r>
      <w:r>
        <w:rPr>
          <w:rFonts w:ascii="Times New Roman" w:cs="Times New Roman" w:eastAsia="Times New Roman" w:hAnsi="Times New Roman"/>
          <w:sz w:val="18"/>
          <w:szCs w:val="18"/>
          <w:color w:val="auto"/>
        </w:rPr>
        <w:t>Hey, thank you, and good morning, Robert and Bernie. Hey, congratulations on getting the deal done. Yeah, I think a lot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waiting for maybe not Noble but, but definitely somebody to buy Diamond. Robert, I did have a question. You know, obviously, the, you know, the Maersk or the 1972 drilling company acquisition, I think is still fresh in a lot of people's minds. You know, could you talk a little bit about, you know, maybe how the regulatory environment has changed or maybe what, what is different in terms of, you know, the consolidation landscape? And, and really, you know, my questions around the, you know, the long windy process of getting the regulatory approvals in the UK that, that really seems like it was in, you know, it was just a process last time around?</w:t>
      </w:r>
    </w:p>
    <w:p>
      <w:pPr>
        <w:spacing w:after="0" w:line="1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Yeah. And thanks, Greg, and thanks for your, your kind words. Yeah. Look, the, the, the UK was really the long pole in the 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Maersk drilling combination and obviously in this combination, the, the, the only crossovers between floaters and jackups there. So, I would characterize the entire regulatory landscape as being much more straightforward and something that, you know, I guess the way to put it would be we're, we're confident around the timing we've given to close here.</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Gregory Lewis, BTIG </w:t>
      </w:r>
      <w:r>
        <w:rPr>
          <w:rFonts w:ascii="Times New Roman" w:cs="Times New Roman" w:eastAsia="Times New Roman" w:hAnsi="Times New Roman"/>
          <w:sz w:val="18"/>
          <w:szCs w:val="18"/>
          <w:color w:val="auto"/>
        </w:rPr>
        <w:t>Okay, great. And then, and then one other change or one other strategy that maybe is different between the two companies,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I know, you know, Diamond had, you know, previously, previously been a manager of other people's rigs. And I believe there is, you know, some rig management contracts, maybe for some, some newbuilds that aren't owned by Diamond. But Diamond was going to provide rig management services. Does any existing, or how does that strategy change when the whole entity is consolidated at Noble?</w:t>
      </w:r>
    </w:p>
    <w:p>
      <w:pPr>
        <w:spacing w:after="0" w:line="17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look, I won't speak to specifics on those individual contracts. Bernie, feel free to hop in. I would say as to the current management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on the, the, the three, I guess the three newest management contracts, you know, those are excellent rigs. Those are rigs that we've always said will be in the marketplace and belong in the marketplace, working for customers globally. And so, we don't have any real view other than we expect that those rigs are going to be out there competing. I think the, the owners have a fair amount of flexibility, and we'll see if there's a conversation there. We're not opposed to managing rigs, that's for 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Gregory Lewis, BTIG </w:t>
      </w:r>
      <w:r>
        <w:rPr>
          <w:rFonts w:ascii="Times New Roman" w:cs="Times New Roman" w:eastAsia="Times New Roman" w:hAnsi="Times New Roman"/>
          <w:sz w:val="18"/>
          <w:szCs w:val="18"/>
          <w:color w:val="auto"/>
        </w:rPr>
        <w:t>Okay. Super helpful. Thank you very much.</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Bernie Wolford </w:t>
      </w:r>
      <w:r>
        <w:rPr>
          <w:rFonts w:ascii="Times New Roman" w:cs="Times New Roman" w:eastAsia="Times New Roman" w:hAnsi="Times New Roman"/>
          <w:sz w:val="18"/>
          <w:szCs w:val="18"/>
          <w:color w:val="auto"/>
        </w:rPr>
        <w:t>Hey Greg, I would just add that Diamond is uniquely positioned to put those units to work with our highly contracted BlackShips.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out of time in the market where there are a number of opportunities coming forward that we don't have our own rigs to put those rigs to work for. And so, I think both as marketing rights and future potential management contracts, they represent great upside for Diamond as well as upside for the combined company going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Gregory Lewis, BTIG </w:t>
      </w:r>
      <w:r>
        <w:rPr>
          <w:rFonts w:ascii="Times New Roman" w:cs="Times New Roman" w:eastAsia="Times New Roman" w:hAnsi="Times New Roman"/>
          <w:sz w:val="18"/>
          <w:szCs w:val="18"/>
          <w:color w:val="auto"/>
        </w:rPr>
        <w:t>Okay, great to hear. Thanks, Bernie.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Kurt Hallead, Benchmark </w:t>
      </w:r>
      <w:r>
        <w:rPr>
          <w:rFonts w:ascii="Times New Roman" w:cs="Times New Roman" w:eastAsia="Times New Roman" w:hAnsi="Times New Roman"/>
          <w:sz w:val="18"/>
          <w:szCs w:val="18"/>
          <w:color w:val="auto"/>
        </w:rPr>
        <w:t>Hey, good morning, everybody, and congrats on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Thanks, Kurt.</w:t>
      </w:r>
    </w:p>
    <w:p>
      <w:pPr>
        <w:spacing w:after="0" w:line="22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Kurt Hallead, Benchmark </w:t>
      </w:r>
      <w:r>
        <w:rPr>
          <w:rFonts w:ascii="Times New Roman" w:cs="Times New Roman" w:eastAsia="Times New Roman" w:hAnsi="Times New Roman"/>
          <w:sz w:val="18"/>
          <w:szCs w:val="18"/>
          <w:color w:val="auto"/>
        </w:rPr>
        <w:t>Sure. So, I'm kind of curious, you guys referenced some $75 million of potential synergies within, within the first year of,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Can you just give us some general sense as to, you know, what's the mix of that between cash and non-cash synergies? I'm assuming it's all cash, but just want to be clear.</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Richard Barker </w:t>
      </w:r>
      <w:r>
        <w:rPr>
          <w:rFonts w:ascii="Times New Roman" w:cs="Times New Roman" w:eastAsia="Times New Roman" w:hAnsi="Times New Roman"/>
          <w:sz w:val="18"/>
          <w:szCs w:val="18"/>
          <w:color w:val="auto"/>
        </w:rPr>
        <w:t>Yeah, sure Greg, it's Richard here. I think the fair assumption is to assume that this is all cash. You know, the majority of the synergies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going to be more on the cost side, on the shore based side. We do expect to realize some on the supply chain side as well. But, but I think a fair assumption for the modeling perspective is just assume that all of those are cash.</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Kurt Hallead, Benchmark </w:t>
      </w:r>
      <w:r>
        <w:rPr>
          <w:rFonts w:ascii="Times New Roman" w:cs="Times New Roman" w:eastAsia="Times New Roman" w:hAnsi="Times New Roman"/>
          <w:sz w:val="18"/>
          <w:szCs w:val="18"/>
          <w:color w:val="auto"/>
        </w:rPr>
        <w:t>Okay, that's great. And then just as a follow up, I also wanted to be just expressly clear in the context of the capital 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post transaction, it looks like you'll be obviously taking on the Diamond debt and taking on another $600 million of debt. So, pro forma combined probably along the lines of $1.7 billion in debt. Do I understand that correctly?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Richard Barker </w:t>
      </w:r>
      <w:r>
        <w:rPr>
          <w:rFonts w:ascii="Times New Roman" w:cs="Times New Roman" w:eastAsia="Times New Roman" w:hAnsi="Times New Roman"/>
          <w:sz w:val="17"/>
          <w:szCs w:val="17"/>
          <w:color w:val="auto"/>
        </w:rPr>
        <w:t>Yeah, that's, that is correct. So, we'll have about, you know, if you include the leases, about $1.8 billion of debt on the combined company.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from a net leverage perspective, it will just be, it will be about just over one times on this 2024 basis.</w:t>
      </w:r>
    </w:p>
    <w:p>
      <w:pPr>
        <w:spacing w:after="0" w:line="20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Kurt Hallead, Benchmark </w:t>
      </w:r>
      <w:r>
        <w:rPr>
          <w:rFonts w:ascii="Times New Roman" w:cs="Times New Roman" w:eastAsia="Times New Roman" w:hAnsi="Times New Roman"/>
          <w:sz w:val="18"/>
          <w:szCs w:val="18"/>
          <w:color w:val="auto"/>
        </w:rPr>
        <w:t>Okay. And maybe just one last follow up for either Bernie or for Robert. So, you know, in the context of the,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[indiscernible], you referenced that it sounds like the management contract that you have, can market these other three rigs is, is going to remain in place. Were there any triggers and contract language that would change that dynamic as it relates to any kind of change of control provision?</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Bernie Wolford </w:t>
      </w:r>
      <w:r>
        <w:rPr>
          <w:rFonts w:ascii="Times New Roman" w:cs="Times New Roman" w:eastAsia="Times New Roman" w:hAnsi="Times New Roman"/>
          <w:sz w:val="18"/>
          <w:szCs w:val="18"/>
          <w:color w:val="auto"/>
        </w:rPr>
        <w:t>Hey, Kurt, this Bernie. There are no specific triggers related to change of control, although the owners of those assets have broad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as to who they choose to market their rigs. They chose Diamond because among other things, we've got a great reputation with clients, and we have a drillship fleet that's fully booked. And we're, we're in the market today with a number of opportunities.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Kurt Hallead, Benchmark </w:t>
      </w:r>
      <w:r>
        <w:rPr>
          <w:rFonts w:ascii="Times New Roman" w:cs="Times New Roman" w:eastAsia="Times New Roman" w:hAnsi="Times New Roman"/>
          <w:sz w:val="18"/>
          <w:szCs w:val="18"/>
          <w:color w:val="auto"/>
        </w:rPr>
        <w:t>That's great. Appreciate that color. Thanks, guys.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Doug Becker, Capital One </w:t>
      </w:r>
      <w:r>
        <w:rPr>
          <w:rFonts w:ascii="Times New Roman" w:cs="Times New Roman" w:eastAsia="Times New Roman" w:hAnsi="Times New Roman"/>
          <w:sz w:val="18"/>
          <w:szCs w:val="18"/>
          <w:color w:val="auto"/>
        </w:rPr>
        <w:t>Thank you, and congratulations. A question for Robert and Bernie, but just want to get your thoughts on why is this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do the deal? The stocks are both down from recent highs and just want to get a better sense for what stars aligned to allow this to happen?</w:t>
      </w:r>
    </w:p>
    <w:p>
      <w:pPr>
        <w:spacing w:after="0" w:line="15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sure. I mean, happy to kick it off. You know, this industry has, you know, consolidation and M&amp;A, as you know, are terms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associated with this industry for several years now, really the whole post-COVID area era, obviously, we've been meaningful participants there. We have long admired Diamond, their management team, their employees, their way of doing business. And I would say, you know, big M&amp;A like this, a lot of stars have to align. And I think in this instance, all of the things that make this attractive from Diamond's backlog, obviously, the culture hasn't, hadn't, wasn't, was a constant through all this. But the backlog and outlook which we hold is very positive, all aligned. And I would say that we're extremely excited about the way this is, this has all worked out. I think it's going to be a really great combination.</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Bernie Wolford </w:t>
      </w:r>
      <w:r>
        <w:rPr>
          <w:rFonts w:ascii="Times New Roman" w:cs="Times New Roman" w:eastAsia="Times New Roman" w:hAnsi="Times New Roman"/>
          <w:sz w:val="18"/>
          <w:szCs w:val="18"/>
          <w:color w:val="auto"/>
        </w:rPr>
        <w:t>In addition to the obvious culture fit and the benefits, we'll think that will bring for our employees and the future shareholders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company, we both feel like the companies are respectively undervalued in the market today with 2025 and 2026 EBITDA multiples. Diamond's cash flow really accelerates going into 2025 significant backlog and just a platform where we can kind of leverage that, that future backlog and cash flow in a way that's best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Doug Becker, Capital One </w:t>
      </w:r>
      <w:r>
        <w:rPr>
          <w:rFonts w:ascii="Times New Roman" w:cs="Times New Roman" w:eastAsia="Times New Roman" w:hAnsi="Times New Roman"/>
          <w:sz w:val="18"/>
          <w:szCs w:val="18"/>
          <w:color w:val="auto"/>
        </w:rPr>
        <w:t>I appreciate that. And maybe just kind of ties into what you mentioned, Bernie, about the undervaluation. But Robert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Richard just, how do you think about the valuation for those five conventional semis? Obviously, highlighting pretty good utilization there and good backlog. Yeah, I think it's pretty obvious that the drillships account for the bulk of the value, but any context you can get for the value you see in those other five assets?</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sure. I can give a little bit of color there. I mean, you know, obviously we look at a number of different valuation methods when,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going through, through something like this. And, and I think whether you're looking at NAVs multiples, whatever, the, the, looking at the past utilization and success rate for those rigs and the forward contract coverage really I think justifies all of the current market valuation around Diamond. You know, they're obviously older rigs, but they have in a couple instances a very loyal customers and a great operating history. And so, we see it all as, as very additive to the, to the story going forward outside of, outside of obviously the fleet quality piece since they're older rigs. It's all, all very additive to the story going forward.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Doug Becker, Capital One </w:t>
      </w: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Eddie Kim, Barclays </w:t>
      </w:r>
      <w:r>
        <w:rPr>
          <w:rFonts w:ascii="Times New Roman" w:cs="Times New Roman" w:eastAsia="Times New Roman" w:hAnsi="Times New Roman"/>
          <w:sz w:val="18"/>
          <w:szCs w:val="18"/>
          <w:color w:val="auto"/>
        </w:rPr>
        <w:t>Hi. Good morning, and congratulations on the deal. I wanted to circle back on, on the question earlier about regulatory clearances.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know you had to divest some rigs in the North Sea to close the Maersk acquisition. Noble and Diamond do have some overlap in the Gulf of Mexico. Do you foresee any issues or potential bottlenecks? And what do you see as the probability of the governing authorities forcing you to, to divest one or maybe more of your assets in the Gulf?</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it is fair question in light of our, our last transaction, although we haven't made the regulatory filings yet. And so, we're going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leave some of this as, as to be updated in the future. Look, I would reiterate that we are very comfortable with the timeline that we've outlined to get to close. And obviously, that, that's inclusive of our analysis around the various different regulatory frameworks.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Bernie Wolford </w:t>
      </w:r>
      <w:r>
        <w:rPr>
          <w:rFonts w:ascii="Times New Roman" w:cs="Times New Roman" w:eastAsia="Times New Roman" w:hAnsi="Times New Roman"/>
          <w:sz w:val="18"/>
          <w:szCs w:val="18"/>
          <w:color w:val="auto"/>
        </w:rPr>
        <w:t>Eddie, I would just add, you know, drillships are the most mobile class of assets on the planet today. And, you know, us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competitors are regularly able to compete, whether we're in the Gulf of Mexico or outside the Gulf of Mexico with assets. In the Golden Triangle, location is very fungible when it comes to drillships.</w:t>
      </w:r>
    </w:p>
    <w:p>
      <w:pPr>
        <w:spacing w:after="0" w:line="17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Eddie Kim, Barclays </w:t>
      </w:r>
      <w:r>
        <w:rPr>
          <w:rFonts w:ascii="Times New Roman" w:cs="Times New Roman" w:eastAsia="Times New Roman" w:hAnsi="Times New Roman"/>
          <w:sz w:val="18"/>
          <w:szCs w:val="18"/>
          <w:color w:val="auto"/>
        </w:rPr>
        <w:t>Yeah, got it. Fair point. And these aren't, these aren't fixed assets for sure. My follow up is just on a fleet rationalization. Rob,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know, with the addition of the Diamond's fleet here, does this potentially change your views on, on fleet rationalization of some of your fleet or even some of Diamond's rigs?</w:t>
      </w:r>
    </w:p>
    <w:p>
      <w:pPr>
        <w:spacing w:after="0" w:line="17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No, it really doesn't, Eddie. I mean, I think one of the things that's interesting here is, is the complementary nature of how, of how not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customers line up, but also the regions. So, you know, we'll add some, some helpful scale in, in Brazil and elsewhere. And, you know, I think as you look at the map kind of around the globe, we didn't include a map in the, in the material. So, if you were to look at a map around the globe, I think really what this does is it gives the combined company better scale and a better ability to serve customers on a global basis. So, look, I don't think it really changes how we might think about any individual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Eddie Kim, Barclays </w:t>
      </w:r>
      <w:r>
        <w:rPr>
          <w:rFonts w:ascii="Times New Roman" w:cs="Times New Roman" w:eastAsia="Times New Roman" w:hAnsi="Times New Roman"/>
          <w:sz w:val="18"/>
          <w:szCs w:val="18"/>
          <w:color w:val="auto"/>
        </w:rPr>
        <w:t>Got it. Understood. Thank you.</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David Smith, Pickering Energy Partners </w:t>
      </w:r>
      <w:r>
        <w:rPr>
          <w:rFonts w:ascii="Times New Roman" w:cs="Times New Roman" w:eastAsia="Times New Roman" w:hAnsi="Times New Roman"/>
          <w:sz w:val="18"/>
          <w:szCs w:val="18"/>
          <w:color w:val="auto"/>
        </w:rPr>
        <w:t>Hey, good morning. And congratulations to, to Noble. At first glance, this definitely looks accretive on, on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EV multiples and, and NAV. And congratulations to DO. It's a nice outcome versus the sub $6 share price when we launched coverage 23 months ago. I did want to, most of my questions were answered. But question for, for Robert or Richard, could you share some color on how you settled on the mix of cash versus equity consideration for the merger? And also, whether you think there was more room to raise debt if you had wanted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I can, I can get and then Richard fill in. But, but look, we looked very hard at, at the leverage multiple. And we basically got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comfortable with, with where we landed. We obviously run downside scenarios and we all remember that era, which you just referred to. And so we, you know, spent a long-time thinking about, about what made sense for the combined company and just came out with, with what I think is appropriate, appropriate leverage for, for now for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David Smith, Pickering Energy Partners </w:t>
      </w:r>
      <w:r>
        <w:rPr>
          <w:rFonts w:ascii="Times New Roman" w:cs="Times New Roman" w:eastAsia="Times New Roman" w:hAnsi="Times New Roman"/>
          <w:sz w:val="18"/>
          <w:szCs w:val="18"/>
          <w:color w:val="auto"/>
        </w:rPr>
        <w:t>All right. Appreciate it. Thank you.</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Noel Parks, Tuohy Brothers </w:t>
      </w:r>
      <w:r>
        <w:rPr>
          <w:rFonts w:ascii="Times New Roman" w:cs="Times New Roman" w:eastAsia="Times New Roman" w:hAnsi="Times New Roman"/>
          <w:sz w:val="18"/>
          <w:szCs w:val="18"/>
          <w:color w:val="auto"/>
        </w:rPr>
        <w:t>Hi. Good morning. Just had a couple questions. Just wondering, I don't know if this is something you've actually dug 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sorry, I don't know if there's something you dug down into much before. But in terms of the, the Diamond drillships coming into the Noble inventory, is there anything particularly helpful I had in terms of just maintenance timing that sort of being able to interweave the additional ships, you know, would be favorable for, for the Noble fleet?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Well, yeah, go ahead, Bernie. Go ahead and I can…</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Bernie Wolford </w:t>
      </w:r>
      <w:r>
        <w:rPr>
          <w:rFonts w:ascii="Times New Roman" w:cs="Times New Roman" w:eastAsia="Times New Roman" w:hAnsi="Times New Roman"/>
          <w:sz w:val="18"/>
          <w:szCs w:val="18"/>
          <w:color w:val="auto"/>
        </w:rPr>
        <w:t>No, you know, as you probably know from our fleet status report, we've got two SPS’s this year, one SPS next year, and none in 2026.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know, from the Diamond Fleet perspective certainly comes at a time when our revenue efficiency and available contract days are going to be very high. And you probably know that the four black ships or HHI vessels similar to the four rigs that Noble built in the shipyard and have currently working in Guyana.</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And I was going to just add to that too. Diamond has GE stacks on those rigs and we've got a number of GE stacks in our fleet already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came through the Maersk merger. So, we have a Subsea and maintenance group that is very well prepared to take on the equipment from those side. We've got everything covered.</w:t>
      </w:r>
    </w:p>
    <w:p>
      <w:pPr>
        <w:spacing w:after="0" w:line="17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Noel Parks, Tuohy Brothers </w:t>
      </w:r>
      <w:r>
        <w:rPr>
          <w:rFonts w:ascii="Times New Roman" w:cs="Times New Roman" w:eastAsia="Times New Roman" w:hAnsi="Times New Roman"/>
          <w:sz w:val="17"/>
          <w:szCs w:val="17"/>
          <w:color w:val="auto"/>
        </w:rPr>
        <w:t>Great, thanks. And I was just wondering for, for Bernie or for Robert, I just wondering if, if Diamond had stayed standalone.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But overnight you were given sort of advantages on, on cost of capital that would come from a large organization. Anything you could envision being, having been more aggressive on incrementally, you know, just based with, you know, if you were faced with just that increased flexibility and capital?</w:t>
      </w:r>
    </w:p>
    <w:p>
      <w:pPr>
        <w:spacing w:after="0" w:line="15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Bernie Wolford </w:t>
      </w:r>
      <w:r>
        <w:rPr>
          <w:rFonts w:ascii="Times New Roman" w:cs="Times New Roman" w:eastAsia="Times New Roman" w:hAnsi="Times New Roman"/>
          <w:sz w:val="18"/>
          <w:szCs w:val="18"/>
          <w:color w:val="auto"/>
        </w:rPr>
        <w:t>So, you know, the real advantage we see to this larger platform and obviously what should be a lower cost of capital for the,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entity, it's not only the ability to return significant cash to shareholders, but it's just the through cycle resilience to be here, be here for the long term, continue innovating when it comes to technology, having a larger platform on which to train people and transfer people across the globe, you know, those kind of benefits don't all transfer necessarily to synergies. But when it comes to the customer, those are things they really care about.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Noel Parks, Tuohy Brothers </w:t>
      </w:r>
      <w:r>
        <w:rPr>
          <w:rFonts w:ascii="Times New Roman" w:cs="Times New Roman" w:eastAsia="Times New Roman" w:hAnsi="Times New Roman"/>
          <w:sz w:val="18"/>
          <w:szCs w:val="18"/>
          <w:color w:val="auto"/>
        </w:rPr>
        <w:t>Great. Thanks so much.</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Josh Jayne, Daniel Energy Partners </w:t>
      </w:r>
      <w:r>
        <w:rPr>
          <w:rFonts w:ascii="Times New Roman" w:cs="Times New Roman" w:eastAsia="Times New Roman" w:hAnsi="Times New Roman"/>
          <w:sz w:val="18"/>
          <w:szCs w:val="18"/>
          <w:color w:val="auto"/>
        </w:rPr>
        <w:t>Thanks, Good morning. First question is for, is for Robert. Just going after the specific fleet in Diamond, obviously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 forma, much more deepwater focused. Could you just talk broadly from a strategy perspective? Does this signal further confidence in the deepwater floater market as opposed to the jackup market over the next couple of years and maybe just offer some thoughts there?</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Sure. Yeah, happy to. Look, we're very positive in our outlook on, on the deepwater market. And we've spent time talking about that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past. We continue to see a number of very positive forward indicators. We see our customers making longer term plans. We see budgets up. We see FIDs up, and we see a general return of interest to deepwater development and exploration. That does, that's not, that's no common on the jackup market. We are now, as a percentage basis, smaller, incrementally smaller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 w:name="page7"/>
    <w:bookmarkEnd w:id="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close here in jackups and despite kind of a, a negative news wave with some of the developments in Saudi, that markets held up great and it has, it's a very slightly different market but really has, has been resilient here recently. So, look, we, we've, we've said in the past that as we grow, we're more likely to grow in deepwater. And, of course, this is an indication of that.</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Josh Jayne, Daniel Energy Partners </w:t>
      </w:r>
      <w:r>
        <w:rPr>
          <w:rFonts w:ascii="Times New Roman" w:cs="Times New Roman" w:eastAsia="Times New Roman" w:hAnsi="Times New Roman"/>
          <w:sz w:val="18"/>
          <w:szCs w:val="18"/>
          <w:color w:val="auto"/>
        </w:rPr>
        <w:t>Okay, thanks. And then a follow up. You accelerated your cash return to shareholders in this release. Could you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talk about when you're looking at assets to potentially acquire, how important it was to secure something with this level of backlog when considering a target in order to return more cash to shareholders? And how you're thinking about that going forward, will be great? Thanks.</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Eifler </w:t>
      </w:r>
      <w:r>
        <w:rPr>
          <w:rFonts w:ascii="Times New Roman" w:cs="Times New Roman" w:eastAsia="Times New Roman" w:hAnsi="Times New Roman"/>
          <w:sz w:val="18"/>
          <w:szCs w:val="18"/>
          <w:color w:val="auto"/>
        </w:rPr>
        <w:t>Yeah, that's really a good question. You know, we've said that we would return the significant majority of our cash flow to our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we've done that. We've, we've returned actually just a bit more than our, our cash flow over the last year, year and a half. So, we're really stuck by what we said. And this deal is highly and immediately accretive to our shareholders. So, it's going to allow us to return more. We made it, you know, made that immediately obvious with the dividend raise, but looking at, at the accretion is a, is a critical, critical evaluation and anything we look at in this one screens extremely well and we're really pleased to be able to demonstrate that with the dividend raise and we look forward to continuing with our, with our policy of returning the significant majority of that cash flow going forward.</w:t>
      </w:r>
    </w:p>
    <w:p>
      <w:pPr>
        <w:spacing w:after="0" w:line="18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Sunny Sekhon, Truist Securities </w:t>
      </w:r>
      <w:r>
        <w:rPr>
          <w:rFonts w:ascii="Times New Roman" w:cs="Times New Roman" w:eastAsia="Times New Roman" w:hAnsi="Times New Roman"/>
          <w:sz w:val="18"/>
          <w:szCs w:val="18"/>
          <w:color w:val="auto"/>
        </w:rPr>
        <w:t>Good morning. Question relates to the Diamond offshore bonds and how they fit into the capital structure? Obviously,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bonds are secured bonds with restricted covenants. Do you intend to keep them outstanding and assume those bonds within the whole capital structure or intend to take them out and refi with new bonds?</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Richard Barker </w:t>
      </w:r>
      <w:r>
        <w:rPr>
          <w:rFonts w:ascii="Times New Roman" w:cs="Times New Roman" w:eastAsia="Times New Roman" w:hAnsi="Times New Roman"/>
          <w:sz w:val="18"/>
          <w:szCs w:val="18"/>
          <w:color w:val="auto"/>
        </w:rPr>
        <w:t>Yeah, Same, very good question. Our intention is to keep those bonds outstanding. You know, base plan would be to keep them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kind of silo, if you will. And obviously, then we also have a bridge commitment for the $600 million cash consideration part of the deal. And the intent would be to take that out with an unsecured bond closer to closing.</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Sunny Sekhon, Truist Securities </w:t>
      </w:r>
      <w:r>
        <w:rPr>
          <w:rFonts w:ascii="Times New Roman" w:cs="Times New Roman" w:eastAsia="Times New Roman" w:hAnsi="Times New Roman"/>
          <w:sz w:val="18"/>
          <w:szCs w:val="18"/>
          <w:color w:val="auto"/>
        </w:rPr>
        <w:t>Okay. Are there any covenants that prevent you from like filing covenants or anything like that, that, that will be a little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 more restrictive in that case, if you intend to keep them in, in a separate silo?</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Richard Barker </w:t>
      </w:r>
      <w:r>
        <w:rPr>
          <w:rFonts w:ascii="Times New Roman" w:cs="Times New Roman" w:eastAsia="Times New Roman" w:hAnsi="Times New Roman"/>
          <w:sz w:val="18"/>
          <w:szCs w:val="18"/>
          <w:color w:val="auto"/>
        </w:rPr>
        <w:t>Yeah. I mean, it's something we'll, we'll monitor. But I think, you know, the capital structure with, with leverage around one time so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real flexibility in that capital structure. So, that's something I wouldn't worry about at 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Sunny Sekhon, Truist Securities </w:t>
      </w:r>
      <w:r>
        <w:rPr>
          <w:rFonts w:ascii="Times New Roman" w:cs="Times New Roman" w:eastAsia="Times New Roman" w:hAnsi="Times New Roman"/>
          <w:sz w:val="18"/>
          <w:szCs w:val="18"/>
          <w:color w:val="auto"/>
        </w:rPr>
        <w:t>Okay. Appreciate it.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U.S. federal securities laws, including Section 27A of the Securities Act of 1933, as amended and Section 21E of the Securities Exchange Act, of 1934, as amended. You can identify these statements and other forward-looking statements in this document by words such as “expects,” “continue,” “focus,” “intends,” “anticipates,” “plans,” “targets,” “poised,” “advances,” “drives,” “aims,” “forecasts,” “believes,” “approaches,” “seeks,” “schedules,” “estimates,” “positions,” “pursues,” “progress,” “may,” “can,” “could,” “should,” “will,” “budgets,” “possible,” “outlook,” “trends,” “guidance,” “commits,” “on track,” “objectives,” “goals,” “projects,” “strategies,” “opportunities,” “potential,” “ambitions,” “aspires” and similar expressions, and variations or negatives of these words, but not all forward-looking statements include such words. Forward-looking statements by their nature address matters that are, to different degrees, uncertain, such as statements about the consummation of the pending transaction between Noble and Diamond (the ”Transaction”), including the expected time period to consummate the Transaction, and the anticipated benefits (including synergies and free cash flow accretion) of the Transaction, and planned dividends. All such forward-looking statements are based upon current plans, estimates, expectations and ambitions that are subject to risks, uncertainties and assumptions, many of which are beyond the control of Noble and Diamond, that could cause actual results to differ materially from those expressed in such forward-looking statements. Key factors that could cause actual results to differ materially include, but are not limited to the risk that regulatory approvals are not obtained or are obtained subject to conditions that are not anticipated by Noble and Diamond; uncertainties as to whether the Transaction will be consummated on the anticipated timing or at all, or if consummated, will achieve its anticipated economic benefits; Noble’s ability to integrate Diamond’s operations in a successful manner and in the expected time period; the possibility that any of the anticipated benefits and projected synergies of the Transaction will not be realized or will not be realized within the expected time period; the occurrence of any event, change or other circumstance that could give rise to the termination of the merger agreement; risks that the anticipated tax treatment of the Transaction is not obtained; unforeseen or unknown liabilities; customer, shareholder, regulatory and other stakeholder approvals and support; unexpected future capital expenditures; potential litigation relating to the Transaction that could be instituted against Noble or Diamond or their respective directors; the possibility that the Transaction may be more expensive to complete than anticipated, including as a result of unexpected factors or events; the effect of the pendency or completion of Transaction on the parties’ business relationships and business generally; risks that the Transaction disrupts current plans and operations of Noble or Diamond, as well as the risk of disruption of Noble’s or Diamond’s management and business disruption during the pendency of, or following, the Transaction; changes in commodity prices; negative effects of the announcement of the Transaction, and the pendency or completion of the Transaction on the market price of Noble’s or Diamond’s common stock and/or operating results; rating agency actions and Noble’s and Diamond’s ability to access debt markets on a timely and affordable basis; decline in the price of oil or gas, reduced demand for oil and gas products and increased regulation of drilling and production, price competition and cyclicality in the offshore drilling industry, offshore rig supply, dayrates and demand for rigs, contract duration, renewal, terminations and repricing, national oil companies and governmental clients, contract backlog, customer and geographic concentration, operational hazards and risks, labor force unionization, labor interruptions and labor regulations, major natural disasters, catastrophic event, acts of war, terrorism or social unrest, pandemic, or other similar event, joint ventures as well as investments in associates, international operations and related mobilization and demobilization of rigs, operational interruptions, delays, upgrades, refurbishment and repair of rigs and any related delays and cost overruns or reduced payment of dayrates, impacts of inflation, renewal of insurance, protection of sensitive information, operational technology systems and critical data, the ability to attract and retain skilled personnel or the increased cost in doing so, supplier capacity constraints or shortages in parts or equipment, supplier production disruptions, supplier quality and sourcing issues or price increases, future mergers, acquisitions or dispositions of businesses or assets or other strategic transactions, hurricanes and windstorm damage, responding to energy rebalancing, non-performance of suppliers or third-party subcontractors, increasing attention to environmental, social and governance matters, including climate change; the effects of industry, market, economic, political or regulatory conditions outside of Noble’s or Diamond’s control; and the risks described in Part I, Item 1A “Risk Factors” of (i) Noble’s Annual Report on Form 10-K for the year ended December 31, 2023 and (ii) Diamond’s Annual Report on Form 10-K for the year ended December 31, 2023, and, in each case, in subsequent filings with the U.S. Securities and Exchange Commission (“SEC”). Other unpredictable or factors not discussed in this communication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 w:name="page9"/>
    <w:bookmarkEnd w:id="8"/>
    <w:p>
      <w:pPr>
        <w:ind w:right="40"/>
        <w:spacing w:after="0" w:line="256" w:lineRule="auto"/>
        <w:rPr>
          <w:sz w:val="20"/>
          <w:szCs w:val="20"/>
          <w:color w:val="auto"/>
        </w:rPr>
      </w:pPr>
      <w:r>
        <w:rPr>
          <w:rFonts w:ascii="Times New Roman" w:cs="Times New Roman" w:eastAsia="Times New Roman" w:hAnsi="Times New Roman"/>
          <w:sz w:val="18"/>
          <w:szCs w:val="18"/>
          <w:color w:val="auto"/>
        </w:rPr>
        <w:t>also have material adverse effects on forward-looking statements. Neither Noble nor Diamond assumes an obligation to update any forward-looking statements, except as required by law. You are cautioned not to place undue reliance on any of these forward-looking statements as they are not guarantees of future performance or outcomes and that actual performance and outcomes. These forward-looking statements speak only as of the date hereof.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will be declared or continued.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relates to the Transaction between Noble and Diamond. This communication is for informational purposes only and is not intended to and does not constitute an offer to sell or the solicitation of an offer to sell or the solicitation of an offer to buy any securities or a solicitation of any vote or approval, in any jurisdiction, pursuant to the Transaction or otherwise, nor shall there be any sale, issuance, exchange or transfer of the securities referred to in this document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Transaction, Noble expects to file with the SEC a registration statement on Form S-4 (the “Registration Statement”) that will include a proxy statement of Diamond and a prospectus of Noble (the “Proxy Statement/Prospectus”). The Transaction will be submitted to Diamond’s stockholders for their consideration. Noble and Diamond may also file other documents with the SEC regarding the Transaction. The definitive Proxy Statement/Prospectus will be sent to the stockholders of Diamond. This document is not a substitute for the Registration Statement and Proxy Statement/Prospectus that will be filed with the SEC or any other documents that Noble and Diamond may file with the SEC or send to shareholders of Noble and stockholders of Diamond in connection with the Transaction. </w:t>
      </w:r>
      <w:r>
        <w:rPr>
          <w:rFonts w:ascii="Times New Roman" w:cs="Times New Roman" w:eastAsia="Times New Roman" w:hAnsi="Times New Roman"/>
          <w:sz w:val="18"/>
          <w:szCs w:val="18"/>
          <w:b w:val="1"/>
          <w:bCs w:val="1"/>
          <w:color w:val="auto"/>
        </w:rPr>
        <w:t>INVESTORS AND SECURITY HOLDERS OF NOBLE AND DIAMOND</w:t>
      </w:r>
    </w:p>
    <w:p>
      <w:pPr>
        <w:spacing w:after="0" w:line="2" w:lineRule="exact"/>
        <w:rPr>
          <w:sz w:val="20"/>
          <w:szCs w:val="20"/>
          <w:color w:val="auto"/>
        </w:rPr>
      </w:pPr>
    </w:p>
    <w:p>
      <w:pPr>
        <w:ind w:right="540"/>
        <w:spacing w:after="0" w:line="253" w:lineRule="auto"/>
        <w:rPr>
          <w:sz w:val="20"/>
          <w:szCs w:val="20"/>
          <w:color w:val="auto"/>
        </w:rPr>
      </w:pPr>
      <w:r>
        <w:rPr>
          <w:rFonts w:ascii="Times New Roman" w:cs="Times New Roman" w:eastAsia="Times New Roman" w:hAnsi="Times New Roman"/>
          <w:sz w:val="18"/>
          <w:szCs w:val="18"/>
          <w:b w:val="1"/>
          <w:bCs w:val="1"/>
          <w:color w:val="auto"/>
        </w:rPr>
        <w:t>ARE URGED TO READ THE REGISTRATION STATEMENT AND THE PROXY STATEMENT/PROSPECTUS REGARDING THE TRANSACTION WHEN IT BECOMES AVAILABLE AND ALL OTHER RELEVANT DOCUMENTS THAT ARE FILED OR WILL BE FILED WITH THE SEC, AS WELL AS ANY AMENDMENTS OR SUPPLEMENTS TO THESE DOCUMENTS, CAREFULLY AND IN THEIR ENTIRETY BECAUSE THEY WILL CONTAIN IMPORTANT INFORMATION ABOUT NOBLE AND DIAMOND, THE TRANSACTION, THE RISKS RELATED THERETO AND RELATED MATTERS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Investors and security holders will be able to obtain free copies of the Registration Statement and the Proxy Statement/Prospectus (when available) and all other documents filed or that will be filed with the SEC by Noble and Diamond through the website maintained by the SEC at </w:t>
      </w:r>
      <w:r>
        <w:rPr>
          <w:rFonts w:ascii="Times New Roman" w:cs="Times New Roman" w:eastAsia="Times New Roman" w:hAnsi="Times New Roman"/>
          <w:sz w:val="18"/>
          <w:szCs w:val="18"/>
          <w:i w:val="1"/>
          <w:iCs w:val="1"/>
          <w:color w:val="0000FF"/>
        </w:rPr>
        <w:t>http://www.sec.gov</w:t>
      </w:r>
      <w:r>
        <w:rPr>
          <w:rFonts w:ascii="Times New Roman" w:cs="Times New Roman" w:eastAsia="Times New Roman" w:hAnsi="Times New Roman"/>
          <w:sz w:val="18"/>
          <w:szCs w:val="18"/>
          <w:color w:val="auto"/>
        </w:rPr>
        <w:t xml:space="preserve">. Copies of documents filed with the SEC by Noble will be made available free of charge on Noble’s website at </w:t>
      </w:r>
      <w:r>
        <w:rPr>
          <w:rFonts w:ascii="Times New Roman" w:cs="Times New Roman" w:eastAsia="Times New Roman" w:hAnsi="Times New Roman"/>
          <w:sz w:val="18"/>
          <w:szCs w:val="18"/>
          <w:i w:val="1"/>
          <w:iCs w:val="1"/>
          <w:color w:val="0000FF"/>
        </w:rPr>
        <w:t>https://www.investors.noblecorp.com</w:t>
      </w:r>
      <w:r>
        <w:rPr>
          <w:rFonts w:ascii="Times New Roman" w:cs="Times New Roman" w:eastAsia="Times New Roman" w:hAnsi="Times New Roman"/>
          <w:sz w:val="18"/>
          <w:szCs w:val="18"/>
          <w:color w:val="auto"/>
        </w:rPr>
        <w:t xml:space="preserve">, under the “Investors” tab, or by directing a request to Investor Relations, Noble Corporation plc, 13135 Dairy Ashford, Suite 800, Sugar Land, Texas, 77478 , Tel. No. (713) 239-6507. Copies of documents filed with the SEC by Diamond will be made available free of charge on Diamond’s website at </w:t>
      </w:r>
      <w:r>
        <w:rPr>
          <w:rFonts w:ascii="Times New Roman" w:cs="Times New Roman" w:eastAsia="Times New Roman" w:hAnsi="Times New Roman"/>
          <w:sz w:val="18"/>
          <w:szCs w:val="18"/>
          <w:i w:val="1"/>
          <w:iCs w:val="1"/>
          <w:color w:val="0000FF"/>
        </w:rPr>
        <w:t xml:space="preserve">https://investor.diamondoffshore.com </w:t>
      </w:r>
      <w:r>
        <w:rPr>
          <w:rFonts w:ascii="Times New Roman" w:cs="Times New Roman" w:eastAsia="Times New Roman" w:hAnsi="Times New Roman"/>
          <w:sz w:val="18"/>
          <w:szCs w:val="18"/>
          <w:color w:val="000000"/>
        </w:rPr>
        <w:t>under the “Investor Relations” tab or by directing a request to Investor Relations, Diamond Drilling, Inc., 777 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Eldridge Parkway, Suite 1100, Houston, Texas 77079, Tel. No. (281) 647-4035.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Noble, Diamond, and their respective directors and executive officers and other members of management and employees may be deemed to be participants in the solicitation of proxies in respect to the Transaction.</w:t>
      </w:r>
    </w:p>
    <w:p>
      <w:pPr>
        <w:spacing w:after="0" w:line="181" w:lineRule="exact"/>
        <w:rPr>
          <w:sz w:val="20"/>
          <w:szCs w:val="20"/>
          <w:color w:val="auto"/>
        </w:rPr>
      </w:pPr>
    </w:p>
    <w:p>
      <w:pPr>
        <w:ind w:right="40"/>
        <w:spacing w:after="0" w:line="254"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Information about the directors and executive officers of Noble is set forth in: (i) Noble’s proxy statement for its 2024 annual meeting, including under the headings “Resolutions 1, 2 ,3, 4 ,5 ,6, 7 &amp; 8” and “Compensation Discussion and Analysis,” filed with the SEC on April 10, 2024 and available at </w:t>
      </w:r>
      <w:hyperlink r:id="rId22">
        <w:r>
          <w:rPr>
            <w:rFonts w:ascii="Times New Roman" w:cs="Times New Roman" w:eastAsia="Times New Roman" w:hAnsi="Times New Roman"/>
            <w:sz w:val="18"/>
            <w:szCs w:val="18"/>
            <w:i w:val="1"/>
            <w:iCs w:val="1"/>
            <w:u w:val="single" w:color="auto"/>
            <w:color w:val="0000EE"/>
          </w:rPr>
          <w:t>https://www.sec.gov/Archives/edgar/data/1895262/000119312524091850/d807356ddef14a.htm</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(ii) Noble’s Annual Report on Form 10-K for the year</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 xml:space="preserve">ended December 31, 2023,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filed with the SEC on February 23, 2024 and available at </w:t>
      </w:r>
      <w:hyperlink r:id="rId23">
        <w:r>
          <w:rPr>
            <w:rFonts w:ascii="Times New Roman" w:cs="Times New Roman" w:eastAsia="Times New Roman" w:hAnsi="Times New Roman"/>
            <w:sz w:val="18"/>
            <w:szCs w:val="18"/>
            <w:i w:val="1"/>
            <w:iCs w:val="1"/>
            <w:u w:val="single" w:color="auto"/>
            <w:color w:val="0000EE"/>
          </w:rPr>
          <w:t>https://www.sec.gov/Archives/edgar/data/1895262/000162828024006622/ne-20231231.htm</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(iii) Noble’s Current Report on Form 8-K filed with the SEC</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 xml:space="preserve">on March 15, 2024 and available at </w:t>
      </w:r>
      <w:hyperlink r:id="rId24">
        <w:r>
          <w:rPr>
            <w:rFonts w:ascii="Times New Roman" w:cs="Times New Roman" w:eastAsia="Times New Roman" w:hAnsi="Times New Roman"/>
            <w:sz w:val="18"/>
            <w:szCs w:val="18"/>
            <w:i w:val="1"/>
            <w:iCs w:val="1"/>
            <w:u w:val="single" w:color="auto"/>
            <w:color w:val="0000EE"/>
          </w:rPr>
          <w:t>https://www.sec.gov/Archives/edgar/data/949039/000119312524068298/d810669d8k.htm</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and (iv) subsequent statements of changes in beneficial ownership on file with the SEC.</w:t>
      </w:r>
    </w:p>
    <w:p>
      <w:pPr>
        <w:spacing w:after="0" w:line="188" w:lineRule="exact"/>
        <w:rPr>
          <w:rFonts w:ascii="Times New Roman" w:cs="Times New Roman" w:eastAsia="Times New Roman" w:hAnsi="Times New Roman"/>
          <w:sz w:val="18"/>
          <w:szCs w:val="18"/>
          <w:i w:val="1"/>
          <w:iCs w:val="1"/>
          <w:color w:val="0000EE"/>
        </w:rPr>
      </w:pPr>
    </w:p>
    <w:p>
      <w:pPr>
        <w:ind w:right="120"/>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color w:val="auto"/>
        </w:rPr>
        <w:t xml:space="preserve">Information about the directors and executive officers of Diamond is set forth in Diamond’s proxy statement for its 2024 annual meeting, including under the headings “Election of Directors (Proposal No. 1),” “Compensation Discussion and Analysis,” “Executive Compensation,” and “Stock Ownership of Management and Directors,” filed with the SEC on March 28, 2024 and available at </w:t>
      </w:r>
      <w:hyperlink r:id="rId25">
        <w:r>
          <w:rPr>
            <w:rFonts w:ascii="Times New Roman" w:cs="Times New Roman" w:eastAsia="Times New Roman" w:hAnsi="Times New Roman"/>
            <w:sz w:val="18"/>
            <w:szCs w:val="18"/>
            <w:i w:val="1"/>
            <w:iCs w:val="1"/>
            <w:u w:val="single" w:color="auto"/>
            <w:color w:val="0000EE"/>
          </w:rPr>
          <w:t>https://www.sec.gov/Archives/edgar/data/949039/000119312524080696/d882683ddef14a.htm</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(ii) Diamond’s Annual Report on Form 10-K for the year</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 xml:space="preserve">ended December 31, 2023,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filed with the SEC on February 28, 2024 and available at </w:t>
      </w:r>
      <w:hyperlink r:id="rId26">
        <w:r>
          <w:rPr>
            <w:rFonts w:ascii="Times New Roman" w:cs="Times New Roman" w:eastAsia="Times New Roman" w:hAnsi="Times New Roman"/>
            <w:sz w:val="18"/>
            <w:szCs w:val="18"/>
            <w:i w:val="1"/>
            <w:iCs w:val="1"/>
            <w:u w:val="single" w:color="auto"/>
            <w:color w:val="0000EE"/>
          </w:rPr>
          <w:t>https://www.sec.gov/Archives/edgar/data/949039/000095017024022282/do-20231231.htm</w:t>
        </w:r>
        <w:r>
          <w:rPr>
            <w:rFonts w:ascii="Times New Roman" w:cs="Times New Roman" w:eastAsia="Times New Roman" w:hAnsi="Times New Roman"/>
            <w:sz w:val="18"/>
            <w:szCs w:val="18"/>
            <w:i w:val="1"/>
            <w:iCs w:val="1"/>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(iii) subsequent statements of changes in beneficial</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color w:val="000000"/>
        </w:rPr>
        <w:t>ownership on file with the SEC.</w:t>
      </w:r>
    </w:p>
    <w:p>
      <w:pPr>
        <w:spacing w:after="0" w:line="18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 xml:space="preserve">Additional or updated information regarding the potential participants and their direct or indirect interests (by security holdings or otherwise) will be included in Noble’s registration statement on Form S-4, which will contain Noble’s prospectus and Diamond’s proxy statement, and other relevant materials to be filed with the SEC when they become available. These documents can be obtained free of charge from the SEC’s website at </w:t>
      </w:r>
      <w:r>
        <w:rPr>
          <w:rFonts w:ascii="Times New Roman" w:cs="Times New Roman" w:eastAsia="Times New Roman" w:hAnsi="Times New Roman"/>
          <w:sz w:val="17"/>
          <w:szCs w:val="17"/>
          <w:color w:val="0000FF"/>
        </w:rPr>
        <w:t>www.sec.gov</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57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7" Type="http://schemas.openxmlformats.org/officeDocument/2006/relationships/image" Target="media/image15.png"/><Relationship Id="rId22" Type="http://schemas.openxmlformats.org/officeDocument/2006/relationships/hyperlink" Target="https://www.sec.gov/Archives/edgar/data/1895262/000119312524091850/d807356ddef14a.htm" TargetMode="External"/><Relationship Id="rId23" Type="http://schemas.openxmlformats.org/officeDocument/2006/relationships/hyperlink" Target="https://www.sec.gov/Archives/edgar/data/1895262/000162828024006622/ne-20231231.htm" TargetMode="External"/><Relationship Id="rId24" Type="http://schemas.openxmlformats.org/officeDocument/2006/relationships/hyperlink" Target="https://www.sec.gov/Archives/edgar/data/949039/000119312524068298/d810669d8k.htm" TargetMode="External"/><Relationship Id="rId25" Type="http://schemas.openxmlformats.org/officeDocument/2006/relationships/hyperlink" Target="https://www.sec.gov/Archives/edgar/data/949039/000119312524080696/d882683ddef14a.htm" TargetMode="External"/><Relationship Id="rId26" Type="http://schemas.openxmlformats.org/officeDocument/2006/relationships/hyperlink" Target="https://www.sec.gov/Archives/edgar/data/949039/000095017024022282/do-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2024-06-10T16:23:35Z</dcterms:created>
  <dcterms:modified xsi:type="dcterms:W3CDTF">2024-06-10T16:23:35Z</dcterms:modified>
</cp:coreProperties>
</file>