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4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SCHEDULE 13D</w:t>
      </w:r>
    </w:p>
    <w:p>
      <w:pPr>
        <w:spacing w:after="0" w:line="4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Noble Corporation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(Name of Issuer)</w:t>
      </w:r>
    </w:p>
    <w:p>
      <w:pPr>
        <w:spacing w:after="0" w:line="35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 Ordinary Shares,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35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G65431 127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(CUSIP Number)</w:t>
      </w:r>
    </w:p>
    <w:p>
      <w:pPr>
        <w:spacing w:after="0" w:line="35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APMH Invest A/S</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Esplanaden 50</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1263 Copenhagen K</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Denmark</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+45 61 18 10 20</w:t>
      </w:r>
    </w:p>
    <w:p>
      <w:pPr>
        <w:spacing w:after="0" w:line="20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With a copy to:</w:t>
      </w:r>
    </w:p>
    <w:p>
      <w:pPr>
        <w:spacing w:after="0" w:line="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Connie I. Milonakis</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Davis Polk &amp; Wardwell London LLP</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5 Aldermanbury Square</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London NW5 3LH</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Telephone: +44 20 7418 1327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Receive Notices and Communications)</w:t>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October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322"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If the filing person has previously filed a statement on Schedule 13G to report the acquisition that is the subject of this Schedule 13D, and is filing this schedule because of §§240.13d-1(e), 240.13d-l(f) or 240.13d-l(g), check the following box. o</w:t>
      </w:r>
    </w:p>
    <w:p>
      <w:pPr>
        <w:spacing w:after="0" w:line="162" w:lineRule="exact"/>
        <w:rPr>
          <w:sz w:val="24"/>
          <w:szCs w:val="24"/>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 240.13d-7(b) for other parties to whom copies are to be sent.</w:t>
      </w:r>
    </w:p>
    <w:p>
      <w:pPr>
        <w:spacing w:after="0" w:line="16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273" w:right="399" w:bottom="1440" w:gutter="0" w:footer="0" w:header="0"/>
        </w:sectPr>
      </w:pPr>
    </w:p>
    <w:bookmarkStart w:id="1" w:name="page2"/>
    <w:bookmarkEnd w:id="1"/>
    <w:p>
      <w:pPr>
        <w:ind w:left="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05740"/>
                    </a:xfrm>
                    <a:prstGeom prst="rect">
                      <a:avLst/>
                    </a:prstGeom>
                    <a:noFill/>
                  </pic:spPr>
                </pic:pic>
              </a:graphicData>
            </a:graphic>
          </wp:anchor>
        </w:drawing>
        <w:t>CUSIP No. G65431 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33432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343275"/>
                    </a:xfrm>
                    <a:prstGeom prst="rect">
                      <a:avLst/>
                    </a:prstGeom>
                    <a:noFill/>
                  </pic:spPr>
                </pic:pic>
              </a:graphicData>
            </a:graphic>
          </wp:anchor>
        </w:drawing>
      </w:r>
    </w:p>
    <w:p>
      <w:pPr>
        <w:spacing w:after="0" w:line="344" w:lineRule="exact"/>
        <w:rPr>
          <w:sz w:val="20"/>
          <w:szCs w:val="20"/>
          <w:color w:val="auto"/>
        </w:rPr>
      </w:pPr>
    </w:p>
    <w:p>
      <w:pPr>
        <w:ind w:left="600" w:right="8720" w:hanging="331"/>
        <w:spacing w:after="0" w:line="532" w:lineRule="auto"/>
        <w:tabs>
          <w:tab w:leader="none" w:pos="6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Reporting Person APMH Invest A/S</w:t>
      </w:r>
    </w:p>
    <w:p>
      <w:pPr>
        <w:spacing w:after="0" w:line="27" w:lineRule="exact"/>
        <w:rPr>
          <w:sz w:val="20"/>
          <w:szCs w:val="20"/>
          <w:color w:val="auto"/>
        </w:rPr>
      </w:pPr>
    </w:p>
    <w:p>
      <w:pPr>
        <w:ind w:left="600" w:hanging="353"/>
        <w:spacing w:after="0"/>
        <w:tabs>
          <w:tab w:leader="none" w:pos="6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5" w:lineRule="exact"/>
        <w:rPr>
          <w:rFonts w:ascii="Times New Roman" w:cs="Times New Roman" w:eastAsia="Times New Roman" w:hAnsi="Times New Roman"/>
          <w:sz w:val="18"/>
          <w:szCs w:val="18"/>
          <w:color w:val="auto"/>
        </w:rPr>
      </w:pPr>
    </w:p>
    <w:p>
      <w:pPr>
        <w:ind w:left="840" w:hanging="238"/>
        <w:spacing w:after="0"/>
        <w:tabs>
          <w:tab w:leader="none" w:pos="8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225" w:lineRule="exact"/>
        <w:rPr>
          <w:rFonts w:ascii="Times New Roman" w:cs="Times New Roman" w:eastAsia="Times New Roman" w:hAnsi="Times New Roman"/>
          <w:sz w:val="18"/>
          <w:szCs w:val="18"/>
          <w:color w:val="auto"/>
        </w:rPr>
      </w:pPr>
    </w:p>
    <w:p>
      <w:pPr>
        <w:ind w:left="860" w:hanging="258"/>
        <w:spacing w:after="0"/>
        <w:tabs>
          <w:tab w:leader="none" w:pos="8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tcBorders>
              <w:right w:val="single" w:sz="8" w:color="auto"/>
            </w:tcBorders>
            <w:shd w:val="clear" w:color="auto" w:fill="000000"/>
          </w:tcPr>
          <w:p>
            <w:pPr>
              <w:spacing w:after="0"/>
              <w:rPr>
                <w:sz w:val="23"/>
                <w:szCs w:val="23"/>
                <w:color w:val="auto"/>
              </w:rPr>
            </w:pPr>
          </w:p>
        </w:tc>
        <w:tc>
          <w:tcPr>
            <w:tcW w:w="540" w:type="dxa"/>
            <w:vAlign w:val="bottom"/>
            <w:tcBorders>
              <w:top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w:t>
            </w:r>
          </w:p>
        </w:tc>
        <w:tc>
          <w:tcPr>
            <w:tcW w:w="2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30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5740" w:type="dxa"/>
            <w:vAlign w:val="bottom"/>
            <w:tcBorders>
              <w:top w:val="single" w:sz="8" w:color="auto"/>
            </w:tcBorders>
          </w:tcPr>
          <w:p>
            <w:pPr>
              <w:spacing w:after="0"/>
              <w:rPr>
                <w:sz w:val="23"/>
                <w:szCs w:val="23"/>
                <w:color w:val="auto"/>
              </w:rPr>
            </w:pPr>
          </w:p>
        </w:tc>
        <w:tc>
          <w:tcPr>
            <w:tcW w:w="25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74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4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w:t>
            </w: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7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574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4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c>
          <w:tcPr>
            <w:tcW w:w="8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5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250"/>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574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4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w:t>
            </w:r>
          </w:p>
        </w:tc>
        <w:tc>
          <w:tcPr>
            <w:tcW w:w="8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74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1"/>
                <w:szCs w:val="21"/>
                <w:color w:val="auto"/>
              </w:rPr>
            </w:pPr>
          </w:p>
        </w:tc>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2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40" w:type="dxa"/>
            <w:vAlign w:val="bottom"/>
          </w:tcPr>
          <w:p>
            <w:pPr>
              <w:spacing w:after="0"/>
              <w:rPr>
                <w:sz w:val="21"/>
                <w:szCs w:val="21"/>
                <w:color w:val="auto"/>
              </w:rPr>
            </w:pPr>
          </w:p>
        </w:tc>
        <w:tc>
          <w:tcPr>
            <w:tcW w:w="2040" w:type="dxa"/>
            <w:vAlign w:val="bottom"/>
            <w:tcBorders>
              <w:right w:val="single" w:sz="8" w:color="auto"/>
            </w:tcBorders>
          </w:tcPr>
          <w:p>
            <w:pPr>
              <w:spacing w:after="0"/>
              <w:rPr>
                <w:sz w:val="21"/>
                <w:szCs w:val="21"/>
                <w:color w:val="auto"/>
              </w:rPr>
            </w:pPr>
          </w:p>
        </w:tc>
        <w:tc>
          <w:tcPr>
            <w:tcW w:w="30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740" w:type="dxa"/>
            <w:vAlign w:val="bottom"/>
            <w:vMerge w:val="continue"/>
          </w:tcPr>
          <w:p>
            <w:pPr>
              <w:spacing w:after="0"/>
              <w:rPr>
                <w:sz w:val="21"/>
                <w:szCs w:val="21"/>
                <w:color w:val="auto"/>
              </w:rPr>
            </w:pPr>
          </w:p>
        </w:tc>
        <w:tc>
          <w:tcPr>
            <w:tcW w:w="25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540" w:type="dxa"/>
            <w:vAlign w:val="bottom"/>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540" w:type="dxa"/>
            <w:vAlign w:val="bottom"/>
          </w:tcPr>
          <w:p>
            <w:pPr>
              <w:spacing w:after="0"/>
              <w:rPr>
                <w:sz w:val="21"/>
                <w:szCs w:val="21"/>
                <w:color w:val="auto"/>
              </w:rPr>
            </w:pPr>
          </w:p>
        </w:tc>
        <w:tc>
          <w:tcPr>
            <w:tcW w:w="2040" w:type="dxa"/>
            <w:vAlign w:val="bottom"/>
            <w:tcBorders>
              <w:right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5740" w:type="dxa"/>
            <w:vAlign w:val="bottom"/>
            <w:tcBorders>
              <w:bottom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40" w:type="dxa"/>
            <w:vAlign w:val="bottom"/>
          </w:tcPr>
          <w:p>
            <w:pPr>
              <w:spacing w:after="0"/>
              <w:rPr>
                <w:sz w:val="23"/>
                <w:szCs w:val="23"/>
                <w:color w:val="auto"/>
              </w:rPr>
            </w:pPr>
          </w:p>
        </w:tc>
        <w:tc>
          <w:tcPr>
            <w:tcW w:w="2040" w:type="dxa"/>
            <w:vAlign w:val="bottom"/>
            <w:tcBorders>
              <w:right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000000"/>
          </w:tcPr>
          <w:p>
            <w:pPr>
              <w:spacing w:after="0"/>
              <w:rPr>
                <w:sz w:val="23"/>
                <w:szCs w:val="23"/>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2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40" w:type="dxa"/>
            <w:vAlign w:val="bottom"/>
          </w:tcPr>
          <w:p>
            <w:pPr>
              <w:spacing w:after="0"/>
              <w:rPr>
                <w:sz w:val="18"/>
                <w:szCs w:val="18"/>
                <w:color w:val="auto"/>
              </w:rPr>
            </w:pPr>
          </w:p>
        </w:tc>
        <w:tc>
          <w:tcPr>
            <w:tcW w:w="2040" w:type="dxa"/>
            <w:vAlign w:val="bottom"/>
            <w:tcBorders>
              <w:right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27,890,529 (See item 5)</w:t>
            </w: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40" w:type="dxa"/>
            <w:vAlign w:val="bottom"/>
          </w:tcPr>
          <w:p>
            <w:pPr>
              <w:spacing w:after="0"/>
              <w:rPr>
                <w:sz w:val="18"/>
                <w:szCs w:val="18"/>
                <w:color w:val="auto"/>
              </w:rPr>
            </w:pPr>
          </w:p>
        </w:tc>
        <w:tc>
          <w:tcPr>
            <w:tcW w:w="2040" w:type="dxa"/>
            <w:vAlign w:val="bottom"/>
            <w:tcBorders>
              <w:right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w w:val="99"/>
              </w:rPr>
              <w:t>BENEFICIALLY</w:t>
            </w:r>
          </w:p>
        </w:tc>
        <w:tc>
          <w:tcPr>
            <w:tcW w:w="3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740" w:type="dxa"/>
            <w:vAlign w:val="bottom"/>
            <w:vMerge w:val="continue"/>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40" w:type="dxa"/>
            <w:vAlign w:val="bottom"/>
          </w:tcPr>
          <w:p>
            <w:pPr>
              <w:spacing w:after="0"/>
              <w:rPr>
                <w:sz w:val="19"/>
                <w:szCs w:val="19"/>
                <w:color w:val="auto"/>
              </w:rPr>
            </w:pPr>
          </w:p>
        </w:tc>
        <w:tc>
          <w:tcPr>
            <w:tcW w:w="2040" w:type="dxa"/>
            <w:vAlign w:val="bottom"/>
            <w:tcBorders>
              <w:right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5740" w:type="dxa"/>
            <w:vAlign w:val="bottom"/>
            <w:tcBorders>
              <w:bottom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540" w:type="dxa"/>
            <w:vAlign w:val="bottom"/>
          </w:tcPr>
          <w:p>
            <w:pPr>
              <w:spacing w:after="0"/>
              <w:rPr>
                <w:sz w:val="16"/>
                <w:szCs w:val="16"/>
                <w:color w:val="auto"/>
              </w:rPr>
            </w:pPr>
          </w:p>
        </w:tc>
        <w:tc>
          <w:tcPr>
            <w:tcW w:w="2040" w:type="dxa"/>
            <w:vAlign w:val="bottom"/>
            <w:tcBorders>
              <w:right w:val="single" w:sz="8" w:color="auto"/>
            </w:tcBorders>
          </w:tcPr>
          <w:p>
            <w:pPr>
              <w:jc w:val="center"/>
              <w:ind w:right="470"/>
              <w:spacing w:after="0" w:line="189"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000000"/>
          </w:tcPr>
          <w:p>
            <w:pPr>
              <w:spacing w:after="0"/>
              <w:rPr>
                <w:sz w:val="16"/>
                <w:szCs w:val="16"/>
                <w:color w:val="auto"/>
              </w:rPr>
            </w:pPr>
          </w:p>
        </w:tc>
        <w:tc>
          <w:tcPr>
            <w:tcW w:w="57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2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540" w:type="dxa"/>
            <w:vAlign w:val="bottom"/>
          </w:tcPr>
          <w:p>
            <w:pPr>
              <w:spacing w:after="0"/>
              <w:rPr>
                <w:sz w:val="18"/>
                <w:szCs w:val="18"/>
                <w:color w:val="auto"/>
              </w:rPr>
            </w:pPr>
          </w:p>
        </w:tc>
        <w:tc>
          <w:tcPr>
            <w:tcW w:w="2040" w:type="dxa"/>
            <w:vAlign w:val="bottom"/>
            <w:tcBorders>
              <w:right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740" w:type="dxa"/>
            <w:vAlign w:val="bottom"/>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 w:type="dxa"/>
            <w:vAlign w:val="bottom"/>
            <w:tcBorders>
              <w:right w:val="single" w:sz="8" w:color="auto"/>
            </w:tcBorders>
            <w:shd w:val="clear" w:color="auto" w:fill="000000"/>
          </w:tcPr>
          <w:p>
            <w:pPr>
              <w:spacing w:after="0"/>
              <w:rPr>
                <w:sz w:val="19"/>
                <w:szCs w:val="19"/>
                <w:color w:val="auto"/>
              </w:rPr>
            </w:pPr>
          </w:p>
        </w:tc>
        <w:tc>
          <w:tcPr>
            <w:tcW w:w="540" w:type="dxa"/>
            <w:vAlign w:val="bottom"/>
          </w:tcPr>
          <w:p>
            <w:pPr>
              <w:spacing w:after="0"/>
              <w:rPr>
                <w:sz w:val="19"/>
                <w:szCs w:val="19"/>
                <w:color w:val="auto"/>
              </w:rPr>
            </w:pPr>
          </w:p>
        </w:tc>
        <w:tc>
          <w:tcPr>
            <w:tcW w:w="2040" w:type="dxa"/>
            <w:vAlign w:val="bottom"/>
            <w:tcBorders>
              <w:right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40" w:type="dxa"/>
            <w:vAlign w:val="bottom"/>
          </w:tcPr>
          <w:p>
            <w:pPr>
              <w:spacing w:after="0"/>
              <w:rPr>
                <w:sz w:val="20"/>
                <w:szCs w:val="20"/>
                <w:color w:val="auto"/>
              </w:rPr>
            </w:pPr>
          </w:p>
        </w:tc>
        <w:tc>
          <w:tcPr>
            <w:tcW w:w="2040" w:type="dxa"/>
            <w:vAlign w:val="bottom"/>
            <w:tcBorders>
              <w:right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rPr>
              <w:t>WITH</w:t>
            </w:r>
          </w:p>
        </w:tc>
        <w:tc>
          <w:tcPr>
            <w:tcW w:w="3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5740" w:type="dxa"/>
            <w:vAlign w:val="bottom"/>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0"/>
        </w:trPr>
        <w:tc>
          <w:tcPr>
            <w:tcW w:w="40" w:type="dxa"/>
            <w:vAlign w:val="bottom"/>
            <w:tcBorders>
              <w:bottom w:val="single" w:sz="8" w:color="auto"/>
              <w:right w:val="single" w:sz="8" w:color="auto"/>
            </w:tcBorders>
            <w:shd w:val="clear" w:color="auto" w:fill="000000"/>
          </w:tcPr>
          <w:p>
            <w:pPr>
              <w:spacing w:after="0"/>
              <w:rPr>
                <w:sz w:val="6"/>
                <w:szCs w:val="6"/>
                <w:color w:val="auto"/>
              </w:rPr>
            </w:pPr>
          </w:p>
        </w:tc>
        <w:tc>
          <w:tcPr>
            <w:tcW w:w="540" w:type="dxa"/>
            <w:vAlign w:val="bottom"/>
          </w:tcPr>
          <w:p>
            <w:pPr>
              <w:spacing w:after="0"/>
              <w:rPr>
                <w:sz w:val="6"/>
                <w:szCs w:val="6"/>
                <w:color w:val="auto"/>
              </w:rPr>
            </w:pPr>
          </w:p>
        </w:tc>
        <w:tc>
          <w:tcPr>
            <w:tcW w:w="2040" w:type="dxa"/>
            <w:vAlign w:val="bottom"/>
            <w:tcBorders>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c>
          <w:tcPr>
            <w:tcW w:w="574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40" w:type="dxa"/>
            <w:vAlign w:val="bottom"/>
          </w:tcPr>
          <w:p>
            <w:pPr>
              <w:spacing w:after="0"/>
              <w:rPr>
                <w:sz w:val="21"/>
                <w:szCs w:val="21"/>
                <w:color w:val="auto"/>
              </w:rPr>
            </w:pPr>
          </w:p>
        </w:tc>
        <w:tc>
          <w:tcPr>
            <w:tcW w:w="2040" w:type="dxa"/>
            <w:vAlign w:val="bottom"/>
            <w:tcBorders>
              <w:right w:val="single" w:sz="8" w:color="auto"/>
            </w:tcBorders>
          </w:tcPr>
          <w:p>
            <w:pPr>
              <w:spacing w:after="0"/>
              <w:rPr>
                <w:sz w:val="21"/>
                <w:szCs w:val="21"/>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 w:type="dxa"/>
            <w:vAlign w:val="bottom"/>
            <w:shd w:val="clear" w:color="auto" w:fill="000000"/>
          </w:tcPr>
          <w:p>
            <w:pPr>
              <w:spacing w:after="0"/>
              <w:rPr>
                <w:sz w:val="21"/>
                <w:szCs w:val="21"/>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5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540" w:type="dxa"/>
            <w:vAlign w:val="bottom"/>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27,890,529 (See item 5)</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040" w:type="dxa"/>
            <w:vAlign w:val="bottom"/>
            <w:tcBorders>
              <w:bottom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5740" w:type="dxa"/>
            <w:vAlign w:val="bottom"/>
            <w:tcBorders>
              <w:bottom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21259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125980"/>
                    </a:xfrm>
                    <a:prstGeom prst="rect">
                      <a:avLst/>
                    </a:prstGeom>
                    <a:noFill/>
                  </pic:spPr>
                </pic:pic>
              </a:graphicData>
            </a:graphic>
          </wp:anchor>
        </w:drawing>
      </w:r>
    </w:p>
    <w:p>
      <w:pPr>
        <w:spacing w:after="0" w:line="232" w:lineRule="exact"/>
        <w:rPr>
          <w:sz w:val="20"/>
          <w:szCs w:val="20"/>
          <w:color w:val="auto"/>
        </w:rPr>
      </w:pPr>
    </w:p>
    <w:p>
      <w:pPr>
        <w:ind w:left="600" w:right="5840" w:hanging="395"/>
        <w:spacing w:after="0" w:line="532" w:lineRule="auto"/>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27,890,529 (See item 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308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o</w:t>
            </w:r>
          </w:p>
        </w:tc>
      </w:tr>
      <w:tr>
        <w:trPr>
          <w:trHeight w:val="250"/>
        </w:trPr>
        <w:tc>
          <w:tcPr>
            <w:tcW w:w="500" w:type="dxa"/>
            <w:vAlign w:val="bottom"/>
            <w:tcBorders>
              <w:bottom w:val="single" w:sz="8" w:color="auto"/>
            </w:tcBorders>
          </w:tcPr>
          <w:p>
            <w:pPr>
              <w:spacing w:after="0"/>
              <w:rPr>
                <w:sz w:val="21"/>
                <w:szCs w:val="21"/>
                <w:color w:val="auto"/>
              </w:rPr>
            </w:pPr>
          </w:p>
        </w:tc>
        <w:tc>
          <w:tcPr>
            <w:tcW w:w="766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tcPr>
          <w:p>
            <w:pPr>
              <w:spacing w:after="0"/>
              <w:rPr>
                <w:sz w:val="21"/>
                <w:szCs w:val="21"/>
                <w:color w:val="auto"/>
              </w:rPr>
            </w:pPr>
          </w:p>
        </w:tc>
      </w:tr>
      <w:tr>
        <w:trPr>
          <w:trHeight w:val="243"/>
        </w:trPr>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3080" w:type="dxa"/>
            <w:vAlign w:val="bottom"/>
          </w:tcPr>
          <w:p>
            <w:pPr>
              <w:spacing w:after="0"/>
              <w:rPr>
                <w:sz w:val="21"/>
                <w:szCs w:val="21"/>
                <w:color w:val="auto"/>
              </w:rPr>
            </w:pPr>
          </w:p>
        </w:tc>
      </w:tr>
      <w:tr>
        <w:trPr>
          <w:trHeight w:val="432"/>
        </w:trPr>
        <w:tc>
          <w:tcPr>
            <w:tcW w:w="500" w:type="dxa"/>
            <w:vAlign w:val="bottom"/>
          </w:tcPr>
          <w:p>
            <w:pPr>
              <w:spacing w:after="0"/>
              <w:rPr>
                <w:sz w:val="24"/>
                <w:szCs w:val="24"/>
                <w:color w:val="auto"/>
              </w:rPr>
            </w:pP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21.37% (See item 5)</w:t>
            </w:r>
          </w:p>
        </w:tc>
        <w:tc>
          <w:tcPr>
            <w:tcW w:w="3080" w:type="dxa"/>
            <w:vAlign w:val="bottom"/>
          </w:tcPr>
          <w:p>
            <w:pPr>
              <w:spacing w:after="0"/>
              <w:rPr>
                <w:sz w:val="24"/>
                <w:szCs w:val="24"/>
                <w:color w:val="auto"/>
              </w:rPr>
            </w:pPr>
          </w:p>
        </w:tc>
      </w:tr>
      <w:tr>
        <w:trPr>
          <w:trHeight w:val="250"/>
        </w:trPr>
        <w:tc>
          <w:tcPr>
            <w:tcW w:w="500" w:type="dxa"/>
            <w:vAlign w:val="bottom"/>
            <w:tcBorders>
              <w:bottom w:val="single" w:sz="8" w:color="auto"/>
            </w:tcBorders>
          </w:tcPr>
          <w:p>
            <w:pPr>
              <w:spacing w:after="0"/>
              <w:rPr>
                <w:sz w:val="21"/>
                <w:szCs w:val="21"/>
                <w:color w:val="auto"/>
              </w:rPr>
            </w:pPr>
          </w:p>
        </w:tc>
        <w:tc>
          <w:tcPr>
            <w:tcW w:w="766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tcPr>
          <w:p>
            <w:pPr>
              <w:spacing w:after="0"/>
              <w:rPr>
                <w:sz w:val="21"/>
                <w:szCs w:val="21"/>
                <w:color w:val="auto"/>
              </w:rPr>
            </w:pPr>
          </w:p>
        </w:tc>
      </w:tr>
      <w:tr>
        <w:trPr>
          <w:trHeight w:val="243"/>
        </w:trPr>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3080" w:type="dxa"/>
            <w:vAlign w:val="bottom"/>
          </w:tcPr>
          <w:p>
            <w:pPr>
              <w:spacing w:after="0"/>
              <w:rPr>
                <w:sz w:val="21"/>
                <w:szCs w:val="21"/>
                <w:color w:val="auto"/>
              </w:rPr>
            </w:pPr>
          </w:p>
        </w:tc>
      </w:tr>
      <w:tr>
        <w:trPr>
          <w:trHeight w:val="432"/>
        </w:trPr>
        <w:tc>
          <w:tcPr>
            <w:tcW w:w="500" w:type="dxa"/>
            <w:vAlign w:val="bottom"/>
          </w:tcPr>
          <w:p>
            <w:pPr>
              <w:spacing w:after="0"/>
              <w:rPr>
                <w:sz w:val="24"/>
                <w:szCs w:val="24"/>
                <w:color w:val="auto"/>
              </w:rPr>
            </w:pP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HC</w:t>
            </w:r>
          </w:p>
        </w:tc>
        <w:tc>
          <w:tcPr>
            <w:tcW w:w="3080" w:type="dxa"/>
            <w:vAlign w:val="bottom"/>
          </w:tcPr>
          <w:p>
            <w:pPr>
              <w:spacing w:after="0"/>
              <w:rPr>
                <w:sz w:val="24"/>
                <w:szCs w:val="24"/>
                <w:color w:val="auto"/>
              </w:rPr>
            </w:pPr>
          </w:p>
        </w:tc>
      </w:tr>
      <w:tr>
        <w:trPr>
          <w:trHeight w:val="621"/>
        </w:trPr>
        <w:tc>
          <w:tcPr>
            <w:tcW w:w="50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30" w:right="339" w:bottom="1440" w:gutter="0" w:footer="0" w:header="0"/>
        </w:sectPr>
      </w:pPr>
    </w:p>
    <w:bookmarkStart w:id="2" w:name="page3"/>
    <w:bookmarkEnd w:id="2"/>
    <w:p>
      <w:pPr>
        <w:ind w:left="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2057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05740"/>
                    </a:xfrm>
                    <a:prstGeom prst="rect">
                      <a:avLst/>
                    </a:prstGeom>
                    <a:noFill/>
                  </pic:spPr>
                </pic:pic>
              </a:graphicData>
            </a:graphic>
          </wp:anchor>
        </w:drawing>
        <w:t>CUSIP No. G65431 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3343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343275"/>
                    </a:xfrm>
                    <a:prstGeom prst="rect">
                      <a:avLst/>
                    </a:prstGeom>
                    <a:noFill/>
                  </pic:spPr>
                </pic:pic>
              </a:graphicData>
            </a:graphic>
          </wp:anchor>
        </w:drawing>
      </w:r>
    </w:p>
    <w:p>
      <w:pPr>
        <w:spacing w:after="0" w:line="344" w:lineRule="exact"/>
        <w:rPr>
          <w:sz w:val="20"/>
          <w:szCs w:val="20"/>
          <w:color w:val="auto"/>
        </w:rPr>
      </w:pPr>
    </w:p>
    <w:p>
      <w:pPr>
        <w:ind w:left="600" w:right="8640" w:hanging="331"/>
        <w:spacing w:after="0" w:line="532" w:lineRule="auto"/>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 A.P. Møller Holding A/S</w:t>
      </w:r>
    </w:p>
    <w:p>
      <w:pPr>
        <w:spacing w:after="0" w:line="27" w:lineRule="exact"/>
        <w:rPr>
          <w:sz w:val="20"/>
          <w:szCs w:val="20"/>
          <w:color w:val="auto"/>
        </w:rPr>
      </w:pPr>
    </w:p>
    <w:p>
      <w:pPr>
        <w:ind w:left="600" w:hanging="353"/>
        <w:spacing w:after="0"/>
        <w:tabs>
          <w:tab w:leader="none" w:pos="6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5" w:lineRule="exact"/>
        <w:rPr>
          <w:rFonts w:ascii="Times New Roman" w:cs="Times New Roman" w:eastAsia="Times New Roman" w:hAnsi="Times New Roman"/>
          <w:sz w:val="18"/>
          <w:szCs w:val="18"/>
          <w:color w:val="auto"/>
        </w:rPr>
      </w:pPr>
    </w:p>
    <w:p>
      <w:pPr>
        <w:ind w:left="840" w:hanging="238"/>
        <w:spacing w:after="0"/>
        <w:tabs>
          <w:tab w:leader="none" w:pos="84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225" w:lineRule="exact"/>
        <w:rPr>
          <w:rFonts w:ascii="Times New Roman" w:cs="Times New Roman" w:eastAsia="Times New Roman" w:hAnsi="Times New Roman"/>
          <w:sz w:val="18"/>
          <w:szCs w:val="18"/>
          <w:color w:val="auto"/>
        </w:rPr>
      </w:pPr>
    </w:p>
    <w:p>
      <w:pPr>
        <w:ind w:left="860" w:hanging="258"/>
        <w:spacing w:after="0"/>
        <w:tabs>
          <w:tab w:leader="none" w:pos="8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tcBorders>
              <w:right w:val="single" w:sz="8" w:color="auto"/>
            </w:tcBorders>
            <w:shd w:val="clear" w:color="auto" w:fill="000000"/>
          </w:tcPr>
          <w:p>
            <w:pPr>
              <w:spacing w:after="0"/>
              <w:rPr>
                <w:sz w:val="23"/>
                <w:szCs w:val="23"/>
                <w:color w:val="auto"/>
              </w:rPr>
            </w:pPr>
          </w:p>
        </w:tc>
        <w:tc>
          <w:tcPr>
            <w:tcW w:w="540" w:type="dxa"/>
            <w:vAlign w:val="bottom"/>
            <w:tcBorders>
              <w:top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w:t>
            </w:r>
          </w:p>
        </w:tc>
        <w:tc>
          <w:tcPr>
            <w:tcW w:w="2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30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5740" w:type="dxa"/>
            <w:vAlign w:val="bottom"/>
            <w:tcBorders>
              <w:top w:val="single" w:sz="8" w:color="auto"/>
            </w:tcBorders>
          </w:tcPr>
          <w:p>
            <w:pPr>
              <w:spacing w:after="0"/>
              <w:rPr>
                <w:sz w:val="23"/>
                <w:szCs w:val="23"/>
                <w:color w:val="auto"/>
              </w:rPr>
            </w:pPr>
          </w:p>
        </w:tc>
        <w:tc>
          <w:tcPr>
            <w:tcW w:w="25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74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4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w:t>
            </w: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7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574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4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c>
          <w:tcPr>
            <w:tcW w:w="8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5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250"/>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574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4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w:t>
            </w:r>
          </w:p>
        </w:tc>
        <w:tc>
          <w:tcPr>
            <w:tcW w:w="8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74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1"/>
                <w:szCs w:val="21"/>
                <w:color w:val="auto"/>
              </w:rPr>
            </w:pPr>
          </w:p>
        </w:tc>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2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40" w:type="dxa"/>
            <w:vAlign w:val="bottom"/>
          </w:tcPr>
          <w:p>
            <w:pPr>
              <w:spacing w:after="0"/>
              <w:rPr>
                <w:sz w:val="21"/>
                <w:szCs w:val="21"/>
                <w:color w:val="auto"/>
              </w:rPr>
            </w:pPr>
          </w:p>
        </w:tc>
        <w:tc>
          <w:tcPr>
            <w:tcW w:w="2040" w:type="dxa"/>
            <w:vAlign w:val="bottom"/>
            <w:tcBorders>
              <w:right w:val="single" w:sz="8" w:color="auto"/>
            </w:tcBorders>
          </w:tcPr>
          <w:p>
            <w:pPr>
              <w:spacing w:after="0"/>
              <w:rPr>
                <w:sz w:val="21"/>
                <w:szCs w:val="21"/>
                <w:color w:val="auto"/>
              </w:rPr>
            </w:pPr>
          </w:p>
        </w:tc>
        <w:tc>
          <w:tcPr>
            <w:tcW w:w="30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740" w:type="dxa"/>
            <w:vAlign w:val="bottom"/>
            <w:vMerge w:val="continue"/>
          </w:tcPr>
          <w:p>
            <w:pPr>
              <w:spacing w:after="0"/>
              <w:rPr>
                <w:sz w:val="21"/>
                <w:szCs w:val="21"/>
                <w:color w:val="auto"/>
              </w:rPr>
            </w:pPr>
          </w:p>
        </w:tc>
        <w:tc>
          <w:tcPr>
            <w:tcW w:w="25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540" w:type="dxa"/>
            <w:vAlign w:val="bottom"/>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540" w:type="dxa"/>
            <w:vAlign w:val="bottom"/>
          </w:tcPr>
          <w:p>
            <w:pPr>
              <w:spacing w:after="0"/>
              <w:rPr>
                <w:sz w:val="21"/>
                <w:szCs w:val="21"/>
                <w:color w:val="auto"/>
              </w:rPr>
            </w:pPr>
          </w:p>
        </w:tc>
        <w:tc>
          <w:tcPr>
            <w:tcW w:w="2040" w:type="dxa"/>
            <w:vAlign w:val="bottom"/>
            <w:tcBorders>
              <w:right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5740" w:type="dxa"/>
            <w:vAlign w:val="bottom"/>
            <w:tcBorders>
              <w:bottom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40" w:type="dxa"/>
            <w:vAlign w:val="bottom"/>
          </w:tcPr>
          <w:p>
            <w:pPr>
              <w:spacing w:after="0"/>
              <w:rPr>
                <w:sz w:val="23"/>
                <w:szCs w:val="23"/>
                <w:color w:val="auto"/>
              </w:rPr>
            </w:pPr>
          </w:p>
        </w:tc>
        <w:tc>
          <w:tcPr>
            <w:tcW w:w="2040" w:type="dxa"/>
            <w:vAlign w:val="bottom"/>
            <w:tcBorders>
              <w:right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000000"/>
          </w:tcPr>
          <w:p>
            <w:pPr>
              <w:spacing w:after="0"/>
              <w:rPr>
                <w:sz w:val="23"/>
                <w:szCs w:val="23"/>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2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40" w:type="dxa"/>
            <w:vAlign w:val="bottom"/>
          </w:tcPr>
          <w:p>
            <w:pPr>
              <w:spacing w:after="0"/>
              <w:rPr>
                <w:sz w:val="18"/>
                <w:szCs w:val="18"/>
                <w:color w:val="auto"/>
              </w:rPr>
            </w:pPr>
          </w:p>
        </w:tc>
        <w:tc>
          <w:tcPr>
            <w:tcW w:w="2040" w:type="dxa"/>
            <w:vAlign w:val="bottom"/>
            <w:tcBorders>
              <w:right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27,890,529 (See item 5)</w:t>
            </w: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40" w:type="dxa"/>
            <w:vAlign w:val="bottom"/>
          </w:tcPr>
          <w:p>
            <w:pPr>
              <w:spacing w:after="0"/>
              <w:rPr>
                <w:sz w:val="18"/>
                <w:szCs w:val="18"/>
                <w:color w:val="auto"/>
              </w:rPr>
            </w:pPr>
          </w:p>
        </w:tc>
        <w:tc>
          <w:tcPr>
            <w:tcW w:w="2040" w:type="dxa"/>
            <w:vAlign w:val="bottom"/>
            <w:tcBorders>
              <w:right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w w:val="99"/>
              </w:rPr>
              <w:t>BENEFICIALLY</w:t>
            </w:r>
          </w:p>
        </w:tc>
        <w:tc>
          <w:tcPr>
            <w:tcW w:w="3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740" w:type="dxa"/>
            <w:vAlign w:val="bottom"/>
            <w:vMerge w:val="continue"/>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40" w:type="dxa"/>
            <w:vAlign w:val="bottom"/>
          </w:tcPr>
          <w:p>
            <w:pPr>
              <w:spacing w:after="0"/>
              <w:rPr>
                <w:sz w:val="19"/>
                <w:szCs w:val="19"/>
                <w:color w:val="auto"/>
              </w:rPr>
            </w:pPr>
          </w:p>
        </w:tc>
        <w:tc>
          <w:tcPr>
            <w:tcW w:w="2040" w:type="dxa"/>
            <w:vAlign w:val="bottom"/>
            <w:tcBorders>
              <w:right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5740" w:type="dxa"/>
            <w:vAlign w:val="bottom"/>
            <w:tcBorders>
              <w:bottom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540" w:type="dxa"/>
            <w:vAlign w:val="bottom"/>
          </w:tcPr>
          <w:p>
            <w:pPr>
              <w:spacing w:after="0"/>
              <w:rPr>
                <w:sz w:val="16"/>
                <w:szCs w:val="16"/>
                <w:color w:val="auto"/>
              </w:rPr>
            </w:pPr>
          </w:p>
        </w:tc>
        <w:tc>
          <w:tcPr>
            <w:tcW w:w="2040" w:type="dxa"/>
            <w:vAlign w:val="bottom"/>
            <w:tcBorders>
              <w:right w:val="single" w:sz="8" w:color="auto"/>
            </w:tcBorders>
          </w:tcPr>
          <w:p>
            <w:pPr>
              <w:jc w:val="center"/>
              <w:ind w:right="470"/>
              <w:spacing w:after="0" w:line="189"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000000"/>
          </w:tcPr>
          <w:p>
            <w:pPr>
              <w:spacing w:after="0"/>
              <w:rPr>
                <w:sz w:val="16"/>
                <w:szCs w:val="16"/>
                <w:color w:val="auto"/>
              </w:rPr>
            </w:pPr>
          </w:p>
        </w:tc>
        <w:tc>
          <w:tcPr>
            <w:tcW w:w="57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2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540" w:type="dxa"/>
            <w:vAlign w:val="bottom"/>
          </w:tcPr>
          <w:p>
            <w:pPr>
              <w:spacing w:after="0"/>
              <w:rPr>
                <w:sz w:val="18"/>
                <w:szCs w:val="18"/>
                <w:color w:val="auto"/>
              </w:rPr>
            </w:pPr>
          </w:p>
        </w:tc>
        <w:tc>
          <w:tcPr>
            <w:tcW w:w="2040" w:type="dxa"/>
            <w:vAlign w:val="bottom"/>
            <w:tcBorders>
              <w:right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740" w:type="dxa"/>
            <w:vAlign w:val="bottom"/>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 w:type="dxa"/>
            <w:vAlign w:val="bottom"/>
            <w:tcBorders>
              <w:right w:val="single" w:sz="8" w:color="auto"/>
            </w:tcBorders>
            <w:shd w:val="clear" w:color="auto" w:fill="000000"/>
          </w:tcPr>
          <w:p>
            <w:pPr>
              <w:spacing w:after="0"/>
              <w:rPr>
                <w:sz w:val="19"/>
                <w:szCs w:val="19"/>
                <w:color w:val="auto"/>
              </w:rPr>
            </w:pPr>
          </w:p>
        </w:tc>
        <w:tc>
          <w:tcPr>
            <w:tcW w:w="540" w:type="dxa"/>
            <w:vAlign w:val="bottom"/>
          </w:tcPr>
          <w:p>
            <w:pPr>
              <w:spacing w:after="0"/>
              <w:rPr>
                <w:sz w:val="19"/>
                <w:szCs w:val="19"/>
                <w:color w:val="auto"/>
              </w:rPr>
            </w:pPr>
          </w:p>
        </w:tc>
        <w:tc>
          <w:tcPr>
            <w:tcW w:w="2040" w:type="dxa"/>
            <w:vAlign w:val="bottom"/>
            <w:tcBorders>
              <w:right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40" w:type="dxa"/>
            <w:vAlign w:val="bottom"/>
          </w:tcPr>
          <w:p>
            <w:pPr>
              <w:spacing w:after="0"/>
              <w:rPr>
                <w:sz w:val="20"/>
                <w:szCs w:val="20"/>
                <w:color w:val="auto"/>
              </w:rPr>
            </w:pPr>
          </w:p>
        </w:tc>
        <w:tc>
          <w:tcPr>
            <w:tcW w:w="2040" w:type="dxa"/>
            <w:vAlign w:val="bottom"/>
            <w:tcBorders>
              <w:right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rPr>
              <w:t>WITH</w:t>
            </w:r>
          </w:p>
        </w:tc>
        <w:tc>
          <w:tcPr>
            <w:tcW w:w="3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5740" w:type="dxa"/>
            <w:vAlign w:val="bottom"/>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0"/>
        </w:trPr>
        <w:tc>
          <w:tcPr>
            <w:tcW w:w="40" w:type="dxa"/>
            <w:vAlign w:val="bottom"/>
            <w:tcBorders>
              <w:bottom w:val="single" w:sz="8" w:color="auto"/>
              <w:right w:val="single" w:sz="8" w:color="auto"/>
            </w:tcBorders>
            <w:shd w:val="clear" w:color="auto" w:fill="000000"/>
          </w:tcPr>
          <w:p>
            <w:pPr>
              <w:spacing w:after="0"/>
              <w:rPr>
                <w:sz w:val="6"/>
                <w:szCs w:val="6"/>
                <w:color w:val="auto"/>
              </w:rPr>
            </w:pPr>
          </w:p>
        </w:tc>
        <w:tc>
          <w:tcPr>
            <w:tcW w:w="540" w:type="dxa"/>
            <w:vAlign w:val="bottom"/>
          </w:tcPr>
          <w:p>
            <w:pPr>
              <w:spacing w:after="0"/>
              <w:rPr>
                <w:sz w:val="6"/>
                <w:szCs w:val="6"/>
                <w:color w:val="auto"/>
              </w:rPr>
            </w:pPr>
          </w:p>
        </w:tc>
        <w:tc>
          <w:tcPr>
            <w:tcW w:w="2040" w:type="dxa"/>
            <w:vAlign w:val="bottom"/>
            <w:tcBorders>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c>
          <w:tcPr>
            <w:tcW w:w="574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40" w:type="dxa"/>
            <w:vAlign w:val="bottom"/>
          </w:tcPr>
          <w:p>
            <w:pPr>
              <w:spacing w:after="0"/>
              <w:rPr>
                <w:sz w:val="21"/>
                <w:szCs w:val="21"/>
                <w:color w:val="auto"/>
              </w:rPr>
            </w:pPr>
          </w:p>
        </w:tc>
        <w:tc>
          <w:tcPr>
            <w:tcW w:w="2040" w:type="dxa"/>
            <w:vAlign w:val="bottom"/>
            <w:tcBorders>
              <w:right w:val="single" w:sz="8" w:color="auto"/>
            </w:tcBorders>
          </w:tcPr>
          <w:p>
            <w:pPr>
              <w:spacing w:after="0"/>
              <w:rPr>
                <w:sz w:val="21"/>
                <w:szCs w:val="21"/>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 w:type="dxa"/>
            <w:vAlign w:val="bottom"/>
            <w:shd w:val="clear" w:color="auto" w:fill="000000"/>
          </w:tcPr>
          <w:p>
            <w:pPr>
              <w:spacing w:after="0"/>
              <w:rPr>
                <w:sz w:val="21"/>
                <w:szCs w:val="21"/>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5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540" w:type="dxa"/>
            <w:vAlign w:val="bottom"/>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27,890,529 (See item 5)</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040" w:type="dxa"/>
            <w:vAlign w:val="bottom"/>
            <w:tcBorders>
              <w:bottom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5740" w:type="dxa"/>
            <w:vAlign w:val="bottom"/>
            <w:tcBorders>
              <w:bottom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21259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125980"/>
                    </a:xfrm>
                    <a:prstGeom prst="rect">
                      <a:avLst/>
                    </a:prstGeom>
                    <a:noFill/>
                  </pic:spPr>
                </pic:pic>
              </a:graphicData>
            </a:graphic>
          </wp:anchor>
        </w:drawing>
      </w:r>
    </w:p>
    <w:p>
      <w:pPr>
        <w:spacing w:after="0" w:line="232" w:lineRule="exact"/>
        <w:rPr>
          <w:sz w:val="20"/>
          <w:szCs w:val="20"/>
          <w:color w:val="auto"/>
        </w:rPr>
      </w:pPr>
    </w:p>
    <w:p>
      <w:pPr>
        <w:ind w:left="600" w:right="5840" w:hanging="395"/>
        <w:spacing w:after="0" w:line="532" w:lineRule="auto"/>
        <w:tabs>
          <w:tab w:leader="none" w:pos="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27,890,529 (See item 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308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o</w:t>
            </w:r>
          </w:p>
        </w:tc>
      </w:tr>
      <w:tr>
        <w:trPr>
          <w:trHeight w:val="250"/>
        </w:trPr>
        <w:tc>
          <w:tcPr>
            <w:tcW w:w="500" w:type="dxa"/>
            <w:vAlign w:val="bottom"/>
            <w:tcBorders>
              <w:bottom w:val="single" w:sz="8" w:color="auto"/>
            </w:tcBorders>
          </w:tcPr>
          <w:p>
            <w:pPr>
              <w:spacing w:after="0"/>
              <w:rPr>
                <w:sz w:val="21"/>
                <w:szCs w:val="21"/>
                <w:color w:val="auto"/>
              </w:rPr>
            </w:pPr>
          </w:p>
        </w:tc>
        <w:tc>
          <w:tcPr>
            <w:tcW w:w="766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tcPr>
          <w:p>
            <w:pPr>
              <w:spacing w:after="0"/>
              <w:rPr>
                <w:sz w:val="21"/>
                <w:szCs w:val="21"/>
                <w:color w:val="auto"/>
              </w:rPr>
            </w:pPr>
          </w:p>
        </w:tc>
      </w:tr>
      <w:tr>
        <w:trPr>
          <w:trHeight w:val="243"/>
        </w:trPr>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3080" w:type="dxa"/>
            <w:vAlign w:val="bottom"/>
          </w:tcPr>
          <w:p>
            <w:pPr>
              <w:spacing w:after="0"/>
              <w:rPr>
                <w:sz w:val="21"/>
                <w:szCs w:val="21"/>
                <w:color w:val="auto"/>
              </w:rPr>
            </w:pPr>
          </w:p>
        </w:tc>
      </w:tr>
      <w:tr>
        <w:trPr>
          <w:trHeight w:val="432"/>
        </w:trPr>
        <w:tc>
          <w:tcPr>
            <w:tcW w:w="500" w:type="dxa"/>
            <w:vAlign w:val="bottom"/>
          </w:tcPr>
          <w:p>
            <w:pPr>
              <w:spacing w:after="0"/>
              <w:rPr>
                <w:sz w:val="24"/>
                <w:szCs w:val="24"/>
                <w:color w:val="auto"/>
              </w:rPr>
            </w:pP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21.37% (See item 5)</w:t>
            </w:r>
          </w:p>
        </w:tc>
        <w:tc>
          <w:tcPr>
            <w:tcW w:w="3080" w:type="dxa"/>
            <w:vAlign w:val="bottom"/>
          </w:tcPr>
          <w:p>
            <w:pPr>
              <w:spacing w:after="0"/>
              <w:rPr>
                <w:sz w:val="24"/>
                <w:szCs w:val="24"/>
                <w:color w:val="auto"/>
              </w:rPr>
            </w:pPr>
          </w:p>
        </w:tc>
      </w:tr>
      <w:tr>
        <w:trPr>
          <w:trHeight w:val="250"/>
        </w:trPr>
        <w:tc>
          <w:tcPr>
            <w:tcW w:w="500" w:type="dxa"/>
            <w:vAlign w:val="bottom"/>
            <w:tcBorders>
              <w:bottom w:val="single" w:sz="8" w:color="auto"/>
            </w:tcBorders>
          </w:tcPr>
          <w:p>
            <w:pPr>
              <w:spacing w:after="0"/>
              <w:rPr>
                <w:sz w:val="21"/>
                <w:szCs w:val="21"/>
                <w:color w:val="auto"/>
              </w:rPr>
            </w:pPr>
          </w:p>
        </w:tc>
        <w:tc>
          <w:tcPr>
            <w:tcW w:w="766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tcPr>
          <w:p>
            <w:pPr>
              <w:spacing w:after="0"/>
              <w:rPr>
                <w:sz w:val="21"/>
                <w:szCs w:val="21"/>
                <w:color w:val="auto"/>
              </w:rPr>
            </w:pPr>
          </w:p>
        </w:tc>
      </w:tr>
      <w:tr>
        <w:trPr>
          <w:trHeight w:val="243"/>
        </w:trPr>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3080" w:type="dxa"/>
            <w:vAlign w:val="bottom"/>
          </w:tcPr>
          <w:p>
            <w:pPr>
              <w:spacing w:after="0"/>
              <w:rPr>
                <w:sz w:val="21"/>
                <w:szCs w:val="21"/>
                <w:color w:val="auto"/>
              </w:rPr>
            </w:pPr>
          </w:p>
        </w:tc>
      </w:tr>
      <w:tr>
        <w:trPr>
          <w:trHeight w:val="432"/>
        </w:trPr>
        <w:tc>
          <w:tcPr>
            <w:tcW w:w="500" w:type="dxa"/>
            <w:vAlign w:val="bottom"/>
          </w:tcPr>
          <w:p>
            <w:pPr>
              <w:spacing w:after="0"/>
              <w:rPr>
                <w:sz w:val="24"/>
                <w:szCs w:val="24"/>
                <w:color w:val="auto"/>
              </w:rPr>
            </w:pP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w:t>
            </w:r>
          </w:p>
        </w:tc>
        <w:tc>
          <w:tcPr>
            <w:tcW w:w="3080" w:type="dxa"/>
            <w:vAlign w:val="bottom"/>
          </w:tcPr>
          <w:p>
            <w:pPr>
              <w:spacing w:after="0"/>
              <w:rPr>
                <w:sz w:val="24"/>
                <w:szCs w:val="24"/>
                <w:color w:val="auto"/>
              </w:rPr>
            </w:pPr>
          </w:p>
        </w:tc>
      </w:tr>
      <w:tr>
        <w:trPr>
          <w:trHeight w:val="621"/>
        </w:trPr>
        <w:tc>
          <w:tcPr>
            <w:tcW w:w="50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30" w:right="339" w:bottom="1440" w:gutter="0" w:footer="0" w:header="0"/>
        </w:sectPr>
      </w:pPr>
    </w:p>
    <w:bookmarkStart w:id="3" w:name="page4"/>
    <w:bookmarkEnd w:id="3"/>
    <w:p>
      <w:pPr>
        <w:ind w:left="8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7132320" cy="2057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t>CUSIP No. G65431 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132320" cy="3343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343275"/>
                    </a:xfrm>
                    <a:prstGeom prst="rect">
                      <a:avLst/>
                    </a:prstGeom>
                    <a:noFill/>
                  </pic:spPr>
                </pic:pic>
              </a:graphicData>
            </a:graphic>
          </wp:anchor>
        </w:drawing>
      </w:r>
    </w:p>
    <w:p>
      <w:pPr>
        <w:spacing w:after="0" w:line="344" w:lineRule="exact"/>
        <w:rPr>
          <w:sz w:val="20"/>
          <w:szCs w:val="20"/>
          <w:color w:val="auto"/>
        </w:rPr>
      </w:pPr>
    </w:p>
    <w:p>
      <w:pPr>
        <w:ind w:left="600" w:hanging="331"/>
        <w:spacing w:after="0"/>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w:t>
      </w:r>
    </w:p>
    <w:p>
      <w:pPr>
        <w:spacing w:after="0" w:line="225" w:lineRule="exact"/>
        <w:rPr>
          <w:rFonts w:ascii="Times New Roman" w:cs="Times New Roman" w:eastAsia="Times New Roman" w:hAnsi="Times New Roman"/>
          <w:sz w:val="18"/>
          <w:szCs w:val="18"/>
          <w:color w:val="auto"/>
        </w:rPr>
      </w:pPr>
    </w:p>
    <w:p>
      <w:pPr>
        <w:ind w:left="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 Møller og Hustru Chastine Mc-Kinney Møllers Fond til almene Formaal</w:t>
      </w:r>
    </w:p>
    <w:p>
      <w:pPr>
        <w:spacing w:after="0" w:line="306" w:lineRule="exact"/>
        <w:rPr>
          <w:sz w:val="20"/>
          <w:szCs w:val="20"/>
          <w:color w:val="auto"/>
        </w:rPr>
      </w:pPr>
    </w:p>
    <w:p>
      <w:pPr>
        <w:ind w:left="600" w:hanging="353"/>
        <w:spacing w:after="0"/>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25" w:lineRule="exact"/>
        <w:rPr>
          <w:rFonts w:ascii="Times New Roman" w:cs="Times New Roman" w:eastAsia="Times New Roman" w:hAnsi="Times New Roman"/>
          <w:sz w:val="18"/>
          <w:szCs w:val="18"/>
          <w:color w:val="auto"/>
        </w:rPr>
      </w:pPr>
    </w:p>
    <w:p>
      <w:pPr>
        <w:ind w:left="840" w:hanging="238"/>
        <w:spacing w:after="0"/>
        <w:tabs>
          <w:tab w:leader="none" w:pos="8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225" w:lineRule="exact"/>
        <w:rPr>
          <w:rFonts w:ascii="Times New Roman" w:cs="Times New Roman" w:eastAsia="Times New Roman" w:hAnsi="Times New Roman"/>
          <w:sz w:val="18"/>
          <w:szCs w:val="18"/>
          <w:color w:val="auto"/>
        </w:rPr>
      </w:pPr>
    </w:p>
    <w:p>
      <w:pPr>
        <w:ind w:left="860" w:hanging="258"/>
        <w:spacing w:after="0"/>
        <w:tabs>
          <w:tab w:leader="none" w:pos="8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 w:type="dxa"/>
            <w:vAlign w:val="bottom"/>
            <w:tcBorders>
              <w:right w:val="single" w:sz="8" w:color="auto"/>
            </w:tcBorders>
            <w:shd w:val="clear" w:color="auto" w:fill="000000"/>
          </w:tcPr>
          <w:p>
            <w:pPr>
              <w:spacing w:after="0"/>
              <w:rPr>
                <w:sz w:val="23"/>
                <w:szCs w:val="23"/>
                <w:color w:val="auto"/>
              </w:rPr>
            </w:pPr>
          </w:p>
        </w:tc>
        <w:tc>
          <w:tcPr>
            <w:tcW w:w="540" w:type="dxa"/>
            <w:vAlign w:val="bottom"/>
            <w:tcBorders>
              <w:top w:val="single" w:sz="8" w:color="auto"/>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3</w:t>
            </w:r>
          </w:p>
        </w:tc>
        <w:tc>
          <w:tcPr>
            <w:tcW w:w="2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SEC Use Only</w:t>
            </w:r>
          </w:p>
        </w:tc>
        <w:tc>
          <w:tcPr>
            <w:tcW w:w="30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5740" w:type="dxa"/>
            <w:vAlign w:val="bottom"/>
            <w:tcBorders>
              <w:top w:val="single" w:sz="8" w:color="auto"/>
            </w:tcBorders>
          </w:tcPr>
          <w:p>
            <w:pPr>
              <w:spacing w:after="0"/>
              <w:rPr>
                <w:sz w:val="23"/>
                <w:szCs w:val="23"/>
                <w:color w:val="auto"/>
              </w:rPr>
            </w:pPr>
          </w:p>
        </w:tc>
        <w:tc>
          <w:tcPr>
            <w:tcW w:w="256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74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4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4</w:t>
            </w: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Source of Funds</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74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OO</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574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4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c>
          <w:tcPr>
            <w:tcW w:w="8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Check if Disclosure of Legal Proceedings Is Required Pursuant to Items 2(d) or 2(e)</w:t>
            </w:r>
          </w:p>
        </w:tc>
        <w:tc>
          <w:tcPr>
            <w:tcW w:w="256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o</w:t>
            </w:r>
          </w:p>
        </w:tc>
        <w:tc>
          <w:tcPr>
            <w:tcW w:w="0" w:type="dxa"/>
            <w:vAlign w:val="bottom"/>
          </w:tcPr>
          <w:p>
            <w:pPr>
              <w:spacing w:after="0"/>
              <w:rPr>
                <w:sz w:val="1"/>
                <w:szCs w:val="1"/>
                <w:color w:val="auto"/>
              </w:rPr>
            </w:pPr>
          </w:p>
        </w:tc>
      </w:tr>
      <w:tr>
        <w:trPr>
          <w:trHeight w:val="250"/>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gridSpan w:val="2"/>
          </w:tcPr>
          <w:p>
            <w:pPr>
              <w:spacing w:after="0"/>
              <w:rPr>
                <w:sz w:val="21"/>
                <w:szCs w:val="21"/>
                <w:color w:val="auto"/>
              </w:rPr>
            </w:pPr>
          </w:p>
        </w:tc>
        <w:tc>
          <w:tcPr>
            <w:tcW w:w="574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40" w:type="dxa"/>
            <w:vAlign w:val="bottom"/>
            <w:tcBorders>
              <w:right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6</w:t>
            </w:r>
          </w:p>
        </w:tc>
        <w:tc>
          <w:tcPr>
            <w:tcW w:w="8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2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Denmark</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540" w:type="dxa"/>
            <w:vAlign w:val="bottom"/>
            <w:tcBorders>
              <w:bottom w:val="single" w:sz="8" w:color="auto"/>
              <w:right w:val="single" w:sz="8" w:color="auto"/>
            </w:tcBorders>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574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40" w:type="dxa"/>
            <w:vAlign w:val="bottom"/>
          </w:tcPr>
          <w:p>
            <w:pPr>
              <w:spacing w:after="0"/>
              <w:rPr>
                <w:sz w:val="21"/>
                <w:szCs w:val="21"/>
                <w:color w:val="auto"/>
              </w:rPr>
            </w:pPr>
          </w:p>
        </w:tc>
        <w:tc>
          <w:tcPr>
            <w:tcW w:w="3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1"/>
                <w:szCs w:val="21"/>
                <w:color w:val="auto"/>
              </w:rPr>
            </w:pPr>
          </w:p>
        </w:tc>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2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40" w:type="dxa"/>
            <w:vAlign w:val="bottom"/>
          </w:tcPr>
          <w:p>
            <w:pPr>
              <w:spacing w:after="0"/>
              <w:rPr>
                <w:sz w:val="21"/>
                <w:szCs w:val="21"/>
                <w:color w:val="auto"/>
              </w:rPr>
            </w:pPr>
          </w:p>
        </w:tc>
        <w:tc>
          <w:tcPr>
            <w:tcW w:w="2040" w:type="dxa"/>
            <w:vAlign w:val="bottom"/>
            <w:tcBorders>
              <w:right w:val="single" w:sz="8" w:color="auto"/>
            </w:tcBorders>
          </w:tcPr>
          <w:p>
            <w:pPr>
              <w:spacing w:after="0"/>
              <w:rPr>
                <w:sz w:val="21"/>
                <w:szCs w:val="21"/>
                <w:color w:val="auto"/>
              </w:rPr>
            </w:pPr>
          </w:p>
        </w:tc>
        <w:tc>
          <w:tcPr>
            <w:tcW w:w="30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740" w:type="dxa"/>
            <w:vAlign w:val="bottom"/>
            <w:vMerge w:val="continue"/>
          </w:tcPr>
          <w:p>
            <w:pPr>
              <w:spacing w:after="0"/>
              <w:rPr>
                <w:sz w:val="21"/>
                <w:szCs w:val="21"/>
                <w:color w:val="auto"/>
              </w:rPr>
            </w:pPr>
          </w:p>
        </w:tc>
        <w:tc>
          <w:tcPr>
            <w:tcW w:w="25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540" w:type="dxa"/>
            <w:vAlign w:val="bottom"/>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540" w:type="dxa"/>
            <w:vAlign w:val="bottom"/>
          </w:tcPr>
          <w:p>
            <w:pPr>
              <w:spacing w:after="0"/>
              <w:rPr>
                <w:sz w:val="21"/>
                <w:szCs w:val="21"/>
                <w:color w:val="auto"/>
              </w:rPr>
            </w:pPr>
          </w:p>
        </w:tc>
        <w:tc>
          <w:tcPr>
            <w:tcW w:w="2040" w:type="dxa"/>
            <w:vAlign w:val="bottom"/>
            <w:tcBorders>
              <w:right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5740" w:type="dxa"/>
            <w:vAlign w:val="bottom"/>
            <w:tcBorders>
              <w:bottom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0" w:type="dxa"/>
            <w:vAlign w:val="bottom"/>
            <w:tcBorders>
              <w:right w:val="single" w:sz="8" w:color="auto"/>
            </w:tcBorders>
            <w:shd w:val="clear" w:color="auto" w:fill="000000"/>
          </w:tcPr>
          <w:p>
            <w:pPr>
              <w:spacing w:after="0"/>
              <w:rPr>
                <w:sz w:val="23"/>
                <w:szCs w:val="23"/>
                <w:color w:val="auto"/>
              </w:rPr>
            </w:pPr>
          </w:p>
        </w:tc>
        <w:tc>
          <w:tcPr>
            <w:tcW w:w="540" w:type="dxa"/>
            <w:vAlign w:val="bottom"/>
          </w:tcPr>
          <w:p>
            <w:pPr>
              <w:spacing w:after="0"/>
              <w:rPr>
                <w:sz w:val="23"/>
                <w:szCs w:val="23"/>
                <w:color w:val="auto"/>
              </w:rPr>
            </w:pPr>
          </w:p>
        </w:tc>
        <w:tc>
          <w:tcPr>
            <w:tcW w:w="2040" w:type="dxa"/>
            <w:vAlign w:val="bottom"/>
            <w:tcBorders>
              <w:right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w w:val="99"/>
              </w:rPr>
              <w:t>NUMBER OF</w:t>
            </w: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20" w:type="dxa"/>
            <w:vAlign w:val="bottom"/>
            <w:shd w:val="clear" w:color="auto" w:fill="000000"/>
          </w:tcPr>
          <w:p>
            <w:pPr>
              <w:spacing w:after="0"/>
              <w:rPr>
                <w:sz w:val="23"/>
                <w:szCs w:val="23"/>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256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40" w:type="dxa"/>
            <w:vAlign w:val="bottom"/>
          </w:tcPr>
          <w:p>
            <w:pPr>
              <w:spacing w:after="0"/>
              <w:rPr>
                <w:sz w:val="18"/>
                <w:szCs w:val="18"/>
                <w:color w:val="auto"/>
              </w:rPr>
            </w:pPr>
          </w:p>
        </w:tc>
        <w:tc>
          <w:tcPr>
            <w:tcW w:w="2040" w:type="dxa"/>
            <w:vAlign w:val="bottom"/>
            <w:tcBorders>
              <w:right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w w:val="98"/>
              </w:rPr>
              <w:t>SHARES</w:t>
            </w:r>
          </w:p>
        </w:tc>
        <w:tc>
          <w:tcPr>
            <w:tcW w:w="3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27,890,529 (See item 5)</w:t>
            </w: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540" w:type="dxa"/>
            <w:vAlign w:val="bottom"/>
          </w:tcPr>
          <w:p>
            <w:pPr>
              <w:spacing w:after="0"/>
              <w:rPr>
                <w:sz w:val="18"/>
                <w:szCs w:val="18"/>
                <w:color w:val="auto"/>
              </w:rPr>
            </w:pPr>
          </w:p>
        </w:tc>
        <w:tc>
          <w:tcPr>
            <w:tcW w:w="2040" w:type="dxa"/>
            <w:vAlign w:val="bottom"/>
            <w:tcBorders>
              <w:right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w w:val="99"/>
              </w:rPr>
              <w:t>BENEFICIALLY</w:t>
            </w:r>
          </w:p>
        </w:tc>
        <w:tc>
          <w:tcPr>
            <w:tcW w:w="3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740" w:type="dxa"/>
            <w:vAlign w:val="bottom"/>
            <w:vMerge w:val="continue"/>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0" w:type="dxa"/>
            <w:vAlign w:val="bottom"/>
            <w:tcBorders>
              <w:bottom w:val="single" w:sz="8" w:color="auto"/>
              <w:right w:val="single" w:sz="8" w:color="auto"/>
            </w:tcBorders>
            <w:shd w:val="clear" w:color="auto" w:fill="000000"/>
          </w:tcPr>
          <w:p>
            <w:pPr>
              <w:spacing w:after="0"/>
              <w:rPr>
                <w:sz w:val="19"/>
                <w:szCs w:val="19"/>
                <w:color w:val="auto"/>
              </w:rPr>
            </w:pPr>
          </w:p>
        </w:tc>
        <w:tc>
          <w:tcPr>
            <w:tcW w:w="540" w:type="dxa"/>
            <w:vAlign w:val="bottom"/>
          </w:tcPr>
          <w:p>
            <w:pPr>
              <w:spacing w:after="0"/>
              <w:rPr>
                <w:sz w:val="19"/>
                <w:szCs w:val="19"/>
                <w:color w:val="auto"/>
              </w:rPr>
            </w:pPr>
          </w:p>
        </w:tc>
        <w:tc>
          <w:tcPr>
            <w:tcW w:w="2040" w:type="dxa"/>
            <w:vAlign w:val="bottom"/>
            <w:tcBorders>
              <w:right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w w:val="99"/>
              </w:rPr>
              <w:t>OWNED BY</w:t>
            </w: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5740" w:type="dxa"/>
            <w:vAlign w:val="bottom"/>
            <w:tcBorders>
              <w:bottom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0" w:type="dxa"/>
            <w:vAlign w:val="bottom"/>
            <w:tcBorders>
              <w:right w:val="single" w:sz="8" w:color="auto"/>
            </w:tcBorders>
            <w:shd w:val="clear" w:color="auto" w:fill="000000"/>
          </w:tcPr>
          <w:p>
            <w:pPr>
              <w:spacing w:after="0"/>
              <w:rPr>
                <w:sz w:val="16"/>
                <w:szCs w:val="16"/>
                <w:color w:val="auto"/>
              </w:rPr>
            </w:pPr>
          </w:p>
        </w:tc>
        <w:tc>
          <w:tcPr>
            <w:tcW w:w="540" w:type="dxa"/>
            <w:vAlign w:val="bottom"/>
          </w:tcPr>
          <w:p>
            <w:pPr>
              <w:spacing w:after="0"/>
              <w:rPr>
                <w:sz w:val="16"/>
                <w:szCs w:val="16"/>
                <w:color w:val="auto"/>
              </w:rPr>
            </w:pPr>
          </w:p>
        </w:tc>
        <w:tc>
          <w:tcPr>
            <w:tcW w:w="2040" w:type="dxa"/>
            <w:vAlign w:val="bottom"/>
            <w:tcBorders>
              <w:right w:val="single" w:sz="8" w:color="auto"/>
            </w:tcBorders>
          </w:tcPr>
          <w:p>
            <w:pPr>
              <w:jc w:val="center"/>
              <w:ind w:right="470"/>
              <w:spacing w:after="0" w:line="189" w:lineRule="exact"/>
              <w:rPr>
                <w:sz w:val="20"/>
                <w:szCs w:val="20"/>
                <w:color w:val="auto"/>
              </w:rPr>
            </w:pPr>
            <w:r>
              <w:rPr>
                <w:rFonts w:ascii="Times New Roman" w:cs="Times New Roman" w:eastAsia="Times New Roman" w:hAnsi="Times New Roman"/>
                <w:sz w:val="18"/>
                <w:szCs w:val="18"/>
                <w:color w:val="auto"/>
                <w:w w:val="97"/>
              </w:rPr>
              <w:t>EACH</w:t>
            </w:r>
          </w:p>
        </w:tc>
        <w:tc>
          <w:tcPr>
            <w:tcW w:w="300" w:type="dxa"/>
            <w:vAlign w:val="bottom"/>
          </w:tcPr>
          <w:p>
            <w:pPr>
              <w:jc w:val="right"/>
              <w:ind w:right="30"/>
              <w:spacing w:after="0" w:line="189" w:lineRule="exact"/>
              <w:rPr>
                <w:sz w:val="20"/>
                <w:szCs w:val="20"/>
                <w:color w:val="auto"/>
              </w:rPr>
            </w:pPr>
            <w:r>
              <w:rPr>
                <w:rFonts w:ascii="Times New Roman" w:cs="Times New Roman" w:eastAsia="Times New Roman" w:hAnsi="Times New Roman"/>
                <w:sz w:val="18"/>
                <w:szCs w:val="18"/>
                <w:color w:val="auto"/>
              </w:rPr>
              <w:t>9</w:t>
            </w:r>
          </w:p>
        </w:tc>
        <w:tc>
          <w:tcPr>
            <w:tcW w:w="20" w:type="dxa"/>
            <w:vAlign w:val="bottom"/>
            <w:shd w:val="clear" w:color="auto" w:fill="000000"/>
          </w:tcPr>
          <w:p>
            <w:pPr>
              <w:spacing w:after="0"/>
              <w:rPr>
                <w:sz w:val="16"/>
                <w:szCs w:val="16"/>
                <w:color w:val="auto"/>
              </w:rPr>
            </w:pPr>
          </w:p>
        </w:tc>
        <w:tc>
          <w:tcPr>
            <w:tcW w:w="57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2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540" w:type="dxa"/>
            <w:vAlign w:val="bottom"/>
          </w:tcPr>
          <w:p>
            <w:pPr>
              <w:spacing w:after="0"/>
              <w:rPr>
                <w:sz w:val="18"/>
                <w:szCs w:val="18"/>
                <w:color w:val="auto"/>
              </w:rPr>
            </w:pPr>
          </w:p>
        </w:tc>
        <w:tc>
          <w:tcPr>
            <w:tcW w:w="2040" w:type="dxa"/>
            <w:vAlign w:val="bottom"/>
            <w:tcBorders>
              <w:right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w w:val="98"/>
              </w:rPr>
              <w:t>REPORTING</w:t>
            </w:r>
          </w:p>
        </w:tc>
        <w:tc>
          <w:tcPr>
            <w:tcW w:w="30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5740" w:type="dxa"/>
            <w:vAlign w:val="bottom"/>
          </w:tcPr>
          <w:p>
            <w:pPr>
              <w:spacing w:after="0"/>
              <w:rPr>
                <w:sz w:val="18"/>
                <w:szCs w:val="18"/>
                <w:color w:val="auto"/>
              </w:rPr>
            </w:pPr>
          </w:p>
        </w:tc>
        <w:tc>
          <w:tcPr>
            <w:tcW w:w="2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 w:type="dxa"/>
            <w:vAlign w:val="bottom"/>
            <w:tcBorders>
              <w:right w:val="single" w:sz="8" w:color="auto"/>
            </w:tcBorders>
            <w:shd w:val="clear" w:color="auto" w:fill="000000"/>
          </w:tcPr>
          <w:p>
            <w:pPr>
              <w:spacing w:after="0"/>
              <w:rPr>
                <w:sz w:val="19"/>
                <w:szCs w:val="19"/>
                <w:color w:val="auto"/>
              </w:rPr>
            </w:pPr>
          </w:p>
        </w:tc>
        <w:tc>
          <w:tcPr>
            <w:tcW w:w="540" w:type="dxa"/>
            <w:vAlign w:val="bottom"/>
          </w:tcPr>
          <w:p>
            <w:pPr>
              <w:spacing w:after="0"/>
              <w:rPr>
                <w:sz w:val="19"/>
                <w:szCs w:val="19"/>
                <w:color w:val="auto"/>
              </w:rPr>
            </w:pPr>
          </w:p>
        </w:tc>
        <w:tc>
          <w:tcPr>
            <w:tcW w:w="2040" w:type="dxa"/>
            <w:vAlign w:val="bottom"/>
            <w:tcBorders>
              <w:right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w w:val="98"/>
              </w:rPr>
              <w:t>PERSON</w:t>
            </w:r>
          </w:p>
        </w:tc>
        <w:tc>
          <w:tcPr>
            <w:tcW w:w="300" w:type="dxa"/>
            <w:vAlign w:val="bottom"/>
          </w:tcPr>
          <w:p>
            <w:pPr>
              <w:spacing w:after="0"/>
              <w:rPr>
                <w:sz w:val="19"/>
                <w:szCs w:val="19"/>
                <w:color w:val="auto"/>
              </w:rPr>
            </w:pPr>
          </w:p>
        </w:tc>
        <w:tc>
          <w:tcPr>
            <w:tcW w:w="20" w:type="dxa"/>
            <w:vAlign w:val="bottom"/>
            <w:shd w:val="clear" w:color="auto" w:fill="000000"/>
          </w:tcPr>
          <w:p>
            <w:pPr>
              <w:spacing w:after="0"/>
              <w:rPr>
                <w:sz w:val="19"/>
                <w:szCs w:val="19"/>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25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540" w:type="dxa"/>
            <w:vAlign w:val="bottom"/>
          </w:tcPr>
          <w:p>
            <w:pPr>
              <w:spacing w:after="0"/>
              <w:rPr>
                <w:sz w:val="20"/>
                <w:szCs w:val="20"/>
                <w:color w:val="auto"/>
              </w:rPr>
            </w:pPr>
          </w:p>
        </w:tc>
        <w:tc>
          <w:tcPr>
            <w:tcW w:w="2040" w:type="dxa"/>
            <w:vAlign w:val="bottom"/>
            <w:tcBorders>
              <w:right w:val="single" w:sz="8" w:color="auto"/>
            </w:tcBorders>
          </w:tcPr>
          <w:p>
            <w:pPr>
              <w:jc w:val="center"/>
              <w:ind w:right="470"/>
              <w:spacing w:after="0"/>
              <w:rPr>
                <w:sz w:val="20"/>
                <w:szCs w:val="20"/>
                <w:color w:val="auto"/>
              </w:rPr>
            </w:pPr>
            <w:r>
              <w:rPr>
                <w:rFonts w:ascii="Times New Roman" w:cs="Times New Roman" w:eastAsia="Times New Roman" w:hAnsi="Times New Roman"/>
                <w:sz w:val="18"/>
                <w:szCs w:val="18"/>
                <w:color w:val="auto"/>
              </w:rPr>
              <w:t>WITH</w:t>
            </w:r>
          </w:p>
        </w:tc>
        <w:tc>
          <w:tcPr>
            <w:tcW w:w="30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5740" w:type="dxa"/>
            <w:vAlign w:val="bottom"/>
          </w:tcPr>
          <w:p>
            <w:pPr>
              <w:spacing w:after="0"/>
              <w:rPr>
                <w:sz w:val="20"/>
                <w:szCs w:val="20"/>
                <w:color w:val="auto"/>
              </w:rPr>
            </w:pPr>
          </w:p>
        </w:tc>
        <w:tc>
          <w:tcPr>
            <w:tcW w:w="2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70"/>
        </w:trPr>
        <w:tc>
          <w:tcPr>
            <w:tcW w:w="40" w:type="dxa"/>
            <w:vAlign w:val="bottom"/>
            <w:tcBorders>
              <w:bottom w:val="single" w:sz="8" w:color="auto"/>
              <w:right w:val="single" w:sz="8" w:color="auto"/>
            </w:tcBorders>
            <w:shd w:val="clear" w:color="auto" w:fill="000000"/>
          </w:tcPr>
          <w:p>
            <w:pPr>
              <w:spacing w:after="0"/>
              <w:rPr>
                <w:sz w:val="6"/>
                <w:szCs w:val="6"/>
                <w:color w:val="auto"/>
              </w:rPr>
            </w:pPr>
          </w:p>
        </w:tc>
        <w:tc>
          <w:tcPr>
            <w:tcW w:w="540" w:type="dxa"/>
            <w:vAlign w:val="bottom"/>
          </w:tcPr>
          <w:p>
            <w:pPr>
              <w:spacing w:after="0"/>
              <w:rPr>
                <w:sz w:val="6"/>
                <w:szCs w:val="6"/>
                <w:color w:val="auto"/>
              </w:rPr>
            </w:pPr>
          </w:p>
        </w:tc>
        <w:tc>
          <w:tcPr>
            <w:tcW w:w="2040" w:type="dxa"/>
            <w:vAlign w:val="bottom"/>
            <w:tcBorders>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c>
          <w:tcPr>
            <w:tcW w:w="574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0" w:type="dxa"/>
            <w:vAlign w:val="bottom"/>
            <w:tcBorders>
              <w:right w:val="single" w:sz="8" w:color="auto"/>
            </w:tcBorders>
            <w:shd w:val="clear" w:color="auto" w:fill="000000"/>
          </w:tcPr>
          <w:p>
            <w:pPr>
              <w:spacing w:after="0"/>
              <w:rPr>
                <w:sz w:val="21"/>
                <w:szCs w:val="21"/>
                <w:color w:val="auto"/>
              </w:rPr>
            </w:pPr>
          </w:p>
        </w:tc>
        <w:tc>
          <w:tcPr>
            <w:tcW w:w="540" w:type="dxa"/>
            <w:vAlign w:val="bottom"/>
          </w:tcPr>
          <w:p>
            <w:pPr>
              <w:spacing w:after="0"/>
              <w:rPr>
                <w:sz w:val="21"/>
                <w:szCs w:val="21"/>
                <w:color w:val="auto"/>
              </w:rPr>
            </w:pPr>
          </w:p>
        </w:tc>
        <w:tc>
          <w:tcPr>
            <w:tcW w:w="2040" w:type="dxa"/>
            <w:vAlign w:val="bottom"/>
            <w:tcBorders>
              <w:right w:val="single" w:sz="8" w:color="auto"/>
            </w:tcBorders>
          </w:tcPr>
          <w:p>
            <w:pPr>
              <w:spacing w:after="0"/>
              <w:rPr>
                <w:sz w:val="21"/>
                <w:szCs w:val="21"/>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20" w:type="dxa"/>
            <w:vAlign w:val="bottom"/>
            <w:shd w:val="clear" w:color="auto" w:fill="000000"/>
          </w:tcPr>
          <w:p>
            <w:pPr>
              <w:spacing w:after="0"/>
              <w:rPr>
                <w:sz w:val="21"/>
                <w:szCs w:val="21"/>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5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40" w:type="dxa"/>
            <w:vAlign w:val="bottom"/>
            <w:tcBorders>
              <w:right w:val="single" w:sz="8" w:color="auto"/>
            </w:tcBorders>
            <w:shd w:val="clear" w:color="auto" w:fill="000000"/>
          </w:tcPr>
          <w:p>
            <w:pPr>
              <w:spacing w:after="0"/>
              <w:rPr>
                <w:sz w:val="24"/>
                <w:szCs w:val="24"/>
                <w:color w:val="auto"/>
              </w:rPr>
            </w:pPr>
          </w:p>
        </w:tc>
        <w:tc>
          <w:tcPr>
            <w:tcW w:w="540" w:type="dxa"/>
            <w:vAlign w:val="bottom"/>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shd w:val="clear" w:color="auto" w:fill="000000"/>
          </w:tcPr>
          <w:p>
            <w:pPr>
              <w:spacing w:after="0"/>
              <w:rPr>
                <w:sz w:val="24"/>
                <w:szCs w:val="24"/>
                <w:color w:val="auto"/>
              </w:rPr>
            </w:pPr>
          </w:p>
        </w:tc>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27,890,529 (See item 5)</w:t>
            </w:r>
          </w:p>
        </w:tc>
        <w:tc>
          <w:tcPr>
            <w:tcW w:w="2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040" w:type="dxa"/>
            <w:vAlign w:val="bottom"/>
            <w:tcBorders>
              <w:bottom w:val="single" w:sz="8" w:color="auto"/>
              <w:right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shd w:val="clear" w:color="auto" w:fill="000000"/>
          </w:tcPr>
          <w:p>
            <w:pPr>
              <w:spacing w:after="0"/>
              <w:rPr>
                <w:sz w:val="21"/>
                <w:szCs w:val="21"/>
                <w:color w:val="auto"/>
              </w:rPr>
            </w:pPr>
          </w:p>
        </w:tc>
        <w:tc>
          <w:tcPr>
            <w:tcW w:w="5740" w:type="dxa"/>
            <w:vAlign w:val="bottom"/>
            <w:tcBorders>
              <w:bottom w:val="single" w:sz="8" w:color="auto"/>
            </w:tcBorders>
          </w:tcPr>
          <w:p>
            <w:pPr>
              <w:spacing w:after="0"/>
              <w:rPr>
                <w:sz w:val="21"/>
                <w:szCs w:val="21"/>
                <w:color w:val="auto"/>
              </w:rPr>
            </w:pPr>
          </w:p>
        </w:tc>
        <w:tc>
          <w:tcPr>
            <w:tcW w:w="25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21259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125980"/>
                    </a:xfrm>
                    <a:prstGeom prst="rect">
                      <a:avLst/>
                    </a:prstGeom>
                    <a:noFill/>
                  </pic:spPr>
                </pic:pic>
              </a:graphicData>
            </a:graphic>
          </wp:anchor>
        </w:drawing>
      </w:r>
    </w:p>
    <w:p>
      <w:pPr>
        <w:spacing w:after="0" w:line="232" w:lineRule="exact"/>
        <w:rPr>
          <w:sz w:val="20"/>
          <w:szCs w:val="20"/>
          <w:color w:val="auto"/>
        </w:rPr>
      </w:pPr>
    </w:p>
    <w:p>
      <w:pPr>
        <w:ind w:left="600" w:right="5840" w:hanging="395"/>
        <w:spacing w:after="0" w:line="532" w:lineRule="auto"/>
        <w:tabs>
          <w:tab w:leader="none" w:pos="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27,890,529 (See item 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3080" w:type="dxa"/>
            <w:vAlign w:val="bottom"/>
          </w:tcPr>
          <w:p>
            <w:pPr>
              <w:ind w:left="2560"/>
              <w:spacing w:after="0"/>
              <w:rPr>
                <w:sz w:val="20"/>
                <w:szCs w:val="20"/>
                <w:color w:val="auto"/>
              </w:rPr>
            </w:pPr>
            <w:r>
              <w:rPr>
                <w:rFonts w:ascii="Times New Roman" w:cs="Times New Roman" w:eastAsia="Times New Roman" w:hAnsi="Times New Roman"/>
                <w:sz w:val="18"/>
                <w:szCs w:val="18"/>
                <w:color w:val="auto"/>
              </w:rPr>
              <w:t>o</w:t>
            </w:r>
          </w:p>
        </w:tc>
      </w:tr>
      <w:tr>
        <w:trPr>
          <w:trHeight w:val="250"/>
        </w:trPr>
        <w:tc>
          <w:tcPr>
            <w:tcW w:w="500" w:type="dxa"/>
            <w:vAlign w:val="bottom"/>
            <w:tcBorders>
              <w:bottom w:val="single" w:sz="8" w:color="auto"/>
            </w:tcBorders>
          </w:tcPr>
          <w:p>
            <w:pPr>
              <w:spacing w:after="0"/>
              <w:rPr>
                <w:sz w:val="21"/>
                <w:szCs w:val="21"/>
                <w:color w:val="auto"/>
              </w:rPr>
            </w:pPr>
          </w:p>
        </w:tc>
        <w:tc>
          <w:tcPr>
            <w:tcW w:w="766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tcPr>
          <w:p>
            <w:pPr>
              <w:spacing w:after="0"/>
              <w:rPr>
                <w:sz w:val="21"/>
                <w:szCs w:val="21"/>
                <w:color w:val="auto"/>
              </w:rPr>
            </w:pPr>
          </w:p>
        </w:tc>
      </w:tr>
      <w:tr>
        <w:trPr>
          <w:trHeight w:val="243"/>
        </w:trPr>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3080" w:type="dxa"/>
            <w:vAlign w:val="bottom"/>
          </w:tcPr>
          <w:p>
            <w:pPr>
              <w:spacing w:after="0"/>
              <w:rPr>
                <w:sz w:val="21"/>
                <w:szCs w:val="21"/>
                <w:color w:val="auto"/>
              </w:rPr>
            </w:pPr>
          </w:p>
        </w:tc>
      </w:tr>
      <w:tr>
        <w:trPr>
          <w:trHeight w:val="432"/>
        </w:trPr>
        <w:tc>
          <w:tcPr>
            <w:tcW w:w="500" w:type="dxa"/>
            <w:vAlign w:val="bottom"/>
          </w:tcPr>
          <w:p>
            <w:pPr>
              <w:spacing w:after="0"/>
              <w:rPr>
                <w:sz w:val="24"/>
                <w:szCs w:val="24"/>
                <w:color w:val="auto"/>
              </w:rPr>
            </w:pP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21.37% (See item 5)</w:t>
            </w:r>
          </w:p>
        </w:tc>
        <w:tc>
          <w:tcPr>
            <w:tcW w:w="3080" w:type="dxa"/>
            <w:vAlign w:val="bottom"/>
          </w:tcPr>
          <w:p>
            <w:pPr>
              <w:spacing w:after="0"/>
              <w:rPr>
                <w:sz w:val="24"/>
                <w:szCs w:val="24"/>
                <w:color w:val="auto"/>
              </w:rPr>
            </w:pPr>
          </w:p>
        </w:tc>
      </w:tr>
      <w:tr>
        <w:trPr>
          <w:trHeight w:val="250"/>
        </w:trPr>
        <w:tc>
          <w:tcPr>
            <w:tcW w:w="500" w:type="dxa"/>
            <w:vAlign w:val="bottom"/>
            <w:tcBorders>
              <w:bottom w:val="single" w:sz="8" w:color="auto"/>
            </w:tcBorders>
          </w:tcPr>
          <w:p>
            <w:pPr>
              <w:spacing w:after="0"/>
              <w:rPr>
                <w:sz w:val="21"/>
                <w:szCs w:val="21"/>
                <w:color w:val="auto"/>
              </w:rPr>
            </w:pPr>
          </w:p>
        </w:tc>
        <w:tc>
          <w:tcPr>
            <w:tcW w:w="7660" w:type="dxa"/>
            <w:vAlign w:val="bottom"/>
            <w:tcBorders>
              <w:bottom w:val="single" w:sz="8" w:color="auto"/>
            </w:tcBorders>
          </w:tcPr>
          <w:p>
            <w:pPr>
              <w:spacing w:after="0"/>
              <w:rPr>
                <w:sz w:val="21"/>
                <w:szCs w:val="21"/>
                <w:color w:val="auto"/>
              </w:rPr>
            </w:pPr>
          </w:p>
        </w:tc>
        <w:tc>
          <w:tcPr>
            <w:tcW w:w="3080" w:type="dxa"/>
            <w:vAlign w:val="bottom"/>
            <w:tcBorders>
              <w:bottom w:val="single" w:sz="8" w:color="auto"/>
            </w:tcBorders>
          </w:tcPr>
          <w:p>
            <w:pPr>
              <w:spacing w:after="0"/>
              <w:rPr>
                <w:sz w:val="21"/>
                <w:szCs w:val="21"/>
                <w:color w:val="auto"/>
              </w:rPr>
            </w:pPr>
          </w:p>
        </w:tc>
      </w:tr>
      <w:tr>
        <w:trPr>
          <w:trHeight w:val="243"/>
        </w:trPr>
        <w:tc>
          <w:tcPr>
            <w:tcW w:w="5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w:t>
            </w: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Type of Reporting Person (See Instructions)</w:t>
            </w:r>
          </w:p>
        </w:tc>
        <w:tc>
          <w:tcPr>
            <w:tcW w:w="3080" w:type="dxa"/>
            <w:vAlign w:val="bottom"/>
          </w:tcPr>
          <w:p>
            <w:pPr>
              <w:spacing w:after="0"/>
              <w:rPr>
                <w:sz w:val="21"/>
                <w:szCs w:val="21"/>
                <w:color w:val="auto"/>
              </w:rPr>
            </w:pPr>
          </w:p>
        </w:tc>
      </w:tr>
      <w:tr>
        <w:trPr>
          <w:trHeight w:val="432"/>
        </w:trPr>
        <w:tc>
          <w:tcPr>
            <w:tcW w:w="500" w:type="dxa"/>
            <w:vAlign w:val="bottom"/>
          </w:tcPr>
          <w:p>
            <w:pPr>
              <w:spacing w:after="0"/>
              <w:rPr>
                <w:sz w:val="24"/>
                <w:szCs w:val="24"/>
                <w:color w:val="auto"/>
              </w:rPr>
            </w:pPr>
          </w:p>
        </w:tc>
        <w:tc>
          <w:tcPr>
            <w:tcW w:w="7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w:t>
            </w:r>
          </w:p>
        </w:tc>
        <w:tc>
          <w:tcPr>
            <w:tcW w:w="3080" w:type="dxa"/>
            <w:vAlign w:val="bottom"/>
          </w:tcPr>
          <w:p>
            <w:pPr>
              <w:spacing w:after="0"/>
              <w:rPr>
                <w:sz w:val="24"/>
                <w:szCs w:val="24"/>
                <w:color w:val="auto"/>
              </w:rPr>
            </w:pPr>
          </w:p>
        </w:tc>
      </w:tr>
      <w:tr>
        <w:trPr>
          <w:trHeight w:val="621"/>
        </w:trPr>
        <w:tc>
          <w:tcPr>
            <w:tcW w:w="500" w:type="dxa"/>
            <w:vAlign w:val="bottom"/>
            <w:tcBorders>
              <w:bottom w:val="single" w:sz="8" w:color="auto"/>
            </w:tcBorders>
          </w:tcPr>
          <w:p>
            <w:pPr>
              <w:spacing w:after="0"/>
              <w:rPr>
                <w:sz w:val="24"/>
                <w:szCs w:val="24"/>
                <w:color w:val="auto"/>
              </w:rPr>
            </w:pPr>
          </w:p>
        </w:tc>
        <w:tc>
          <w:tcPr>
            <w:tcW w:w="76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3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2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This Schedule 13D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relates to A ordinary shares, par value $0.00001 per share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of Noble Corporation plc, a public limited company incorporated and registered in England and Wales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The address of the principal executive offices of the Issuer is 13135 Dairy Ashford, Suite 800, Sugar Land, Texas 77478.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This Schedule 13D is being filed by APMH Invest A/S (“</w:t>
      </w:r>
      <w:r>
        <w:rPr>
          <w:rFonts w:ascii="Times New Roman" w:cs="Times New Roman" w:eastAsia="Times New Roman" w:hAnsi="Times New Roman"/>
          <w:sz w:val="18"/>
          <w:szCs w:val="18"/>
          <w:u w:val="single" w:color="auto"/>
          <w:color w:val="auto"/>
        </w:rPr>
        <w:t>APMH Invest</w:t>
      </w:r>
      <w:r>
        <w:rPr>
          <w:rFonts w:ascii="Times New Roman" w:cs="Times New Roman" w:eastAsia="Times New Roman" w:hAnsi="Times New Roman"/>
          <w:sz w:val="18"/>
          <w:szCs w:val="18"/>
          <w:color w:val="auto"/>
        </w:rPr>
        <w:t>”), a company incorporated in Denmark. APMH Invest is a wholly owned direct subsidiary of A.P. Møller Holding A/S, a company incorporated in Denmark (“</w:t>
      </w:r>
      <w:r>
        <w:rPr>
          <w:rFonts w:ascii="Times New Roman" w:cs="Times New Roman" w:eastAsia="Times New Roman" w:hAnsi="Times New Roman"/>
          <w:sz w:val="18"/>
          <w:szCs w:val="18"/>
          <w:u w:val="single" w:color="auto"/>
          <w:color w:val="auto"/>
        </w:rPr>
        <w:t>APMH</w:t>
      </w:r>
      <w:r>
        <w:rPr>
          <w:rFonts w:ascii="Times New Roman" w:cs="Times New Roman" w:eastAsia="Times New Roman" w:hAnsi="Times New Roman"/>
          <w:sz w:val="18"/>
          <w:szCs w:val="18"/>
          <w:color w:val="auto"/>
        </w:rPr>
        <w:t>”), which is in turn a wholly owned direct subsidiary of A.P. Møller og Hustru Chastine Mc-Kinney Møllers Fond til almene Formaal, a commercial foundation established under the laws of Denmark (the “</w:t>
      </w:r>
      <w:r>
        <w:rPr>
          <w:rFonts w:ascii="Times New Roman" w:cs="Times New Roman" w:eastAsia="Times New Roman" w:hAnsi="Times New Roman"/>
          <w:sz w:val="18"/>
          <w:szCs w:val="18"/>
          <w:u w:val="single" w:color="auto"/>
          <w:color w:val="auto"/>
        </w:rPr>
        <w:t>A.P. Moller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Foundation</w:t>
      </w:r>
      <w:r>
        <w:rPr>
          <w:rFonts w:ascii="Times New Roman" w:cs="Times New Roman" w:eastAsia="Times New Roman" w:hAnsi="Times New Roman"/>
          <w:sz w:val="18"/>
          <w:szCs w:val="18"/>
          <w:color w:val="auto"/>
        </w:rPr>
        <w:t>”). The A.P. Moller Foundation, APMH and APMH Invest are collectively referred to herein as the “</w:t>
      </w:r>
      <w:r>
        <w:rPr>
          <w:rFonts w:ascii="Times New Roman" w:cs="Times New Roman" w:eastAsia="Times New Roman" w:hAnsi="Times New Roman"/>
          <w:sz w:val="18"/>
          <w:szCs w:val="18"/>
          <w:u w:val="single" w:color="auto"/>
          <w:color w:val="auto"/>
        </w:rPr>
        <w:t>Reporting Persons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address of the principal executive offices for each of the Reporting Persons is Esplanaden 50, 1263 Copenhagen K, Denmark.</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A.P. Moller Foundation is a “self-owning” institution; it has no shareholders or owners and its affairs are managed by a board of trustees and executive management under the regulatory supervision of the Danish Business Authority. Its principal business purpose is to maintain ownership and control of A.P. Møller – Maersk A/S, a public company incorporated in Denmark, and to support certain specified charitable causes. APMH manages the commercial activities of the A.P. Moller Foundation. APMH Invest invests in a diversified range of businesses on behalf of APMH (and ultimately the A.P. Moller Foundation).</w:t>
      </w:r>
    </w:p>
    <w:p>
      <w:pPr>
        <w:spacing w:after="0" w:line="183"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In accordance with the provisions of General Instruction C to Schedule 13D, information concerning the name, business address, citizenship and present principal occupation or employment (and the name, principal business and address of any corporation or other organization in which such employment is conducted) of each director, executive officer or other person controlling each of the A.P. Moller Foundation, APMH and APMH Invest (collectively, the “</w:t>
      </w:r>
      <w:r>
        <w:rPr>
          <w:rFonts w:ascii="Times New Roman" w:cs="Times New Roman" w:eastAsia="Times New Roman" w:hAnsi="Times New Roman"/>
          <w:sz w:val="18"/>
          <w:szCs w:val="18"/>
          <w:u w:val="single" w:color="auto"/>
          <w:color w:val="auto"/>
        </w:rPr>
        <w:t>Covered Persons</w:t>
      </w:r>
      <w:r>
        <w:rPr>
          <w:rFonts w:ascii="Times New Roman" w:cs="Times New Roman" w:eastAsia="Times New Roman" w:hAnsi="Times New Roman"/>
          <w:sz w:val="18"/>
          <w:szCs w:val="18"/>
          <w:color w:val="auto"/>
        </w:rPr>
        <w:t>”), as required by Item 2 of Schedule 13D, is set forth in Schedule I hereto and is incorporated by reference herein. Each of the Covered Persons expressly disclaims beneficial ownership of any Ordinary Shares held by any of the Reporting Persons.</w:t>
      </w:r>
    </w:p>
    <w:p>
      <w:pPr>
        <w:spacing w:after="0" w:line="183"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17"/>
          <w:szCs w:val="17"/>
          <w:color w:val="auto"/>
        </w:rPr>
        <w:t>During the last five years the Reporting Persons have not and, to the knowledge of the Reporting Persons, without independent verification, none of the Covered Persons identified on Schedule I hereto has been (i) convicted in a criminal proceeding (excluding traffic violations or similar misdemeanors) or</w:t>
      </w:r>
    </w:p>
    <w:p>
      <w:pPr>
        <w:spacing w:after="0" w:line="1" w:lineRule="exact"/>
        <w:rPr>
          <w:sz w:val="20"/>
          <w:szCs w:val="20"/>
          <w:color w:val="auto"/>
        </w:rPr>
      </w:pPr>
    </w:p>
    <w:p>
      <w:pPr>
        <w:ind w:firstLine="8"/>
        <w:spacing w:after="0" w:line="255" w:lineRule="auto"/>
        <w:tabs>
          <w:tab w:leader="none" w:pos="26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Pursuant to that certain Business Combination Agreement, dated as of November 10, 2021 (as amended, the “</w:t>
      </w:r>
      <w:r>
        <w:rPr>
          <w:rFonts w:ascii="Times New Roman" w:cs="Times New Roman" w:eastAsia="Times New Roman" w:hAnsi="Times New Roman"/>
          <w:sz w:val="18"/>
          <w:szCs w:val="18"/>
          <w:u w:val="single" w:color="auto"/>
          <w:color w:val="auto"/>
        </w:rPr>
        <w:t>Business Combination Agreement</w:t>
      </w:r>
      <w:r>
        <w:rPr>
          <w:rFonts w:ascii="Times New Roman" w:cs="Times New Roman" w:eastAsia="Times New Roman" w:hAnsi="Times New Roman"/>
          <w:sz w:val="18"/>
          <w:szCs w:val="18"/>
          <w:color w:val="auto"/>
        </w:rPr>
        <w:t>”), by and among the Issuer, Noble Corporation, an exempted company incorporated in the Cayman Islands with limited liability (“</w:t>
      </w:r>
      <w:r>
        <w:rPr>
          <w:rFonts w:ascii="Times New Roman" w:cs="Times New Roman" w:eastAsia="Times New Roman" w:hAnsi="Times New Roman"/>
          <w:sz w:val="18"/>
          <w:szCs w:val="18"/>
          <w:u w:val="single" w:color="auto"/>
          <w:color w:val="auto"/>
        </w:rPr>
        <w:t>Noble</w:t>
      </w:r>
      <w:r>
        <w:rPr>
          <w:rFonts w:ascii="Times New Roman" w:cs="Times New Roman" w:eastAsia="Times New Roman" w:hAnsi="Times New Roman"/>
          <w:sz w:val="18"/>
          <w:szCs w:val="18"/>
          <w:color w:val="auto"/>
        </w:rPr>
        <w:t>”), Noble Newco Sub Limited, a Cayman Islands exempted company and a wholly owned direct subsidiary of the Issuer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The Drilling Company of 1972 A/S (“</w:t>
      </w:r>
      <w:r>
        <w:rPr>
          <w:rFonts w:ascii="Times New Roman" w:cs="Times New Roman" w:eastAsia="Times New Roman" w:hAnsi="Times New Roman"/>
          <w:sz w:val="18"/>
          <w:szCs w:val="18"/>
          <w:u w:val="single" w:color="auto"/>
          <w:color w:val="auto"/>
        </w:rPr>
        <w:t>Maersk Drilling</w:t>
      </w:r>
      <w:r>
        <w:rPr>
          <w:rFonts w:ascii="Times New Roman" w:cs="Times New Roman" w:eastAsia="Times New Roman" w:hAnsi="Times New Roman"/>
          <w:sz w:val="18"/>
          <w:szCs w:val="18"/>
          <w:color w:val="auto"/>
        </w:rPr>
        <w:t>”), the Issuer made a public offer to exchange each issued and outstanding ordinary share of Maersk Drilling, par value DKK 10.00 per share (each a “</w:t>
      </w:r>
      <w:r>
        <w:rPr>
          <w:rFonts w:ascii="Times New Roman" w:cs="Times New Roman" w:eastAsia="Times New Roman" w:hAnsi="Times New Roman"/>
          <w:sz w:val="18"/>
          <w:szCs w:val="18"/>
          <w:u w:val="single" w:color="auto"/>
          <w:color w:val="auto"/>
        </w:rPr>
        <w:t>Maersk Drilling Share</w:t>
      </w:r>
      <w:r>
        <w:rPr>
          <w:rFonts w:ascii="Times New Roman" w:cs="Times New Roman" w:eastAsia="Times New Roman" w:hAnsi="Times New Roman"/>
          <w:sz w:val="18"/>
          <w:szCs w:val="18"/>
          <w:color w:val="auto"/>
        </w:rPr>
        <w:t>”), for 1.6137 Ordinary Shares (the “</w:t>
      </w:r>
      <w:r>
        <w:rPr>
          <w:rFonts w:ascii="Times New Roman" w:cs="Times New Roman" w:eastAsia="Times New Roman" w:hAnsi="Times New Roman"/>
          <w:sz w:val="18"/>
          <w:szCs w:val="18"/>
          <w:u w:val="single" w:color="auto"/>
          <w:color w:val="auto"/>
        </w:rPr>
        <w:t>Exchange Offer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Pursuant to the Exchange Offer, APMH Invest tendered a total of 17,283,590 Maersk Drilling Shares, representing all of the Reporting Persons’ ownership interest in Maersk Drilling, and, on October 3, 2022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ind w:right="500"/>
        <w:spacing w:after="0" w:line="282" w:lineRule="auto"/>
        <w:rPr>
          <w:sz w:val="20"/>
          <w:szCs w:val="20"/>
          <w:color w:val="auto"/>
        </w:rPr>
      </w:pPr>
      <w:r>
        <w:rPr>
          <w:rFonts w:ascii="Times New Roman" w:cs="Times New Roman" w:eastAsia="Times New Roman" w:hAnsi="Times New Roman"/>
          <w:sz w:val="18"/>
          <w:szCs w:val="18"/>
          <w:color w:val="auto"/>
        </w:rPr>
        <w:t>all of the Maersk Drilling Shares so tendered were exchanged for an aggregate of 27,890,529 Ordinary Shares. All holdings in this Schedule 13D are reported as of the close of business on the Closing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Items 3 and 6 of this Schedule 13D is incorporated by reference in its entirety into this Item 4.</w:t>
      </w:r>
    </w:p>
    <w:p>
      <w:pPr>
        <w:spacing w:after="0" w:line="2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September 30, 2022, and pursuant to the Business Combination Agreement, Noble merged with and into Merger Sub, with Noble surviving the merger as a wholly owned direct subsidiary of the Issuer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and, together with the Exchange Offer,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Also pursuant to the Business Combination Agreement, on August 8, 2022, the Issuer announced its intention to make a public offer to exchange each issued and outstanding Maersk Drilling Share for 1.6137 Ordinary Shares. The Exchange Offer was completed on the Closing Date, the first business day after the completion of the Merger. As a result of the Merger and the Exchange Offer, the Issuer controls each of Noble and Maersk Drilling.</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Exchange Offer, APMH Invest tendered a total of 17,283,590 Maersk Drilling Shares, representing all of the Reporting Persons’ ownership interest in Maersk Drilling and, on the Closing Date, all of the Maersk Drilling Shares so tendered were exchanged for an aggregate of 27,890,529 Ordinary Shares, representing all of the Reporting Persons’ ownership interest in the Issuer and approximately 21.37% of the total outstanding Ordinary Shares as of the Closing Date (such percentage calculated based on 130,490,759 Ordinary Shares outstanding as of the close of business on the Closing Date, according to information provided by the Issuer to the Reporting Persons).</w:t>
      </w:r>
    </w:p>
    <w:p>
      <w:pPr>
        <w:spacing w:after="0" w:line="183"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 xml:space="preserve">The foregoing description of the Transactions does not purport to be complete and references to, and descriptions of, the Transactions and the Business Combination Agreement in this Schedule 13D are qualified in their entirety by the terms of the Business Combination Agreement, filed as </w:t>
      </w:r>
      <w:r>
        <w:rPr>
          <w:rFonts w:ascii="Times New Roman" w:cs="Times New Roman" w:eastAsia="Times New Roman" w:hAnsi="Times New Roman"/>
          <w:sz w:val="17"/>
          <w:szCs w:val="17"/>
          <w:u w:val="single" w:color="auto"/>
          <w:color w:val="auto"/>
        </w:rPr>
        <w:t>Exhibit 99.1</w:t>
      </w:r>
      <w:r>
        <w:rPr>
          <w:rFonts w:ascii="Times New Roman" w:cs="Times New Roman" w:eastAsia="Times New Roman" w:hAnsi="Times New Roman"/>
          <w:sz w:val="17"/>
          <w:szCs w:val="17"/>
          <w:color w:val="auto"/>
        </w:rPr>
        <w:t xml:space="preserve"> hereto and incorporated herein by reference. The Business Combination Agreement is further described in the Issuer’s registration statement on Form S-4 (Commission File No. 001-36211), filed with the Securities and Exchange Commission (the “</w:t>
      </w:r>
      <w:r>
        <w:rPr>
          <w:rFonts w:ascii="Times New Roman" w:cs="Times New Roman" w:eastAsia="Times New Roman" w:hAnsi="Times New Roman"/>
          <w:sz w:val="17"/>
          <w:szCs w:val="17"/>
          <w:u w:val="single" w:color="auto"/>
          <w:color w:val="auto"/>
        </w:rPr>
        <w:t>SEC</w:t>
      </w:r>
      <w:r>
        <w:rPr>
          <w:rFonts w:ascii="Times New Roman" w:cs="Times New Roman" w:eastAsia="Times New Roman" w:hAnsi="Times New Roman"/>
          <w:sz w:val="17"/>
          <w:szCs w:val="17"/>
          <w:color w:val="auto"/>
        </w:rPr>
        <w:t>”) and declared effective by the SEC on April 11, 2022.</w:t>
      </w:r>
    </w:p>
    <w:p>
      <w:pPr>
        <w:spacing w:after="0" w:line="16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Effective upon the consummation of the Merger, Claus V. Hemmingsen, a member of the board of trustees of the A.P. Moller Foundation and of the board of directors of APMH, was appointed to the board of directors of the Issuer. In addition, Claus V. Hemmingsen, Martin N. Larsen, chief executive officer and member of the board of directors of APMH Invest and chief financial officer of APMH, and Robert Maersk Uggla, a member of the board of directors of APMH Invest and chief executive officer of APMH, each of whom served as directors of Maersk Drilling prior to the announcement of the Transactions and have continued to serve as directors of Maersk Drilling during the period since such announcement (including in the period since the Closing Date), are expected to continue to serve as members of the board of directors of Maersk Drilling until November 15, 2022.</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Reporting Persons acquired the securities reported herein for investment purposes and intend to review their investment in the Issuer on a continuing basis. Based upon such review, as well as general economic, market and industry conditions and prospects existing at the time, the Reporting Persons may consider various alternative courses of action from time to time. Such actions may include: (i) acquiring additional Ordinary Shares and/or other equity, debt, notes, other securities or derivative or other instruments of the Issuer that are based upon or relate to the value of Ordinary Shares (collectively,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in the open market, through private transactions, block trades, registered sales or otherwise, including in connection with business development transactions or financing commitments in relation thereto; (ii) disposing of any or all of their Securities in the open market, through private transactions, block trades, registered sales or otherwise; (iii) engaging in any hedging or similar transactions with respect to the Securities; or (iv) proposing or considering one or more of the actions described in clauses (a) through (j) of Item 4 of Schedule 13D. APMH Invest may also determine to transfer the Ordinary Shares held by APMH Invest to another direct or indirect subsidiary of the A.P. Moller Foundation. In determining whether to carry out any of the above-mentioned actions, the Reporting Persons may consider factors such as the Issuer’s financial position and strategic direction, actions taken by the Issuer’s board of directors, the price of the Ordinary Shares or other Securities, conditions in the securities market and general economic and industry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the Reporting Persons may engage in discussions with representatives of the Issuer and/or with other holders of the Issuer’s Securities and, from time to time, may suggest or take a position regarding, or participate in, a variety of matters relating to the Issuer, which may include, among other things, the Issuer’s operations, assets, management, corporate governance or capital structure or its control, strategic alternatives and direction. To facilitate its consideration of such matters, the Reporting Persons may retain consultants and advisors and may enter into discussions with potential sources of capital and other third parties and may exchange information with any such persons pursuant to appropriate confidentiality or similar agreements. The Reporting Persons are likely to take some or all of the foregoing steps at preliminary stages in their respective consideration of various possible courses of action, before forming any intention to pursue any particular plan or direction.</w:t>
      </w:r>
    </w:p>
    <w:p>
      <w:pPr>
        <w:spacing w:after="0" w:line="18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Each of the Reporting Persons may, at any time, review or reconsider its respective position with respect to the Issuer and reserves the right to develop plans or proposals, including discussing, proposing or taking one or more of the actions described in subsections (a) through (j) of Item 4 of Schedule 13D, and may discuss such actions with the Issuer and Issuer’s management and the board of directors, other stockholders of the Issuer and other interested parties. Except as otherwise set forth herein, none of the Reporting Persons have any current plans or proposals which would relate to or would result in any of the events or matters described in (a) – (j) of Item 4 of Schedule 13D.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(a)-(b) As of October 3, 2022, the Reporting Persons may be deemed to have beneficially owned an aggregate of 27,890,529 Ordinary Shares, representing approximately 21.37% of the total outstanding Ordinary Shares (such percentage calculated based on 130,490,759 Ordinary Shares outstanding as of the close of business on such date, according to information provided by the Issuer to the Reporting Persons). As of October 3, 2022, APMH Invest was the record and beneficial owner of 27,890,529 Ordinary Shares. Each of APMH, as the sole owner of AMPH Invest, and the A.P. Moller Foundation, as the sole owner of APMH, may be deemed to be the beneficial owner of the Ordinary Shares held by APMH Invest.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October 3, 2022, none of the Covered Persons identified on Schedule I hereto beneficially owned any Ordinary Shares, except that:</w:t>
      </w:r>
    </w:p>
    <w:p>
      <w:pPr>
        <w:spacing w:after="0" w:line="225" w:lineRule="exact"/>
        <w:rPr>
          <w:sz w:val="20"/>
          <w:szCs w:val="20"/>
          <w:color w:val="auto"/>
        </w:rPr>
      </w:pPr>
    </w:p>
    <w:p>
      <w:pPr>
        <w:ind w:firstLine="656"/>
        <w:spacing w:after="0" w:line="266" w:lineRule="auto"/>
        <w:tabs>
          <w:tab w:leader="none" w:pos="86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Lars-Erik Brenøe beneficially owned 4,518 Ordinary Shares. Mr. Brenøe beneficially owned 2,800 Maersk Drilling Shares immediately prior to the Exchange Offer and tendered all of such Maersk Drilling Shares in the Exchange Offer. Upon the completion of the Exchange Offer on October 3, 2022, Mr. Brenøe received 4,518 Ordinary Shares in exchange for his Maersk Drilling Shares.</w:t>
      </w:r>
    </w:p>
    <w:p>
      <w:pPr>
        <w:spacing w:after="0" w:line="175" w:lineRule="exact"/>
        <w:rPr>
          <w:rFonts w:ascii="Times New Roman" w:cs="Times New Roman" w:eastAsia="Times New Roman" w:hAnsi="Times New Roman"/>
          <w:sz w:val="18"/>
          <w:szCs w:val="18"/>
          <w:color w:val="auto"/>
        </w:rPr>
      </w:pPr>
    </w:p>
    <w:p>
      <w:pPr>
        <w:ind w:right="20" w:firstLine="656"/>
        <w:spacing w:after="0" w:line="256" w:lineRule="auto"/>
        <w:tabs>
          <w:tab w:leader="none" w:pos="91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 V. Hemmingsen beneficially owned (x) 8,752 Ordinary Shares and (y) 2,230 restricted stock units each representing a contingent right to receive one Ordinary Share. Mr. Hemmingsen beneficially owned 5,424 Maersk Drilling Shares immediately prior to the Exchange Offer and tendered all of such Maersk Drilling Shares in the Exchange Offer. Upon the completion of the Exchange Offer on October 3, 2022, Mr. Hemmingsen received 8,752 Ordinary Shares in exchange for his Maersk Drilling Shares. In addition, on October 3, 2022, the Issuer granted Mr. Hemmingsen 2,230 restricted stock units each of which representing a contingent right to receive one Ordinary Share and expected to vest (subject to certain conditions, including Mr. Hemmingsen’s continued employment with the Issuer at such time) on October 3, 2023.</w:t>
      </w:r>
    </w:p>
    <w:p>
      <w:pPr>
        <w:spacing w:after="0" w:line="187" w:lineRule="exact"/>
        <w:rPr>
          <w:rFonts w:ascii="Times New Roman" w:cs="Times New Roman" w:eastAsia="Times New Roman" w:hAnsi="Times New Roman"/>
          <w:sz w:val="18"/>
          <w:szCs w:val="18"/>
          <w:color w:val="auto"/>
        </w:rPr>
      </w:pPr>
    </w:p>
    <w:p>
      <w:pPr>
        <w:ind w:right="120" w:firstLine="656"/>
        <w:spacing w:after="0" w:line="266" w:lineRule="auto"/>
        <w:tabs>
          <w:tab w:leader="none" w:pos="96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Martin N. Larsen beneficially owned 1,886 Ordinary Shares. Mr. Larsen beneficially owned 1,169 Maersk Drilling Shares immediately prior to the Exchange Offer and tendered all of such Maersk Drilling Shares in the Exchange Offer. Upon the completion of the Exchange Offer on October 3, 2022, Mr. Larsen received 1,886 Ordinary Shares in exchange for his Maersk Drilling Shares.</w:t>
      </w:r>
    </w:p>
    <w:p>
      <w:pPr>
        <w:spacing w:after="0" w:line="175" w:lineRule="exact"/>
        <w:rPr>
          <w:rFonts w:ascii="Times New Roman" w:cs="Times New Roman" w:eastAsia="Times New Roman" w:hAnsi="Times New Roman"/>
          <w:sz w:val="18"/>
          <w:szCs w:val="18"/>
          <w:color w:val="auto"/>
        </w:rPr>
      </w:pPr>
    </w:p>
    <w:p>
      <w:pPr>
        <w:ind w:right="220" w:firstLine="656"/>
        <w:spacing w:after="0" w:line="266" w:lineRule="auto"/>
        <w:tabs>
          <w:tab w:leader="none" w:pos="95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Alette Mærsk Mc-Kinney Sørensen beneficially owned 151,676 Ordinary Shares. Ms. Sørensen beneficially owned 93,993 Maersk Drilling Shares immediately prior to the Exchange Offer and tendered all of such Maersk Drilling Shares in the Exchange Offer. Upon the completion of the Exchange Offer on October 3, 2022, Ms. Sørensen received 151,676 Ordinary Shares in exchange for her Maersk Drilling Shares.</w:t>
      </w:r>
    </w:p>
    <w:p>
      <w:pPr>
        <w:spacing w:after="0" w:line="175" w:lineRule="exact"/>
        <w:rPr>
          <w:rFonts w:ascii="Times New Roman" w:cs="Times New Roman" w:eastAsia="Times New Roman" w:hAnsi="Times New Roman"/>
          <w:sz w:val="18"/>
          <w:szCs w:val="18"/>
          <w:color w:val="auto"/>
        </w:rPr>
      </w:pPr>
    </w:p>
    <w:p>
      <w:pPr>
        <w:ind w:right="240" w:firstLine="656"/>
        <w:spacing w:after="0" w:line="266" w:lineRule="auto"/>
        <w:tabs>
          <w:tab w:leader="none" w:pos="90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Ane Mærsk Mc-Kinney Uggla beneficially owned 717,812 Ordinary Shares. Ms. Uggla beneficially owned 444,824 Maersk Drilling Shares immediately prior to the Exchange Offer and tendered all of such Maersk Drilling Shares in the Exchange Offer. Upon the completion of the Exchange Offer on October 3, 2022, Ms. Uggla received 717,812 Ordinary Shares in exchange for her Maersk Drilling Shares.</w:t>
      </w:r>
    </w:p>
    <w:p>
      <w:pPr>
        <w:spacing w:after="0" w:line="175" w:lineRule="exact"/>
        <w:rPr>
          <w:rFonts w:ascii="Times New Roman" w:cs="Times New Roman" w:eastAsia="Times New Roman" w:hAnsi="Times New Roman"/>
          <w:sz w:val="18"/>
          <w:szCs w:val="18"/>
          <w:color w:val="auto"/>
        </w:rPr>
      </w:pPr>
    </w:p>
    <w:p>
      <w:pPr>
        <w:ind w:right="260" w:firstLine="656"/>
        <w:spacing w:after="0" w:line="282" w:lineRule="auto"/>
        <w:tabs>
          <w:tab w:leader="none" w:pos="95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Maersk Uggla beneficially owned 7,146 Ordinary Shares. Mr. Uggla beneficially owned 4,430 Maersk Drilling Shares immediately prior to the Exchange Offer and tendered all of such Maersk Drilling Shares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ind w:right="560"/>
        <w:spacing w:after="0" w:line="282" w:lineRule="auto"/>
        <w:rPr>
          <w:sz w:val="20"/>
          <w:szCs w:val="20"/>
          <w:color w:val="auto"/>
        </w:rPr>
      </w:pPr>
      <w:r>
        <w:rPr>
          <w:rFonts w:ascii="Times New Roman" w:cs="Times New Roman" w:eastAsia="Times New Roman" w:hAnsi="Times New Roman"/>
          <w:sz w:val="18"/>
          <w:szCs w:val="18"/>
          <w:color w:val="auto"/>
        </w:rPr>
        <w:t>the Exchange Offer. Upon the completion of the Exchange Offer on October 3, 2022, Mr. Uggla received 7,146 Ordinary Shares in exchange for his Maersk Drilling Shares.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Covered Persons expressly disclaims beneficial ownership of any Ordinary Shares held by any of the Reporting Persons.</w:t>
      </w:r>
    </w:p>
    <w:p>
      <w:pPr>
        <w:spacing w:after="0" w:line="225" w:lineRule="exact"/>
        <w:rPr>
          <w:sz w:val="20"/>
          <w:szCs w:val="20"/>
          <w:color w:val="auto"/>
        </w:rPr>
      </w:pPr>
    </w:p>
    <w:p>
      <w:pPr>
        <w:ind w:right="180" w:firstLine="8"/>
        <w:spacing w:after="0" w:line="266" w:lineRule="auto"/>
        <w:tabs>
          <w:tab w:leader="none" w:pos="2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this Schedule 13D, none of the Reporting Persons has effected and, to the knowledge of the Reporting Persons, without independent verification, none of the Covered Persons identified in Schedule I hereto has effected any transactions in the Ordinary Shares during the past 60 days.</w:t>
      </w:r>
    </w:p>
    <w:p>
      <w:pPr>
        <w:spacing w:after="0" w:line="175" w:lineRule="exact"/>
        <w:rPr>
          <w:rFonts w:ascii="Times New Roman" w:cs="Times New Roman" w:eastAsia="Times New Roman" w:hAnsi="Times New Roman"/>
          <w:sz w:val="18"/>
          <w:szCs w:val="18"/>
          <w:color w:val="auto"/>
        </w:rPr>
      </w:pPr>
    </w:p>
    <w:p>
      <w:pPr>
        <w:ind w:right="520" w:firstLine="8"/>
        <w:spacing w:after="0" w:line="282" w:lineRule="auto"/>
        <w:tabs>
          <w:tab w:leader="none" w:pos="2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this Schedule 13D, no person other than the Reporting Persons has the right to receive or the power to direct the receipt of dividends from, or the proceeds from the sale of, any of the Ordinary Shares beneficially owned by any of the Reporting Persons.</w:t>
      </w:r>
    </w:p>
    <w:p>
      <w:pPr>
        <w:spacing w:after="0" w:line="16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Items 3 and 4 of this Schedule 13D is incorporated by reference in its entirety into this Item 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Relationship Agreement</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Concurrently with the completion of the Exchange Offer on the Closing Date, the Issuer, certain significant shareholders of the Issuer and APMH Invest entered into a relationship agreement (the “</w:t>
      </w:r>
      <w:r>
        <w:rPr>
          <w:rFonts w:ascii="Times New Roman" w:cs="Times New Roman" w:eastAsia="Times New Roman" w:hAnsi="Times New Roman"/>
          <w:sz w:val="18"/>
          <w:szCs w:val="18"/>
          <w:u w:val="single" w:color="auto"/>
          <w:color w:val="auto"/>
        </w:rPr>
        <w:t>Relationship Agreement</w:t>
      </w:r>
      <w:r>
        <w:rPr>
          <w:rFonts w:ascii="Times New Roman" w:cs="Times New Roman" w:eastAsia="Times New Roman" w:hAnsi="Times New Roman"/>
          <w:sz w:val="18"/>
          <w:szCs w:val="18"/>
          <w:color w:val="auto"/>
        </w:rPr>
        <w:t xml:space="preserve">”) pursuant to which, amongst other things and subject to certain limitations as set forth therein, APMH Invest is entitled to designate (a) two nominees to the board of directors of the Issuer for so long as APMH Invest holds no fewer than 20% of the then outstanding Ordinary Shares of the Issuer and (b) one nominee to the board of directors of the Issuer for so long as APMH Invest holds fewer than 20% but no fewer than 15% of the then outstanding Ordinary Shares of the Issuer. Each of APMH Invest’s nominees must meet the independence standards of the New York Stock Exchange with respect to the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APMH Invest is permitted designate one nominee who does not meet such independence standards, so long as such nominee is not an employee of the Issuer or any of its subsidiaries.</w:t>
      </w:r>
    </w:p>
    <w:p>
      <w:pPr>
        <w:spacing w:after="0" w:line="189"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 xml:space="preserve">References to, and descriptions of, the Relationship Agreement in this Schedule 13D are qualified in their entirety by the terms of the Relationship Agreement, filed as </w:t>
      </w:r>
      <w:r>
        <w:rPr>
          <w:rFonts w:ascii="Times New Roman" w:cs="Times New Roman" w:eastAsia="Times New Roman" w:hAnsi="Times New Roman"/>
          <w:sz w:val="18"/>
          <w:szCs w:val="18"/>
          <w:u w:val="single" w:color="auto"/>
          <w:color w:val="auto"/>
        </w:rPr>
        <w:t>Exhibit 99.2</w:t>
      </w:r>
      <w:r>
        <w:rPr>
          <w:rFonts w:ascii="Times New Roman" w:cs="Times New Roman" w:eastAsia="Times New Roman" w:hAnsi="Times New Roman"/>
          <w:sz w:val="18"/>
          <w:szCs w:val="18"/>
          <w:color w:val="auto"/>
        </w:rPr>
        <w:t xml:space="preserve"> hereto and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Concurrently with the completion of the Exchange Offer on the Closing Date, the Issuer and APMH Invest entered into a registration rights agreement (the “</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pursuant to which APMH Invest is entitled to require that the Issuer (i) file, as promptly as practicable following the Closing Date, a registration statement for the resale, on a delayed or continuous basis, of all of the securities that the parties to such agreement have agreed shall be registrable under the Securities Act of 1933, as amended (the “</w:t>
      </w:r>
      <w:r>
        <w:rPr>
          <w:rFonts w:ascii="Times New Roman" w:cs="Times New Roman" w:eastAsia="Times New Roman" w:hAnsi="Times New Roman"/>
          <w:sz w:val="18"/>
          <w:szCs w:val="18"/>
          <w:u w:val="single" w:color="auto"/>
          <w:color w:val="auto"/>
        </w:rPr>
        <w:t>Registrable Securities</w:t>
      </w:r>
      <w:r>
        <w:rPr>
          <w:rFonts w:ascii="Times New Roman" w:cs="Times New Roman" w:eastAsia="Times New Roman" w:hAnsi="Times New Roman"/>
          <w:sz w:val="18"/>
          <w:szCs w:val="18"/>
          <w:color w:val="auto"/>
        </w:rPr>
        <w:t>”) and (ii) use its commercially reasonable efforts to have such registration statement declared effective as soon as practicable and to maintain the effectiveness thereof until such time as there are no longer any Registrable Securities.</w:t>
      </w:r>
    </w:p>
    <w:p>
      <w:pPr>
        <w:spacing w:after="0" w:line="18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addition, APMH Invest is entitled, pursuant to the Registration Rights Agreement and subject to certain limitations set forth therein, to customary demand and piggyback registration rights, and to require the Issuer to effect a distribution of any or all of AMPH Invest’s Registrable Securities by means of an underwritten offering.</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 xml:space="preserve">References to, and descriptions of, the Registration Rights Agreement in this Schedule 13D are qualified in their entirety by the terms of the Registration Rights Agreement, filed as </w:t>
      </w:r>
      <w:r>
        <w:rPr>
          <w:rFonts w:ascii="Times New Roman" w:cs="Times New Roman" w:eastAsia="Times New Roman" w:hAnsi="Times New Roman"/>
          <w:sz w:val="18"/>
          <w:szCs w:val="18"/>
          <w:u w:val="single" w:color="auto"/>
          <w:color w:val="auto"/>
        </w:rPr>
        <w:t>Exhibit 99.3</w:t>
      </w:r>
      <w:r>
        <w:rPr>
          <w:rFonts w:ascii="Times New Roman" w:cs="Times New Roman" w:eastAsia="Times New Roman" w:hAnsi="Times New Roman"/>
          <w:sz w:val="18"/>
          <w:szCs w:val="18"/>
          <w:color w:val="auto"/>
        </w:rPr>
        <w:t xml:space="preserve"> hereto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8" w:name="page9"/>
    <w:bookmarkEnd w:id="8"/>
    <w:p>
      <w:pPr>
        <w:ind w:right="20"/>
        <w:spacing w:after="0" w:line="261" w:lineRule="auto"/>
        <w:rPr>
          <w:sz w:val="20"/>
          <w:szCs w:val="20"/>
          <w:color w:val="auto"/>
        </w:rPr>
      </w:pPr>
      <w:r>
        <w:rPr>
          <w:rFonts w:ascii="Times New Roman" w:cs="Times New Roman" w:eastAsia="Times New Roman" w:hAnsi="Times New Roman"/>
          <w:sz w:val="18"/>
          <w:szCs w:val="18"/>
          <w:color w:val="auto"/>
        </w:rPr>
        <w:t>By virtue of the rights and obligations under the Relationship Agreement and/or the Registration Rights Agreement, certain of the other parties to those agreements, their affiliates and the Reporting Persons may each be deemed to be a member of a “group” for purposes of Section 13(d) of the Exchange Act. This filing shall not be deemed an admission that the Reporting Persons and any such other persons constitute a “group” for purposes of Section 13(d) of the Exchange Act and the Reporting Persons expressly disclaim membership in any such group.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99.1</w:t>
            </w:r>
          </w:p>
        </w:tc>
        <w:tc>
          <w:tcPr>
            <w:tcW w:w="9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Business Combination Agreement, dated as of November 10, 2021, by and among Noble Corporation, Noble Finco Limited, Noble</w:t>
            </w:r>
          </w:p>
        </w:tc>
      </w:tr>
      <w:tr>
        <w:trPr>
          <w:trHeight w:val="216"/>
        </w:trPr>
        <w:tc>
          <w:tcPr>
            <w:tcW w:w="1320" w:type="dxa"/>
            <w:vAlign w:val="bottom"/>
          </w:tcPr>
          <w:p>
            <w:pPr>
              <w:spacing w:after="0"/>
              <w:rPr>
                <w:sz w:val="18"/>
                <w:szCs w:val="18"/>
                <w:color w:val="auto"/>
              </w:rPr>
            </w:pPr>
          </w:p>
        </w:tc>
        <w:tc>
          <w:tcPr>
            <w:tcW w:w="9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Newco Sub Limited and The Drilling Company of 1972 A/S (incorporated by reference to Exhibit 2.1 to the current report on Form</w:t>
            </w:r>
          </w:p>
        </w:tc>
      </w:tr>
      <w:tr>
        <w:trPr>
          <w:trHeight w:val="216"/>
        </w:trPr>
        <w:tc>
          <w:tcPr>
            <w:tcW w:w="1320" w:type="dxa"/>
            <w:vAlign w:val="bottom"/>
          </w:tcPr>
          <w:p>
            <w:pPr>
              <w:spacing w:after="0"/>
              <w:rPr>
                <w:sz w:val="18"/>
                <w:szCs w:val="18"/>
                <w:color w:val="auto"/>
              </w:rPr>
            </w:pPr>
          </w:p>
        </w:tc>
        <w:tc>
          <w:tcPr>
            <w:tcW w:w="9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8-K filed by Noble Corporation (Commission File No. 001-36211) with the Securities and Exchange Commission on November</w:t>
            </w:r>
          </w:p>
        </w:tc>
      </w:tr>
      <w:tr>
        <w:trPr>
          <w:trHeight w:val="234"/>
        </w:trPr>
        <w:tc>
          <w:tcPr>
            <w:tcW w:w="1320" w:type="dxa"/>
            <w:vAlign w:val="bottom"/>
          </w:tcPr>
          <w:p>
            <w:pPr>
              <w:spacing w:after="0"/>
              <w:rPr>
                <w:sz w:val="20"/>
                <w:szCs w:val="20"/>
                <w:color w:val="auto"/>
              </w:rPr>
            </w:pPr>
          </w:p>
        </w:tc>
        <w:tc>
          <w:tcPr>
            <w:tcW w:w="9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10, 2021).</w:t>
            </w:r>
          </w:p>
        </w:tc>
      </w:tr>
      <w:tr>
        <w:trPr>
          <w:trHeight w:val="549"/>
        </w:trPr>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99.2</w:t>
            </w:r>
          </w:p>
        </w:tc>
        <w:tc>
          <w:tcPr>
            <w:tcW w:w="9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Relationship Agreement, dated as of October 3, 2022 by and among Noble Corporation plc, Noble Corporation, APMH Invest A/S,</w:t>
            </w:r>
          </w:p>
        </w:tc>
      </w:tr>
      <w:tr>
        <w:trPr>
          <w:trHeight w:val="216"/>
        </w:trPr>
        <w:tc>
          <w:tcPr>
            <w:tcW w:w="1320" w:type="dxa"/>
            <w:vAlign w:val="bottom"/>
          </w:tcPr>
          <w:p>
            <w:pPr>
              <w:spacing w:after="0"/>
              <w:rPr>
                <w:sz w:val="18"/>
                <w:szCs w:val="18"/>
                <w:color w:val="auto"/>
              </w:rPr>
            </w:pPr>
          </w:p>
        </w:tc>
        <w:tc>
          <w:tcPr>
            <w:tcW w:w="9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and the Existing Investors named therein (incorporated by reference to Exhibit 10.3 to the current report on Form 8-K filed by</w:t>
            </w:r>
          </w:p>
        </w:tc>
      </w:tr>
      <w:tr>
        <w:trPr>
          <w:trHeight w:val="234"/>
        </w:trPr>
        <w:tc>
          <w:tcPr>
            <w:tcW w:w="1320" w:type="dxa"/>
            <w:vAlign w:val="bottom"/>
          </w:tcPr>
          <w:p>
            <w:pPr>
              <w:spacing w:after="0"/>
              <w:rPr>
                <w:sz w:val="20"/>
                <w:szCs w:val="20"/>
                <w:color w:val="auto"/>
              </w:rPr>
            </w:pPr>
          </w:p>
        </w:tc>
        <w:tc>
          <w:tcPr>
            <w:tcW w:w="9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Noble Corporation plc (Commission File No. 333-261780) with the Securities and Exchange Commission on October 3, 2022).</w:t>
            </w:r>
          </w:p>
        </w:tc>
      </w:tr>
      <w:tr>
        <w:trPr>
          <w:trHeight w:val="549"/>
        </w:trPr>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99.3</w:t>
            </w:r>
          </w:p>
        </w:tc>
        <w:tc>
          <w:tcPr>
            <w:tcW w:w="9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Registration Rights Agreement, dated as of October 3, 2022 by and among Noble Corporation plc and APMH Invest A/S</w:t>
            </w:r>
          </w:p>
        </w:tc>
      </w:tr>
      <w:tr>
        <w:trPr>
          <w:trHeight w:val="216"/>
        </w:trPr>
        <w:tc>
          <w:tcPr>
            <w:tcW w:w="1320" w:type="dxa"/>
            <w:vAlign w:val="bottom"/>
          </w:tcPr>
          <w:p>
            <w:pPr>
              <w:spacing w:after="0"/>
              <w:rPr>
                <w:sz w:val="18"/>
                <w:szCs w:val="18"/>
                <w:color w:val="auto"/>
              </w:rPr>
            </w:pPr>
          </w:p>
        </w:tc>
        <w:tc>
          <w:tcPr>
            <w:tcW w:w="9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(incorporated by reference to Exhibit 10.2 to the current report on Form 8-K filed by Noble Corporation plc (Commission File No.</w:t>
            </w:r>
          </w:p>
        </w:tc>
      </w:tr>
      <w:tr>
        <w:trPr>
          <w:trHeight w:val="234"/>
        </w:trPr>
        <w:tc>
          <w:tcPr>
            <w:tcW w:w="1320" w:type="dxa"/>
            <w:vAlign w:val="bottom"/>
          </w:tcPr>
          <w:p>
            <w:pPr>
              <w:spacing w:after="0"/>
              <w:rPr>
                <w:sz w:val="20"/>
                <w:szCs w:val="20"/>
                <w:color w:val="auto"/>
              </w:rPr>
            </w:pPr>
          </w:p>
        </w:tc>
        <w:tc>
          <w:tcPr>
            <w:tcW w:w="9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333-261780) with the Securities and Exchange Commission on October 3, 2022).</w:t>
            </w:r>
          </w:p>
        </w:tc>
      </w:tr>
      <w:tr>
        <w:trPr>
          <w:trHeight w:val="549"/>
        </w:trPr>
        <w:tc>
          <w:tcPr>
            <w:tcW w:w="13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Exhibit 99.4</w:t>
            </w:r>
          </w:p>
        </w:tc>
        <w:tc>
          <w:tcPr>
            <w:tcW w:w="9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Power of Attorney of A.P. Møller og Hustru Chastine Mc-Kinney Møllers Fond til almene Formaal, dated as of September 23,</w:t>
            </w:r>
          </w:p>
        </w:tc>
      </w:tr>
      <w:tr>
        <w:trPr>
          <w:trHeight w:val="234"/>
        </w:trPr>
        <w:tc>
          <w:tcPr>
            <w:tcW w:w="1320" w:type="dxa"/>
            <w:vAlign w:val="bottom"/>
          </w:tcPr>
          <w:p>
            <w:pPr>
              <w:spacing w:after="0"/>
              <w:rPr>
                <w:sz w:val="20"/>
                <w:szCs w:val="20"/>
                <w:color w:val="auto"/>
              </w:rPr>
            </w:pPr>
          </w:p>
        </w:tc>
        <w:tc>
          <w:tcPr>
            <w:tcW w:w="9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2022.</w:t>
            </w:r>
          </w:p>
        </w:tc>
      </w:tr>
      <w:tr>
        <w:trPr>
          <w:trHeight w:val="675"/>
        </w:trPr>
        <w:tc>
          <w:tcPr>
            <w:tcW w:w="132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9" w:name="page10"/>
    <w:bookmarkEnd w:id="9"/>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13, 2022</w:t>
      </w:r>
    </w:p>
    <w:p>
      <w:pPr>
        <w:spacing w:after="0" w:line="22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A.P. MØLLER OG HUSTRU CHASTINE MC-KINNEY</w:t>
      </w:r>
    </w:p>
    <w:p>
      <w:pPr>
        <w:spacing w:after="0" w:line="3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MØLLERS FOND TIL ALMENE FORMAAL</w:t>
      </w:r>
    </w:p>
    <w:p>
      <w:pPr>
        <w:spacing w:after="0" w:line="288" w:lineRule="exact"/>
        <w:rPr>
          <w:sz w:val="20"/>
          <w:szCs w:val="20"/>
          <w:color w:val="auto"/>
        </w:rPr>
      </w:pPr>
    </w:p>
    <w:p>
      <w:pPr>
        <w:ind w:left="5300"/>
        <w:spacing w:after="0"/>
        <w:tabs>
          <w:tab w:leader="none" w:pos="5740" w:val="left"/>
        </w:tabs>
        <w:rPr>
          <w:sz w:val="20"/>
          <w:szCs w:val="20"/>
          <w:color w:val="auto"/>
        </w:rPr>
      </w:pPr>
      <w:r>
        <w:rPr>
          <w:rFonts w:ascii="Times New Roman" w:cs="Times New Roman" w:eastAsia="Times New Roman" w:hAnsi="Times New Roman"/>
          <w:sz w:val="18"/>
          <w:szCs w:val="18"/>
          <w:color w:val="auto"/>
        </w:rPr>
        <w:t>By:</w:t>
        <w:tab/>
        <w:t>/s/ Martin Larsen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17145</wp:posOffset>
            </wp:positionV>
            <wp:extent cx="28460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Name: Martin Larsen</w:t>
      </w:r>
    </w:p>
    <w:p>
      <w:pPr>
        <w:spacing w:after="0" w:line="23" w:lineRule="exact"/>
        <w:rPr>
          <w:sz w:val="20"/>
          <w:szCs w:val="20"/>
          <w:color w:val="auto"/>
        </w:rPr>
      </w:pPr>
    </w:p>
    <w:p>
      <w:pPr>
        <w:ind w:left="5760"/>
        <w:spacing w:after="0"/>
        <w:tabs>
          <w:tab w:leader="none" w:pos="6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Attorney-in-fact</w:t>
      </w:r>
    </w:p>
    <w:p>
      <w:pPr>
        <w:spacing w:after="0" w:line="28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A.P. MØLLER HOLDING A/S</w:t>
      </w:r>
    </w:p>
    <w:p>
      <w:pPr>
        <w:spacing w:after="0" w:line="310" w:lineRule="exact"/>
        <w:rPr>
          <w:sz w:val="20"/>
          <w:szCs w:val="20"/>
          <w:color w:val="auto"/>
        </w:rPr>
      </w:pPr>
    </w:p>
    <w:p>
      <w:pPr>
        <w:ind w:left="5300"/>
        <w:spacing w:after="0"/>
        <w:tabs>
          <w:tab w:leader="none" w:pos="5740" w:val="left"/>
        </w:tabs>
        <w:rPr>
          <w:sz w:val="20"/>
          <w:szCs w:val="20"/>
          <w:color w:val="auto"/>
        </w:rPr>
      </w:pPr>
      <w:r>
        <w:rPr>
          <w:rFonts w:ascii="Times New Roman" w:cs="Times New Roman" w:eastAsia="Times New Roman" w:hAnsi="Times New Roman"/>
          <w:sz w:val="18"/>
          <w:szCs w:val="18"/>
          <w:color w:val="auto"/>
        </w:rPr>
        <w:t>By:</w:t>
        <w:tab/>
        <w:t>/s/ Martin Larsen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17145</wp:posOffset>
            </wp:positionV>
            <wp:extent cx="28460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Name: Martin Larsen</w:t>
      </w:r>
    </w:p>
    <w:p>
      <w:pPr>
        <w:spacing w:after="0" w:line="23" w:lineRule="exact"/>
        <w:rPr>
          <w:sz w:val="20"/>
          <w:szCs w:val="20"/>
          <w:color w:val="auto"/>
        </w:rPr>
      </w:pPr>
    </w:p>
    <w:p>
      <w:pPr>
        <w:ind w:left="5760"/>
        <w:spacing w:after="0"/>
        <w:tabs>
          <w:tab w:leader="none" w:pos="6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8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APMH INVEST A/S</w:t>
      </w:r>
    </w:p>
    <w:p>
      <w:pPr>
        <w:spacing w:after="0" w:line="310" w:lineRule="exact"/>
        <w:rPr>
          <w:sz w:val="20"/>
          <w:szCs w:val="20"/>
          <w:color w:val="auto"/>
        </w:rPr>
      </w:pPr>
    </w:p>
    <w:p>
      <w:pPr>
        <w:ind w:left="5300"/>
        <w:spacing w:after="0"/>
        <w:tabs>
          <w:tab w:leader="none" w:pos="5740" w:val="left"/>
        </w:tabs>
        <w:rPr>
          <w:sz w:val="20"/>
          <w:szCs w:val="20"/>
          <w:color w:val="auto"/>
        </w:rPr>
      </w:pPr>
      <w:r>
        <w:rPr>
          <w:rFonts w:ascii="Times New Roman" w:cs="Times New Roman" w:eastAsia="Times New Roman" w:hAnsi="Times New Roman"/>
          <w:sz w:val="18"/>
          <w:szCs w:val="18"/>
          <w:color w:val="auto"/>
        </w:rPr>
        <w:t>By:</w:t>
        <w:tab/>
        <w:t>/s/ Martin Larsen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17145</wp:posOffset>
            </wp:positionV>
            <wp:extent cx="28460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Name: Martin Larsen</w:t>
      </w:r>
    </w:p>
    <w:p>
      <w:pPr>
        <w:spacing w:after="0" w:line="23" w:lineRule="exact"/>
        <w:rPr>
          <w:sz w:val="20"/>
          <w:szCs w:val="20"/>
          <w:color w:val="auto"/>
        </w:rPr>
      </w:pPr>
    </w:p>
    <w:p>
      <w:pPr>
        <w:ind w:left="5760"/>
        <w:spacing w:after="0"/>
        <w:tabs>
          <w:tab w:leader="none" w:pos="6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320" w:top="576" w:right="5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SCHEDULE I</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accordance with the provisions of General Instruction C to Schedule 13D, the name of each director, executive officer or other person controlling each of A.P. Møller og Hustru Chastine Mc-Kinney Møllers Fond til almene Formaal, A.P. Møller Holding A/S, and APMH Invest A/S, together with their citizenship and present principal occupation or employment (and the name, principal business and address of any corporation or other organization in which such employment is conducted) is set forth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 address of each person listed below is Esplanaden 50, 1263 Copenhagen K, Denmark.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 MØLLER OG HUSTRU CHASTINE MC-KINNEY MØLLERS FOND TIL ALMENE FORMAAL</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66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Name</w:t>
            </w:r>
          </w:p>
        </w:tc>
        <w:tc>
          <w:tcPr>
            <w:tcW w:w="40" w:type="dxa"/>
            <w:vAlign w:val="bottom"/>
          </w:tcPr>
          <w:p>
            <w:pPr>
              <w:spacing w:after="0"/>
              <w:rPr>
                <w:sz w:val="20"/>
                <w:szCs w:val="20"/>
                <w:color w:val="auto"/>
              </w:rPr>
            </w:pPr>
          </w:p>
        </w:tc>
        <w:tc>
          <w:tcPr>
            <w:tcW w:w="15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Citizenship</w:t>
            </w:r>
          </w:p>
        </w:tc>
        <w:tc>
          <w:tcPr>
            <w:tcW w:w="40" w:type="dxa"/>
            <w:vAlign w:val="bottom"/>
          </w:tcPr>
          <w:p>
            <w:pPr>
              <w:spacing w:after="0"/>
              <w:rPr>
                <w:sz w:val="20"/>
                <w:szCs w:val="20"/>
                <w:color w:val="auto"/>
              </w:rPr>
            </w:pPr>
          </w:p>
        </w:tc>
        <w:tc>
          <w:tcPr>
            <w:tcW w:w="590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Present Principal Occupation or Employment</w:t>
            </w:r>
          </w:p>
        </w:tc>
        <w:tc>
          <w:tcPr>
            <w:tcW w:w="20" w:type="dxa"/>
            <w:vAlign w:val="bottom"/>
          </w:tcPr>
          <w:p>
            <w:pPr>
              <w:spacing w:after="0"/>
              <w:rPr>
                <w:sz w:val="20"/>
                <w:szCs w:val="20"/>
                <w:color w:val="auto"/>
              </w:rPr>
            </w:pPr>
          </w:p>
        </w:tc>
      </w:tr>
      <w:tr>
        <w:trPr>
          <w:trHeight w:val="263"/>
        </w:trPr>
        <w:tc>
          <w:tcPr>
            <w:tcW w:w="40" w:type="dxa"/>
            <w:vAlign w:val="bottom"/>
          </w:tcPr>
          <w:p>
            <w:pPr>
              <w:spacing w:after="0"/>
              <w:rPr>
                <w:sz w:val="22"/>
                <w:szCs w:val="22"/>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Trustees</w:t>
            </w:r>
          </w:p>
        </w:tc>
        <w:tc>
          <w:tcPr>
            <w:tcW w:w="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9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Ane Mærsk Mc-Kinney Uggla</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Denmark</w:t>
            </w:r>
          </w:p>
        </w:tc>
        <w:tc>
          <w:tcPr>
            <w:tcW w:w="40" w:type="dxa"/>
            <w:vAlign w:val="bottom"/>
          </w:tcPr>
          <w:p>
            <w:pPr>
              <w:spacing w:after="0"/>
              <w:rPr>
                <w:sz w:val="23"/>
                <w:szCs w:val="23"/>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Board member (chairman), A.P. Moller Foundation</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Alette Mærsk Mc-Kinney Sørensen</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Denmark</w:t>
            </w:r>
          </w:p>
        </w:tc>
        <w:tc>
          <w:tcPr>
            <w:tcW w:w="40" w:type="dxa"/>
            <w:vAlign w:val="bottom"/>
          </w:tcPr>
          <w:p>
            <w:pPr>
              <w:spacing w:after="0"/>
              <w:rPr>
                <w:sz w:val="23"/>
                <w:szCs w:val="23"/>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Board member, A.P. Moller Foundation</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Claus V. Hemmingsen</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Denmark</w:t>
            </w:r>
          </w:p>
        </w:tc>
        <w:tc>
          <w:tcPr>
            <w:tcW w:w="40" w:type="dxa"/>
            <w:vAlign w:val="bottom"/>
          </w:tcPr>
          <w:p>
            <w:pPr>
              <w:spacing w:after="0"/>
              <w:rPr>
                <w:sz w:val="23"/>
                <w:szCs w:val="23"/>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board member</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Lars-Erik Brenøe</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Denmark</w:t>
            </w:r>
          </w:p>
        </w:tc>
        <w:tc>
          <w:tcPr>
            <w:tcW w:w="40" w:type="dxa"/>
            <w:vAlign w:val="bottom"/>
          </w:tcPr>
          <w:p>
            <w:pPr>
              <w:spacing w:after="0"/>
              <w:rPr>
                <w:sz w:val="23"/>
                <w:szCs w:val="23"/>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board member and advisor</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Birgitte Possing</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Denmark</w:t>
            </w:r>
          </w:p>
        </w:tc>
        <w:tc>
          <w:tcPr>
            <w:tcW w:w="40" w:type="dxa"/>
            <w:vAlign w:val="bottom"/>
          </w:tcPr>
          <w:p>
            <w:pPr>
              <w:spacing w:after="0"/>
              <w:rPr>
                <w:sz w:val="23"/>
                <w:szCs w:val="23"/>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Historian and author</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9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Mads Lebech</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Denmark</w:t>
            </w:r>
          </w:p>
        </w:tc>
        <w:tc>
          <w:tcPr>
            <w:tcW w:w="40" w:type="dxa"/>
            <w:vAlign w:val="bottom"/>
          </w:tcPr>
          <w:p>
            <w:pPr>
              <w:spacing w:after="0"/>
              <w:rPr>
                <w:sz w:val="23"/>
                <w:szCs w:val="23"/>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A.P. Moller Foundation</w:t>
            </w:r>
          </w:p>
        </w:tc>
        <w:tc>
          <w:tcPr>
            <w:tcW w:w="20" w:type="dxa"/>
            <w:vAlign w:val="bottom"/>
          </w:tcPr>
          <w:p>
            <w:pPr>
              <w:spacing w:after="0"/>
              <w:rPr>
                <w:sz w:val="23"/>
                <w:szCs w:val="23"/>
                <w:color w:val="auto"/>
              </w:rPr>
            </w:pPr>
          </w:p>
        </w:tc>
      </w:tr>
      <w:tr>
        <w:trPr>
          <w:trHeight w:val="48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A.P. MØLLER HOLDING A/S</w:t>
            </w: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40" w:type="dxa"/>
            <w:vAlign w:val="bottom"/>
          </w:tcPr>
          <w:p>
            <w:pPr>
              <w:spacing w:after="0"/>
              <w:rPr>
                <w:sz w:val="24"/>
                <w:szCs w:val="24"/>
                <w:color w:val="auto"/>
              </w:rPr>
            </w:pPr>
          </w:p>
        </w:tc>
        <w:tc>
          <w:tcPr>
            <w:tcW w:w="366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Name</w:t>
            </w:r>
          </w:p>
        </w:tc>
        <w:tc>
          <w:tcPr>
            <w:tcW w:w="40" w:type="dxa"/>
            <w:vAlign w:val="bottom"/>
          </w:tcPr>
          <w:p>
            <w:pPr>
              <w:spacing w:after="0"/>
              <w:rPr>
                <w:sz w:val="24"/>
                <w:szCs w:val="24"/>
                <w:color w:val="auto"/>
              </w:rPr>
            </w:pPr>
          </w:p>
        </w:tc>
        <w:tc>
          <w:tcPr>
            <w:tcW w:w="15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Citizenship</w:t>
            </w:r>
          </w:p>
        </w:tc>
        <w:tc>
          <w:tcPr>
            <w:tcW w:w="40" w:type="dxa"/>
            <w:vAlign w:val="bottom"/>
          </w:tcPr>
          <w:p>
            <w:pPr>
              <w:spacing w:after="0"/>
              <w:rPr>
                <w:sz w:val="24"/>
                <w:szCs w:val="24"/>
                <w:color w:val="auto"/>
              </w:rPr>
            </w:pPr>
          </w:p>
        </w:tc>
        <w:tc>
          <w:tcPr>
            <w:tcW w:w="590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Present Principal Occupation or Employment</w:t>
            </w:r>
          </w:p>
        </w:tc>
        <w:tc>
          <w:tcPr>
            <w:tcW w:w="20" w:type="dxa"/>
            <w:vAlign w:val="bottom"/>
          </w:tcPr>
          <w:p>
            <w:pPr>
              <w:spacing w:after="0"/>
              <w:rPr>
                <w:sz w:val="24"/>
                <w:szCs w:val="24"/>
                <w:color w:val="auto"/>
              </w:rPr>
            </w:pPr>
          </w:p>
        </w:tc>
      </w:tr>
      <w:tr>
        <w:trPr>
          <w:trHeight w:val="263"/>
        </w:trPr>
        <w:tc>
          <w:tcPr>
            <w:tcW w:w="40" w:type="dxa"/>
            <w:vAlign w:val="bottom"/>
          </w:tcPr>
          <w:p>
            <w:pPr>
              <w:spacing w:after="0"/>
              <w:rPr>
                <w:sz w:val="22"/>
                <w:szCs w:val="22"/>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Directors</w:t>
            </w:r>
          </w:p>
        </w:tc>
        <w:tc>
          <w:tcPr>
            <w:tcW w:w="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9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Ane Mærsk Mc-Kinney Uggla</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Denmark</w:t>
            </w:r>
          </w:p>
        </w:tc>
        <w:tc>
          <w:tcPr>
            <w:tcW w:w="40" w:type="dxa"/>
            <w:vAlign w:val="bottom"/>
          </w:tcPr>
          <w:p>
            <w:pPr>
              <w:spacing w:after="0"/>
              <w:rPr>
                <w:sz w:val="23"/>
                <w:szCs w:val="23"/>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Board member (chairman), A.P. Moller Foundation</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Claus V. Hemmingsen</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Denmark</w:t>
            </w:r>
          </w:p>
        </w:tc>
        <w:tc>
          <w:tcPr>
            <w:tcW w:w="40" w:type="dxa"/>
            <w:vAlign w:val="bottom"/>
          </w:tcPr>
          <w:p>
            <w:pPr>
              <w:spacing w:after="0"/>
              <w:rPr>
                <w:sz w:val="23"/>
                <w:szCs w:val="23"/>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board member</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Lars-Erik Brenøe</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Denmark</w:t>
            </w:r>
          </w:p>
        </w:tc>
        <w:tc>
          <w:tcPr>
            <w:tcW w:w="40" w:type="dxa"/>
            <w:vAlign w:val="bottom"/>
          </w:tcPr>
          <w:p>
            <w:pPr>
              <w:spacing w:after="0"/>
              <w:rPr>
                <w:sz w:val="23"/>
                <w:szCs w:val="23"/>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board member and advisor</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Jan Leschly</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Denmark</w:t>
            </w:r>
          </w:p>
        </w:tc>
        <w:tc>
          <w:tcPr>
            <w:tcW w:w="40" w:type="dxa"/>
            <w:vAlign w:val="bottom"/>
          </w:tcPr>
          <w:p>
            <w:pPr>
              <w:spacing w:after="0"/>
              <w:rPr>
                <w:sz w:val="23"/>
                <w:szCs w:val="23"/>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Board member (chairman), Care Capital, LLC</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Diane B. Greene</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40" w:type="dxa"/>
            <w:vAlign w:val="bottom"/>
          </w:tcPr>
          <w:p>
            <w:pPr>
              <w:spacing w:after="0"/>
              <w:rPr>
                <w:sz w:val="23"/>
                <w:szCs w:val="23"/>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Board member (chairman), Massachusetts Institute of Technology</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9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Robert Maersk Uggla</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Sweden</w:t>
            </w:r>
          </w:p>
        </w:tc>
        <w:tc>
          <w:tcPr>
            <w:tcW w:w="40" w:type="dxa"/>
            <w:vAlign w:val="bottom"/>
          </w:tcPr>
          <w:p>
            <w:pPr>
              <w:spacing w:after="0"/>
              <w:rPr>
                <w:sz w:val="23"/>
                <w:szCs w:val="23"/>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A.P. Møller Holding A/S</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Martin Nørkjær Larsen</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Denmark</w:t>
            </w:r>
          </w:p>
        </w:tc>
        <w:tc>
          <w:tcPr>
            <w:tcW w:w="40" w:type="dxa"/>
            <w:vAlign w:val="bottom"/>
          </w:tcPr>
          <w:p>
            <w:pPr>
              <w:spacing w:after="0"/>
              <w:rPr>
                <w:sz w:val="23"/>
                <w:szCs w:val="23"/>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A.P. Møller Holding A/S</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Jan Thorsgaard Nielsen</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Denmark</w:t>
            </w:r>
          </w:p>
        </w:tc>
        <w:tc>
          <w:tcPr>
            <w:tcW w:w="40" w:type="dxa"/>
            <w:vAlign w:val="bottom"/>
          </w:tcPr>
          <w:p>
            <w:pPr>
              <w:spacing w:after="0"/>
              <w:rPr>
                <w:sz w:val="23"/>
                <w:szCs w:val="23"/>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Chief Investment Officer, A.P. Møller Holding A/S</w:t>
            </w:r>
          </w:p>
        </w:tc>
        <w:tc>
          <w:tcPr>
            <w:tcW w:w="20" w:type="dxa"/>
            <w:vAlign w:val="bottom"/>
          </w:tcPr>
          <w:p>
            <w:pPr>
              <w:spacing w:after="0"/>
              <w:rPr>
                <w:sz w:val="23"/>
                <w:szCs w:val="23"/>
                <w:color w:val="auto"/>
              </w:rPr>
            </w:pPr>
          </w:p>
        </w:tc>
      </w:tr>
      <w:tr>
        <w:trPr>
          <w:trHeight w:val="486"/>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APMH INVEST A/S</w:t>
            </w:r>
          </w:p>
        </w:tc>
        <w:tc>
          <w:tcPr>
            <w:tcW w:w="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40" w:type="dxa"/>
            <w:vAlign w:val="bottom"/>
          </w:tcPr>
          <w:p>
            <w:pPr>
              <w:spacing w:after="0"/>
              <w:rPr>
                <w:sz w:val="24"/>
                <w:szCs w:val="24"/>
                <w:color w:val="auto"/>
              </w:rPr>
            </w:pPr>
          </w:p>
        </w:tc>
        <w:tc>
          <w:tcPr>
            <w:tcW w:w="366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Name</w:t>
            </w:r>
          </w:p>
        </w:tc>
        <w:tc>
          <w:tcPr>
            <w:tcW w:w="40" w:type="dxa"/>
            <w:vAlign w:val="bottom"/>
          </w:tcPr>
          <w:p>
            <w:pPr>
              <w:spacing w:after="0"/>
              <w:rPr>
                <w:sz w:val="24"/>
                <w:szCs w:val="24"/>
                <w:color w:val="auto"/>
              </w:rPr>
            </w:pPr>
          </w:p>
        </w:tc>
        <w:tc>
          <w:tcPr>
            <w:tcW w:w="154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Citizenship</w:t>
            </w:r>
          </w:p>
        </w:tc>
        <w:tc>
          <w:tcPr>
            <w:tcW w:w="40" w:type="dxa"/>
            <w:vAlign w:val="bottom"/>
          </w:tcPr>
          <w:p>
            <w:pPr>
              <w:spacing w:after="0"/>
              <w:rPr>
                <w:sz w:val="24"/>
                <w:szCs w:val="24"/>
                <w:color w:val="auto"/>
              </w:rPr>
            </w:pPr>
          </w:p>
        </w:tc>
        <w:tc>
          <w:tcPr>
            <w:tcW w:w="590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8"/>
                <w:szCs w:val="18"/>
                <w:color w:val="auto"/>
              </w:rPr>
              <w:t>Present Principal Occupation or Employment</w:t>
            </w:r>
          </w:p>
        </w:tc>
        <w:tc>
          <w:tcPr>
            <w:tcW w:w="20" w:type="dxa"/>
            <w:vAlign w:val="bottom"/>
          </w:tcPr>
          <w:p>
            <w:pPr>
              <w:spacing w:after="0"/>
              <w:rPr>
                <w:sz w:val="24"/>
                <w:szCs w:val="24"/>
                <w:color w:val="auto"/>
              </w:rPr>
            </w:pPr>
          </w:p>
        </w:tc>
      </w:tr>
      <w:tr>
        <w:trPr>
          <w:trHeight w:val="264"/>
        </w:trPr>
        <w:tc>
          <w:tcPr>
            <w:tcW w:w="40" w:type="dxa"/>
            <w:vAlign w:val="bottom"/>
          </w:tcPr>
          <w:p>
            <w:pPr>
              <w:spacing w:after="0"/>
              <w:rPr>
                <w:sz w:val="22"/>
                <w:szCs w:val="22"/>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Directors</w:t>
            </w:r>
          </w:p>
        </w:tc>
        <w:tc>
          <w:tcPr>
            <w:tcW w:w="4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9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70"/>
        </w:trPr>
        <w:tc>
          <w:tcPr>
            <w:tcW w:w="40" w:type="dxa"/>
            <w:vAlign w:val="bottom"/>
          </w:tcPr>
          <w:p>
            <w:pPr>
              <w:spacing w:after="0"/>
              <w:rPr>
                <w:sz w:val="23"/>
                <w:szCs w:val="23"/>
                <w:color w:val="auto"/>
              </w:rPr>
            </w:pP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Robert Maersk Uggla</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Sweden</w:t>
            </w:r>
          </w:p>
        </w:tc>
        <w:tc>
          <w:tcPr>
            <w:tcW w:w="40" w:type="dxa"/>
            <w:vAlign w:val="bottom"/>
          </w:tcPr>
          <w:p>
            <w:pPr>
              <w:spacing w:after="0"/>
              <w:rPr>
                <w:sz w:val="23"/>
                <w:szCs w:val="23"/>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A.P. Møller Holding A/S</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Martin Nørkjær Larsen</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Denmark</w:t>
            </w:r>
          </w:p>
        </w:tc>
        <w:tc>
          <w:tcPr>
            <w:tcW w:w="40" w:type="dxa"/>
            <w:vAlign w:val="bottom"/>
          </w:tcPr>
          <w:p>
            <w:pPr>
              <w:spacing w:after="0"/>
              <w:rPr>
                <w:sz w:val="23"/>
                <w:szCs w:val="23"/>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A.P. Møller Holding A/S</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Jan Thorsgaard Nielsen</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Denmark</w:t>
            </w:r>
          </w:p>
        </w:tc>
        <w:tc>
          <w:tcPr>
            <w:tcW w:w="40" w:type="dxa"/>
            <w:vAlign w:val="bottom"/>
          </w:tcPr>
          <w:p>
            <w:pPr>
              <w:spacing w:after="0"/>
              <w:rPr>
                <w:sz w:val="23"/>
                <w:szCs w:val="23"/>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Chief Investment Officer, A.P. Møller Holding A/S</w:t>
            </w: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Officers</w:t>
            </w:r>
          </w:p>
        </w:tc>
        <w:tc>
          <w:tcPr>
            <w:tcW w:w="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9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3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Martin Nørkjær Larsen</w:t>
            </w:r>
          </w:p>
        </w:tc>
        <w:tc>
          <w:tcPr>
            <w:tcW w:w="1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Denmark</w:t>
            </w:r>
          </w:p>
        </w:tc>
        <w:tc>
          <w:tcPr>
            <w:tcW w:w="40" w:type="dxa"/>
            <w:vAlign w:val="bottom"/>
          </w:tcPr>
          <w:p>
            <w:pPr>
              <w:spacing w:after="0"/>
              <w:rPr>
                <w:sz w:val="23"/>
                <w:szCs w:val="23"/>
                <w:color w:val="auto"/>
              </w:rPr>
            </w:pPr>
          </w:p>
        </w:tc>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A.P. Møller Holding A/S</w:t>
            </w:r>
          </w:p>
        </w:tc>
        <w:tc>
          <w:tcPr>
            <w:tcW w:w="20" w:type="dxa"/>
            <w:vAlign w:val="bottom"/>
          </w:tcPr>
          <w:p>
            <w:pPr>
              <w:spacing w:after="0"/>
              <w:rPr>
                <w:sz w:val="23"/>
                <w:szCs w:val="23"/>
                <w:color w:val="auto"/>
              </w:rPr>
            </w:pPr>
          </w:p>
        </w:tc>
      </w:tr>
      <w:tr>
        <w:trPr>
          <w:trHeight w:val="837"/>
        </w:trPr>
        <w:tc>
          <w:tcPr>
            <w:tcW w:w="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gridSpan w:val="3"/>
          </w:tcPr>
          <w:p>
            <w:pPr>
              <w:ind w:left="35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8"/>
        </w:trPr>
        <w:tc>
          <w:tcPr>
            <w:tcW w:w="580" w:type="dxa"/>
            <w:vAlign w:val="bottom"/>
          </w:tcPr>
          <w:p>
            <w:pPr>
              <w:spacing w:after="0"/>
              <w:rPr>
                <w:sz w:val="24"/>
                <w:szCs w:val="24"/>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w w:val="98"/>
              </w:rPr>
              <w:t>Exhibit</w:t>
            </w:r>
          </w:p>
        </w:tc>
        <w:tc>
          <w:tcPr>
            <w:tcW w:w="30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5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272"/>
        </w:trPr>
        <w:tc>
          <w:tcPr>
            <w:tcW w:w="1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Exhibit 99.1</w:t>
            </w:r>
          </w:p>
        </w:tc>
        <w:tc>
          <w:tcPr>
            <w:tcW w:w="98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Business Combination Agreement, dated as of November 10, 2021, by and among Noble Corporation, Noble Finco Limited, Noble</w:t>
            </w:r>
          </w:p>
        </w:tc>
      </w:tr>
      <w:tr>
        <w:trPr>
          <w:trHeight w:val="216"/>
        </w:trPr>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Newco Sub Limited and The Drilling Company of 1972 A/S (incorporated by reference to Exhibit 2.1 to the current report on Form</w:t>
            </w:r>
          </w:p>
        </w:tc>
      </w:tr>
      <w:tr>
        <w:trPr>
          <w:trHeight w:val="216"/>
        </w:trPr>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8-K filed by Noble Corporation (Commission File No. 001-36211) with the Securities and Exchange Commission on November</w:t>
            </w:r>
          </w:p>
        </w:tc>
      </w:tr>
      <w:tr>
        <w:trPr>
          <w:trHeight w:val="234"/>
        </w:trPr>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10, 2021).</w:t>
            </w:r>
          </w:p>
        </w:tc>
        <w:tc>
          <w:tcPr>
            <w:tcW w:w="84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454"/>
        </w:trPr>
        <w:tc>
          <w:tcPr>
            <w:tcW w:w="1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Exhibit 99.2</w:t>
            </w:r>
          </w:p>
        </w:tc>
        <w:tc>
          <w:tcPr>
            <w:tcW w:w="98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Relationship Agreement, dated as of October 3, 2022 by and among Noble Corporation plc, Noble Corporation, APMH Invest A/S,</w:t>
            </w:r>
          </w:p>
        </w:tc>
      </w:tr>
      <w:tr>
        <w:trPr>
          <w:trHeight w:val="216"/>
        </w:trPr>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and the Existing Investors named therein (incorporated by reference to Exhibit 10.3 to the current report on Form 8-K filed by</w:t>
            </w:r>
          </w:p>
        </w:tc>
      </w:tr>
      <w:tr>
        <w:trPr>
          <w:trHeight w:val="234"/>
        </w:trPr>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Noble Corporation plc (Commission File No. 333-261780) with the Securities and Exchange Commission on October 3, 2022).</w:t>
            </w:r>
          </w:p>
        </w:tc>
      </w:tr>
      <w:tr>
        <w:trPr>
          <w:trHeight w:val="454"/>
        </w:trPr>
        <w:tc>
          <w:tcPr>
            <w:tcW w:w="1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Exhibit 99.3</w:t>
            </w:r>
          </w:p>
        </w:tc>
        <w:tc>
          <w:tcPr>
            <w:tcW w:w="98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Registration Rights Agreement, dated as of October 3, 2022 by and among Noble Corporation plc and APMH Invest A/S</w:t>
            </w:r>
          </w:p>
        </w:tc>
      </w:tr>
      <w:tr>
        <w:trPr>
          <w:trHeight w:val="216"/>
        </w:trPr>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(incorporated by reference to Exhibit 10.2 to the current report on Form 8-K filed by Noble Corporation plc (Commission File No.</w:t>
            </w:r>
          </w:p>
        </w:tc>
      </w:tr>
      <w:tr>
        <w:trPr>
          <w:trHeight w:val="234"/>
        </w:trPr>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333-261780) with the Securities and Exchange Commission on October 3, 2022).</w:t>
            </w:r>
          </w:p>
        </w:tc>
      </w:tr>
      <w:tr>
        <w:trPr>
          <w:trHeight w:val="454"/>
        </w:trPr>
        <w:tc>
          <w:tcPr>
            <w:tcW w:w="14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Exhibit 99.4</w:t>
            </w:r>
          </w:p>
        </w:tc>
        <w:tc>
          <w:tcPr>
            <w:tcW w:w="982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Power of Attorney of A.P. Møller og Hustru Chastine Mc-Kinney Møllers Fond til almene Formaal, dated as of September 23,</w:t>
            </w:r>
          </w:p>
        </w:tc>
      </w:tr>
      <w:tr>
        <w:trPr>
          <w:trHeight w:val="234"/>
        </w:trPr>
        <w:tc>
          <w:tcPr>
            <w:tcW w:w="5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2022.</w:t>
            </w:r>
          </w:p>
        </w:tc>
        <w:tc>
          <w:tcPr>
            <w:tcW w:w="840" w:type="dxa"/>
            <w:vAlign w:val="bottom"/>
          </w:tcPr>
          <w:p>
            <w:pPr>
              <w:spacing w:after="0"/>
              <w:rPr>
                <w:sz w:val="20"/>
                <w:szCs w:val="20"/>
                <w:color w:val="auto"/>
              </w:rPr>
            </w:pPr>
          </w:p>
        </w:tc>
        <w:tc>
          <w:tcPr>
            <w:tcW w:w="4360" w:type="dxa"/>
            <w:vAlign w:val="bottom"/>
          </w:tcPr>
          <w:p>
            <w:pPr>
              <w:spacing w:after="0"/>
              <w:rPr>
                <w:sz w:val="20"/>
                <w:szCs w:val="20"/>
                <w:color w:val="auto"/>
              </w:rPr>
            </w:pPr>
          </w:p>
        </w:tc>
      </w:tr>
      <w:tr>
        <w:trPr>
          <w:trHeight w:val="621"/>
        </w:trPr>
        <w:tc>
          <w:tcPr>
            <w:tcW w:w="5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008" w:right="33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99.4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LIMITED POWER OF ATTORNEY</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A.P. Møller og Hustru Chastine Mc-Kinney Møllers Fond til almene Formaal, a commercial foundation established under the laws of Denmark (the “</w:t>
      </w:r>
      <w:r>
        <w:rPr>
          <w:rFonts w:ascii="Times New Roman" w:cs="Times New Roman" w:eastAsia="Times New Roman" w:hAnsi="Times New Roman"/>
          <w:sz w:val="18"/>
          <w:szCs w:val="18"/>
          <w:u w:val="single" w:color="auto"/>
          <w:color w:val="auto"/>
        </w:rPr>
        <w:t>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Moller Foundation</w:t>
      </w:r>
      <w:r>
        <w:rPr>
          <w:rFonts w:ascii="Times New Roman" w:cs="Times New Roman" w:eastAsia="Times New Roman" w:hAnsi="Times New Roman"/>
          <w:sz w:val="18"/>
          <w:szCs w:val="18"/>
          <w:color w:val="auto"/>
        </w:rPr>
        <w:t>”), does hereby make, constitute, and appoint each of Martin Nørkjær Larsen, Morten Stakroge and Erik Bergöö, acting individually, as its true and lawful attorney-in-fact, to act for the A.P. Moller Foundation and in the A.P. Moller Foundation’s name, place and stead, and to execute, deliver, and file, for and on behalf of the A.P. Moller Foundation, any and all agreements, forms and other documents that may be required as a result of or in connection with the A.P. Moller Foundation’s obligations under Section 13 and/or Section 16 of the Securities Exchange Act of 1934, as amended, in respect of shares in Noble Corporation plc, held directly or indirectly by the A.P. Moller Foundation.</w:t>
      </w:r>
    </w:p>
    <w:p>
      <w:pPr>
        <w:spacing w:after="0" w:line="187"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Any agreement, form or other document executed in the name of the A.P. Moller Foundation by any attorney-in-fact named above in accordance with this Limited Power of Attorney shall fully bind and commit the A.P. Moller Foundation and all other parties to such documents may rely upon the execution thereof by such attorney-in-fact as if executed by the A.P. Moller Foundation and as the true and lawful act of the A.P. Moller Foundation, and the A.P. Moller Foundation hereby ratifies and confirms all that any such attorney-in-fact shall lawfully do or cause to be done by virtue hereof.</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This Limited Power of Attorney shall automatically terminate as to the authority of any attorney-in-fact named above in the event of such attorney-in-fact’s resignation or termination as an officer or employee of A.P. Møller Holding A/S; however, any such resignation or termination shall have no effect on any agreement, form or other document duly executed by such attorney-in-fact prior to such resignation or termination. In addition, the A.P. Moller Foundation may at any time terminate this Limited Power of Attorney in full by giving written notice to A.P. Møller Holding A/S; provided that such termination shall have no effect on any agreement, form or other document duly executed by any attorney-in-fact hereunder prior to such termination.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this Limited Power of Attorney has been executed and delivered by the undersigned as of 23 September 2022.</w:t>
      </w:r>
    </w:p>
    <w:p>
      <w:pPr>
        <w:spacing w:after="0" w:line="248"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A.P. MØLLER OG HUSTRU CHASTINE MC-KINNEY</w:t>
      </w:r>
    </w:p>
    <w:p>
      <w:pPr>
        <w:spacing w:after="0" w:line="31"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MØLLERS FOND TIL ALMENE FORMAAL</w:t>
      </w:r>
    </w:p>
    <w:p>
      <w:pPr>
        <w:spacing w:after="0" w:line="200" w:lineRule="exact"/>
        <w:rPr>
          <w:sz w:val="20"/>
          <w:szCs w:val="20"/>
          <w:color w:val="auto"/>
        </w:rPr>
      </w:pPr>
    </w:p>
    <w:p>
      <w:pPr>
        <w:spacing w:after="0" w:line="250" w:lineRule="exact"/>
        <w:rPr>
          <w:sz w:val="20"/>
          <w:szCs w:val="20"/>
          <w:color w:val="auto"/>
        </w:rPr>
      </w:pPr>
    </w:p>
    <w:p>
      <w:pPr>
        <w:ind w:left="5320"/>
        <w:spacing w:after="0"/>
        <w:tabs>
          <w:tab w:leader="none" w:pos="5760" w:val="left"/>
        </w:tabs>
        <w:rPr>
          <w:sz w:val="20"/>
          <w:szCs w:val="20"/>
          <w:color w:val="auto"/>
        </w:rPr>
      </w:pPr>
      <w:r>
        <w:rPr>
          <w:rFonts w:ascii="Times New Roman" w:cs="Times New Roman" w:eastAsia="Times New Roman" w:hAnsi="Times New Roman"/>
          <w:sz w:val="18"/>
          <w:szCs w:val="18"/>
          <w:color w:val="auto"/>
        </w:rPr>
        <w:t>By:</w:t>
        <w:tab/>
        <w:t>/s/ Mads Lebech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34290</wp:posOffset>
            </wp:positionV>
            <wp:extent cx="28460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57"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Name: Mads Lebech</w:t>
      </w:r>
    </w:p>
    <w:p>
      <w:pPr>
        <w:spacing w:after="0" w:line="63"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Title: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925830</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11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bullet"/>
      <w:start w:val="1"/>
    </w:lvl>
  </w:abstractNum>
  <w:abstractNum w:abstractNumId="1">
    <w:nsid w:val="41B71EFB"/>
    <w:multiLevelType w:val="hybridMultilevel"/>
    <w:lvl w:ilvl="0">
      <w:lvlJc w:val="left"/>
      <w:lvlText w:val="2"/>
      <w:numFmt w:val="bullet"/>
      <w:start w:val="1"/>
    </w:lvl>
    <w:lvl w:ilvl="1">
      <w:lvlJc w:val="left"/>
      <w:lvlText w:val="(%2)"/>
      <w:numFmt w:val="lowerLetter"/>
      <w:start w:val="1"/>
    </w:lvl>
  </w:abstractNum>
  <w:abstractNum w:abstractNumId="2">
    <w:nsid w:val="79E2A9E3"/>
    <w:multiLevelType w:val="hybridMultilevel"/>
    <w:lvl w:ilvl="0">
      <w:lvlJc w:val="left"/>
      <w:lvlText w:val="%1"/>
      <w:numFmt w:val="decimal"/>
      <w:start w:val="11"/>
    </w:lvl>
  </w:abstractNum>
  <w:abstractNum w:abstractNumId="3">
    <w:nsid w:val="7545E146"/>
    <w:multiLevelType w:val="hybridMultilevel"/>
    <w:lvl w:ilvl="0">
      <w:lvlJc w:val="left"/>
      <w:lvlText w:val="1"/>
      <w:numFmt w:val="bullet"/>
      <w:start w:val="1"/>
    </w:lvl>
  </w:abstractNum>
  <w:abstractNum w:abstractNumId="4">
    <w:nsid w:val="515F007C"/>
    <w:multiLevelType w:val="hybridMultilevel"/>
    <w:lvl w:ilvl="0">
      <w:lvlJc w:val="left"/>
      <w:lvlText w:val="2"/>
      <w:numFmt w:val="bullet"/>
      <w:start w:val="1"/>
    </w:lvl>
    <w:lvl w:ilvl="1">
      <w:lvlJc w:val="left"/>
      <w:lvlText w:val="(%2)"/>
      <w:numFmt w:val="lowerLetter"/>
      <w:start w:val="1"/>
    </w:lvl>
  </w:abstractNum>
  <w:abstractNum w:abstractNumId="5">
    <w:nsid w:val="5BD062C2"/>
    <w:multiLevelType w:val="hybridMultilevel"/>
    <w:lvl w:ilvl="0">
      <w:lvlJc w:val="left"/>
      <w:lvlText w:val="%1"/>
      <w:numFmt w:val="decimal"/>
      <w:start w:val="11"/>
    </w:lvl>
  </w:abstractNum>
  <w:abstractNum w:abstractNumId="6">
    <w:nsid w:val="12200854"/>
    <w:multiLevelType w:val="hybridMultilevel"/>
    <w:lvl w:ilvl="0">
      <w:lvlJc w:val="left"/>
      <w:lvlText w:val="1"/>
      <w:numFmt w:val="bullet"/>
      <w:start w:val="1"/>
    </w:lvl>
  </w:abstractNum>
  <w:abstractNum w:abstractNumId="7">
    <w:nsid w:val="4DB127F8"/>
    <w:multiLevelType w:val="hybridMultilevel"/>
    <w:lvl w:ilvl="0">
      <w:lvlJc w:val="left"/>
      <w:lvlText w:val="2"/>
      <w:numFmt w:val="bullet"/>
      <w:start w:val="1"/>
    </w:lvl>
    <w:lvl w:ilvl="1">
      <w:lvlJc w:val="left"/>
      <w:lvlText w:val="(%2)"/>
      <w:numFmt w:val="lowerLetter"/>
      <w:start w:val="1"/>
    </w:lvl>
  </w:abstractNum>
  <w:abstractNum w:abstractNumId="8">
    <w:nsid w:val="216231B"/>
    <w:multiLevelType w:val="hybridMultilevel"/>
    <w:lvl w:ilvl="0">
      <w:lvlJc w:val="left"/>
      <w:lvlText w:val="%1"/>
      <w:numFmt w:val="decimal"/>
      <w:start w:val="11"/>
    </w:lvl>
  </w:abstractNum>
  <w:abstractNum w:abstractNumId="9">
    <w:nsid w:val="1F16E9E8"/>
    <w:multiLevelType w:val="hybridMultilevel"/>
    <w:lvl w:ilvl="0">
      <w:lvlJc w:val="left"/>
      <w:lvlText w:val="(%1)"/>
      <w:numFmt w:val="lowerRoman"/>
      <w:start w:val="2"/>
    </w:lvl>
  </w:abstractNum>
  <w:abstractNum w:abstractNumId="10">
    <w:nsid w:val="1190CDE7"/>
    <w:multiLevelType w:val="hybridMultilevel"/>
    <w:lvl w:ilvl="0">
      <w:lvlJc w:val="left"/>
      <w:lvlText w:val="(%1)"/>
      <w:numFmt w:val="lowerRoman"/>
      <w:start w:val="1"/>
    </w:lvl>
  </w:abstractNum>
  <w:abstractNum w:abstractNumId="11">
    <w:nsid w:val="66EF438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2022-10-13T09:02:54Z</dcterms:created>
  <dcterms:modified xsi:type="dcterms:W3CDTF">2022-10-13T09:02:54Z</dcterms:modified>
</cp:coreProperties>
</file>