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1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-235585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20" w:type="dxa"/>
            <w:vAlign w:val="bottom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-631825</wp:posOffset>
            </wp:positionV>
            <wp:extent cx="58420" cy="6451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3996690</wp:posOffset>
            </wp:positionH>
            <wp:positionV relativeFrom="paragraph">
              <wp:posOffset>-631825</wp:posOffset>
            </wp:positionV>
            <wp:extent cx="58420" cy="6451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24130</wp:posOffset>
            </wp:positionV>
            <wp:extent cx="7045960" cy="50501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0501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16" w:right="359" w:bottom="1440" w:gutter="0" w:footer="0" w:header="0"/>
        </w:sectPr>
      </w:pP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IPSEN MIKKEL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13135 DAIRY ASHFORD, SUITE 800</w:t>
            </w: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3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SUGAR LAND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77478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3840" w:type="dxa"/>
            <w:vAlign w:val="bottom"/>
            <w:gridSpan w:val="4"/>
          </w:tcPr>
          <w:p>
            <w:pPr>
              <w:ind w:left="60"/>
              <w:spacing w:after="0" w:line="208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Noble Corp plc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NE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01/26/2024</w:t>
            </w: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SVP, Human Resources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6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7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ind w:left="320" w:right="580"/>
        <w:spacing w:after="0" w:line="25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6,792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right"/>
              <w:ind w:right="2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01/26/2024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6,792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Ordinary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14,308</w:t>
            </w: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(RSU) represents a contingent right to receive one Class A Ordinary Share.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RSUs vest in three equal annual installments beginning on the first anniversary of the grant date.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2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Jennie Howard, as attorney-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01/30/2024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-27305</wp:posOffset>
            </wp:positionV>
            <wp:extent cx="133350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-19685</wp:posOffset>
            </wp:positionV>
            <wp:extent cx="28003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0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5581015</wp:posOffset>
            </wp:positionH>
            <wp:positionV relativeFrom="paragraph">
              <wp:posOffset>-85725</wp:posOffset>
            </wp:positionV>
            <wp:extent cx="4895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5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945993" TargetMode="External"/><Relationship Id="rId13" Type="http://schemas.openxmlformats.org/officeDocument/2006/relationships/hyperlink" Target="http://www.sec.gov/cgi-bin/browse-edgar?action=getcompany&amp;CIK=000189526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2024-01-30T15:58:19Z</dcterms:created>
  <dcterms:modified xsi:type="dcterms:W3CDTF">2024-01-30T15:58:19Z</dcterms:modified>
</cp:coreProperties>
</file>