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NOBLE CORPORATION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001-41520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98-1644664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7"/>
          <w:szCs w:val="17"/>
          <w:b w:val="1"/>
          <w:bCs w:val="1"/>
          <w:color w:val="auto"/>
        </w:rPr>
        <w:t>13135 Dairy Ashford, Suite 800</w:t>
      </w:r>
    </w:p>
    <w:p>
      <w:pPr>
        <w:spacing w:after="0" w:line="43" w:lineRule="exact"/>
        <w:rPr>
          <w:sz w:val="24"/>
          <w:szCs w:val="24"/>
          <w:color w:val="auto"/>
        </w:rPr>
      </w:pPr>
    </w:p>
    <w:p>
      <w:pPr>
        <w:ind w:left="2064"/>
        <w:spacing w:after="0"/>
        <w:rPr>
          <w:sz w:val="20"/>
          <w:szCs w:val="20"/>
          <w:color w:val="auto"/>
        </w:rPr>
      </w:pPr>
      <w:r>
        <w:rPr>
          <w:rFonts w:ascii="Times New Roman" w:cs="Times New Roman" w:eastAsia="Times New Roman" w:hAnsi="Times New Roman"/>
          <w:sz w:val="18"/>
          <w:szCs w:val="18"/>
          <w:b w:val="1"/>
          <w:bCs w:val="1"/>
          <w:color w:val="auto"/>
        </w:rPr>
        <w:t>Sugar Land, Texas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77478</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 276-6100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 Ordinary Shares,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10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retirement of William Turcotte, current Senior Vice President, General Counsel and Corporate Secretary of Noble Corporation plc (the “Company” or “</w:t>
      </w:r>
      <w:r>
        <w:rPr>
          <w:rFonts w:ascii="Times New Roman" w:cs="Times New Roman" w:eastAsia="Times New Roman" w:hAnsi="Times New Roman"/>
          <w:sz w:val="18"/>
          <w:szCs w:val="18"/>
          <w:b w:val="1"/>
          <w:bCs w:val="1"/>
          <w:i w:val="1"/>
          <w:iCs w:val="1"/>
          <w:color w:val="auto"/>
        </w:rPr>
        <w:t>Noble</w:t>
      </w:r>
      <w:r>
        <w:rPr>
          <w:rFonts w:ascii="Times New Roman" w:cs="Times New Roman" w:eastAsia="Times New Roman" w:hAnsi="Times New Roman"/>
          <w:sz w:val="18"/>
          <w:szCs w:val="18"/>
          <w:color w:val="auto"/>
        </w:rPr>
        <w:t>”), on February 3, 2023, Mr. Turcotte and a subsidiary of the Company entered into a transition and retirement agreement (the “</w:t>
      </w:r>
      <w:r>
        <w:rPr>
          <w:rFonts w:ascii="Times New Roman" w:cs="Times New Roman" w:eastAsia="Times New Roman" w:hAnsi="Times New Roman"/>
          <w:sz w:val="18"/>
          <w:szCs w:val="18"/>
          <w:b w:val="1"/>
          <w:bCs w:val="1"/>
          <w:i w:val="1"/>
          <w:iCs w:val="1"/>
          <w:color w:val="auto"/>
        </w:rPr>
        <w:t>Transition and Retirement Agreement</w:t>
      </w:r>
      <w:r>
        <w:rPr>
          <w:rFonts w:ascii="Times New Roman" w:cs="Times New Roman" w:eastAsia="Times New Roman" w:hAnsi="Times New Roman"/>
          <w:sz w:val="18"/>
          <w:szCs w:val="18"/>
          <w:color w:val="auto"/>
        </w:rPr>
        <w:t>”). Pursuant to the Transition and Retirement Agreement, Mr. Turcotte will continue to serve in his current role until April 1, 2023, at which time he will transition out of his role and serve as Senior Advisor to the Chief Executive Officer through February 2024 (the “</w:t>
      </w:r>
      <w:r>
        <w:rPr>
          <w:rFonts w:ascii="Times New Roman" w:cs="Times New Roman" w:eastAsia="Times New Roman" w:hAnsi="Times New Roman"/>
          <w:sz w:val="18"/>
          <w:szCs w:val="18"/>
          <w:b w:val="1"/>
          <w:bCs w:val="1"/>
          <w:i w:val="1"/>
          <w:iCs w:val="1"/>
          <w:color w:val="auto"/>
        </w:rPr>
        <w:t>Transition Period</w:t>
      </w:r>
      <w:r>
        <w:rPr>
          <w:rFonts w:ascii="Times New Roman" w:cs="Times New Roman" w:eastAsia="Times New Roman" w:hAnsi="Times New Roman"/>
          <w:sz w:val="18"/>
          <w:szCs w:val="18"/>
          <w:color w:val="auto"/>
        </w:rPr>
        <w:t>”). Mr. Turcotte will be succeeded in his current role by Jennie Howard, the current Vice President, Associate General Counsel, and Assistant Corporate Secretary. Mr. Turcotte’s role as Senior Advisor and his employment with the Company is expected to terminate in February 2024 (with the actual date of such termination as determined by the Company, the “</w:t>
      </w:r>
      <w:r>
        <w:rPr>
          <w:rFonts w:ascii="Times New Roman" w:cs="Times New Roman" w:eastAsia="Times New Roman" w:hAnsi="Times New Roman"/>
          <w:sz w:val="18"/>
          <w:szCs w:val="18"/>
          <w:b w:val="1"/>
          <w:bCs w:val="1"/>
          <w:i w:val="1"/>
          <w:iCs w:val="1"/>
          <w:color w:val="auto"/>
        </w:rPr>
        <w:t>Separation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During the Transition Period, Mr. Turcotte will continue to receive his current base salary and continue to participate in the Company’s benefit plans. Subject to Mr. Turcotte’s continued employment through the end of the Transition Period (and his not being terminated prior to the end of the Transition Period by the Company for “cause” or by him without “good reason,” as such terms are generally defined in his employment agreement with the Company, as modified by the Transition and Retirement Agreement), Mr. Turcotte will receive the following payments and benefits: (i) two (2) times the sum of (A) Mr. Turcotte’s base salary and (B) Mr. Turcotte’s target annual bonus (calculated as 70% of his annual base salary), (ii) an amount equal to eighteen (18) multiplied by the amount of the monthly premium for continuation coverage under the Consolidated Omnibus Budget Reconciliation Act of 1985, as amended, for Mr. Turcotte (and his covered dependents, if applicable) under the group health plan of the Company and</w:t>
      </w:r>
    </w:p>
    <w:p>
      <w:pPr>
        <w:spacing w:after="0" w:line="3" w:lineRule="exact"/>
        <w:rPr>
          <w:sz w:val="20"/>
          <w:szCs w:val="20"/>
          <w:color w:val="auto"/>
        </w:rPr>
      </w:pPr>
    </w:p>
    <w:p>
      <w:pPr>
        <w:ind w:left="4" w:hanging="4"/>
        <w:spacing w:after="0" w:line="251"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Turcotte’s annual bonus for calendar year 2023, based on actual performance of his duties set forth in the Transition and Retirement Agreement as determined in the Company’s sole good faith discretion, in each case, payable in a lump sum within sixty (60) days following the Separation Date. Mr. Turcotte is also eligible for reimbursement of expenses relating to outplacement services, up to $50,000, and his then-outstanding restricted stock units, to the extent unvested, will accelerate and become fully vested (with, in the case of awards which vest based on the achievement of specified performance metrics, performance deemed achieved at the “target” level, other than with respect to performance metrics for which performance has previously been determined) (together with the foregoing clauses (i)-(iii),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 The Severance Benefits are conditioned upon Mr. Turcotte’s release of all claims in favor of the Company and his continued compliance with his existing restrictive covenant obligations and a mutual non-disparagement covenant.</w:t>
      </w:r>
    </w:p>
    <w:p>
      <w:pPr>
        <w:spacing w:after="0" w:line="194"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foregoing is not a complete description of the parties’ rights and obligations under the Transition and Retirement Agreement and is qualified by reference to the full text and terms of the Transition and Retirement Agreement, which is filed as Exhibit 10.1 to this report and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5.08</w:t>
      </w:r>
      <w:r>
        <w:rPr>
          <w:sz w:val="20"/>
          <w:szCs w:val="20"/>
          <w:color w:val="auto"/>
        </w:rPr>
        <w:tab/>
      </w:r>
      <w:r>
        <w:rPr>
          <w:rFonts w:ascii="Times New Roman" w:cs="Times New Roman" w:eastAsia="Times New Roman" w:hAnsi="Times New Roman"/>
          <w:sz w:val="17"/>
          <w:szCs w:val="17"/>
          <w:b w:val="1"/>
          <w:bCs w:val="1"/>
          <w:color w:val="auto"/>
        </w:rPr>
        <w:t>Shareholder Director Nominations.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To the extent applicable, the information set forth in Item 8.01 of this Current Report on Form 8-K is incorporated by reference into this Item 5.08.</w:t>
      </w:r>
    </w:p>
    <w:p>
      <w:pPr>
        <w:spacing w:after="0" w:line="38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7"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On January 31, 2023, the Board of Directors of Noble determined that Noble’s 2023 Annual General Meeting of Shareholders (the “</w:t>
      </w:r>
      <w:r>
        <w:rPr>
          <w:rFonts w:ascii="Times New Roman" w:cs="Times New Roman" w:eastAsia="Times New Roman" w:hAnsi="Times New Roman"/>
          <w:sz w:val="18"/>
          <w:szCs w:val="18"/>
          <w:b w:val="1"/>
          <w:bCs w:val="1"/>
          <w:i w:val="1"/>
          <w:iCs w:val="1"/>
          <w:color w:val="auto"/>
        </w:rPr>
        <w:t>2023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will be held on Tuesday, May 2, 2023. The time and location of the 2023 Annual Meeting will be specified in Noble’s proxy materials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Annual Meeting.</w:t>
      </w:r>
    </w:p>
    <w:p>
      <w:pPr>
        <w:spacing w:after="0" w:line="17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Any shareholder proposal intended to be considered for inclusion in Noble’s proxy materials for the 2023 Annual Meeting in accordance with Rule 14a-8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must be delivered to, or mailed and received by, Noble’s Corporate Secretary at its principal executive offices at 13135 Dairy Ashford, Suite 800, Sugar Land, Texas 77478 on or before the close of business on February 22, 2023, which Noble has determined to be a reasonable time before it expects to begin to print and distribute its proxy materials prior to the 2023 Annual Meeting. In addition to complying with this deadline, shareholder proposals intended to be considered for inclusion in Noble’s proxy materials for the 2023 Annual Meeting must also comply with all applicable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rules.</w:t>
      </w:r>
    </w:p>
    <w:p>
      <w:pPr>
        <w:sectPr>
          <w:pgSz w:w="11900" w:h="16838" w:orient="portrait"/>
          <w:cols w:equalWidth="0" w:num="1">
            <w:col w:w="11004"/>
          </w:cols>
          <w:pgMar w:left="436" w:top="293" w:right="459" w:bottom="1440" w:gutter="0" w:footer="0" w:header="0"/>
        </w:sectPr>
      </w:pPr>
    </w:p>
    <w:bookmarkStart w:id="2" w:name="page3"/>
    <w:bookmarkEnd w:id="2"/>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accordance with Noble’s Amended and Restated Articles of Association, any shareholder who intends to submit a director nomination or who intends to submit a proposal regarding any other matter of business at the 2023 Annual Meeting and does not desire to have that proposal included in Noble’s proxy materials for the 2023 Annual Meeting must ensure that notice of any such nomination or proposal (including certain additional information specified in Noble’s Amended and Restated Articles of Association) is delivered to, or mailed and received by, Noble’s Corporate Secretary at its principal executive offices at 13135 Dairy Ashford, Suite 800, Sugar Land, Texas 77478 on or before the close of business on February 22, 2023.</w:t>
      </w:r>
    </w:p>
    <w:p>
      <w:pPr>
        <w:spacing w:after="0" w:line="16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requirements under Noble’s Amended and Restated Articles of Association, to comply with the SEC’s universal proxy rules, shareholders who intend to solicit proxies in support of director nominees other than Noble’s nominees must provide notice that sets forth the information required by Rule 14a-19 under the Exchange Act no later than March 3, 2023.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80" w:type="dxa"/>
            <w:vAlign w:val="bottom"/>
          </w:tcPr>
          <w:p>
            <w:pPr>
              <w:spacing w:after="0"/>
              <w:rPr>
                <w:sz w:val="20"/>
                <w:szCs w:val="20"/>
                <w:color w:val="auto"/>
              </w:rPr>
            </w:pPr>
          </w:p>
        </w:tc>
        <w:tc>
          <w:tcPr>
            <w:tcW w:w="99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0" w:type="dxa"/>
            <w:vAlign w:val="bottom"/>
          </w:tcPr>
          <w:p>
            <w:pPr>
              <w:spacing w:after="0"/>
              <w:rPr>
                <w:sz w:val="1"/>
                <w:szCs w:val="1"/>
                <w:color w:val="auto"/>
              </w:rPr>
            </w:pPr>
          </w:p>
        </w:tc>
      </w:tr>
      <w:tr>
        <w:trPr>
          <w:trHeight w:val="36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0" w:type="dxa"/>
            <w:vAlign w:val="bottom"/>
            <w:gridSpan w:val="2"/>
            <w:vMerge w:val="restart"/>
          </w:tcPr>
          <w:p>
            <w:pPr>
              <w:ind w:left="2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96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Transition and Retirement Agreement, dated as of February 3, 2023, by and among Noble Services Company LLC, Noble Corporation plc</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and William E. Turcotte.</w:t>
            </w:r>
          </w:p>
        </w:tc>
        <w:tc>
          <w:tcPr>
            <w:tcW w:w="8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Eifler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Robert W. Eifler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820"/>
          </w:cols>
          <w:pgMar w:left="440" w:top="293" w:right="6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AND RETIREMENT AGREEMENT</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Transition and Retirement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between William Turcotte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Noble Services Company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Noble Corporation plc, a public limited company organized under the laws of England and Wales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Executive and the Company are party to that certain employment agreement dated as of February 5, 2021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Executive will transition from his position as Senior Vice President, General Counsel and Corporate Secretary of the Company effective as of the Transition Date and retire as an employee of the Company effective as of the Separation Date (each, as defined below).</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the promises and covenants set forth herein and for such other good and valuable consideration, the receipt of which is hereby acknowledged, the Executive and the Company enter into this Agreement on the following terms and conditions:</w:t>
      </w:r>
    </w:p>
    <w:p>
      <w:pPr>
        <w:spacing w:after="0" w:line="54"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Separation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Executive will continue to be employed as the Senior Vice President, General Counsel and Corporate Secretary of the Company from the date of this Agreement through April 1, 2023 (the “</w:t>
      </w:r>
      <w:r>
        <w:rPr>
          <w:rFonts w:ascii="Times New Roman" w:cs="Times New Roman" w:eastAsia="Times New Roman" w:hAnsi="Times New Roman"/>
          <w:sz w:val="18"/>
          <w:szCs w:val="18"/>
          <w:u w:val="single" w:color="auto"/>
          <w:color w:val="auto"/>
        </w:rPr>
        <w:t>Transition Date</w:t>
      </w:r>
      <w:r>
        <w:rPr>
          <w:rFonts w:ascii="Times New Roman" w:cs="Times New Roman" w:eastAsia="Times New Roman" w:hAnsi="Times New Roman"/>
          <w:sz w:val="18"/>
          <w:szCs w:val="18"/>
          <w:color w:val="auto"/>
        </w:rPr>
        <w:t>”). Following the Transition Date, the Executive will continue to be employed by the Company as a full-time employee of the Company in the capacity of Senior Advisor to the Chief Executive Officer, from the Transition Date through the date determined by the Company in its sole discretion that is no earlier than February 1, 2024 and no later than February 28, 2024, unless earlier terminated by the Company for Cause (as defined herein) or by the Executive for any reason (the date of the Executive’s actual termination of employment with the Company, including in the event of Executive’s death or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(as defined in the Employment Agreement),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As Senior Advisor to the Chief Executive Officer, Executive’s duties will be comprised of the following: reasonably assist with the transition of Executive’s former role to his successor; provide strategic advice and support to the Company’s Chief Executive Officer; and only such other duties as may be agreed in writing between the Chief Executive Office and Executive following the Transition Date.</w:t>
      </w:r>
    </w:p>
    <w:p>
      <w:pPr>
        <w:spacing w:after="0" w:line="80" w:lineRule="exact"/>
        <w:rPr>
          <w:sz w:val="20"/>
          <w:szCs w:val="20"/>
          <w:color w:val="auto"/>
        </w:rPr>
      </w:pPr>
    </w:p>
    <w:p>
      <w:pPr>
        <w:ind w:right="20" w:firstLine="987"/>
        <w:spacing w:after="0" w:line="254"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Transition Date through the Separation Date, the Executive will continue to receive the Executive’s Base Salary (as defined in the Employment Agreement) at its current rate of $470,000 per year, receive an Annual Bonus for the 2022 as contemplated in the Employment Agreement, and participate in the Company’s employee benefit plans in accordance with their terms. Except as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the Executive will not be eligible for an annual bonus with respect to the 2023 or 2024 fiscal years, and the Executive will not be eligible for an annual equity award grant with respect to the 2023 or 2024 fiscal years. For the avoidance of doubt, except as expressly provided herein, prior to the Separation Date, the Executive’s employment with the Company will continue to be governed in all respects with the terms and conditions set forth in the Employment Agreement, provided that the provisions of this Agreement (including, but not limited to, the change in the Executive’s duties and responsibilities and the changes to the Executive’s equity and non-equity incentive compensation as contemplated by this</w:t>
      </w:r>
    </w:p>
    <w:p>
      <w:pPr>
        <w:sectPr>
          <w:pgSz w:w="11900" w:h="16838" w:orient="portrait"/>
          <w:cols w:equalWidth="0" w:num="1">
            <w:col w:w="11020"/>
          </w:cols>
          <w:pgMar w:left="440" w:top="117" w:right="439" w:bottom="1440" w:gutter="0" w:footer="0" w:header="0"/>
        </w:sectPr>
      </w:pPr>
    </w:p>
    <w:bookmarkStart w:id="5" w:name="page6"/>
    <w:bookmarkEnd w:id="5"/>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shall in no event constitute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purposes of the Employment Agreement or any other agreement or arrangement by and between the Executive and the Company or any of its affiliates, including but not limited to the Equity Agreements (as defined below). Further for the avoidance of doubt, the parties do not intend that the Employment Term (as defined in the Employment Agreement) be extended beyond the Initial Employment Term (as defined in the Employment Agreement) other than in connection with the performance of this Agreement, and this Agreement serves as prior written notice that the Employment Term shall not otherwise be extended.</w:t>
      </w:r>
    </w:p>
    <w:p>
      <w:pPr>
        <w:spacing w:after="0" w:line="75" w:lineRule="exact"/>
        <w:rPr>
          <w:sz w:val="20"/>
          <w:szCs w:val="20"/>
          <w:color w:val="auto"/>
        </w:rPr>
      </w:pPr>
    </w:p>
    <w:p>
      <w:pPr>
        <w:jc w:val="both"/>
        <w:ind w:right="40" w:firstLine="987"/>
        <w:spacing w:after="0" w:line="258" w:lineRule="auto"/>
        <w:tabs>
          <w:tab w:leader="none" w:pos="12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as of the Transition Date (unless otherwise mutually agreed by the parties), the Executive will resign (and will be deemed to have resigned without any further action by the Executive) from his position as the Senior Vice President, General Counsel and Corporate Secretary of the Company, and, except as expressly provided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from all of the Executive’s other positions with the Company and its affiliates (and as a fiduciary of any benefit plan of the Company and its affiliates). The Executive shall execute such additional documents as reasonably requested by the Company to evidence the foregoing resignations.</w:t>
      </w:r>
    </w:p>
    <w:p>
      <w:pPr>
        <w:spacing w:after="0" w:line="75"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order to receive the Severance Benefits (as defined below), the Executive must not voluntarily terminate his employment prior to the Separation Date (other than in the event of Good Reason as set forth in the Employment Agreement and as modified above, or a material breach of this Agreement by the Company, which shall also be considered Good Reason (together “Good Reason”), subject, in each case, to the notice and cure provisions set forth in the definition of Good Reason in the Employment Agreement) or be terminated by the Company for Cause prior to the Separation Date; provided, however, that in the event of the Executive’s death or Disability (or termination for Good Reason ), the Executive (or the Executive’s estate) will be entitled to receive the Severance Benefits in accordance with the terms and conditions of this Agreement. For this purpose, “Cause” has the meaning set forth in the Employment Agreement, provided that clauses (i) and (ii) thereof will be deleted and replaced in their entirety with the following: “(i) the willful and continued failure of the Executive to perform substantially the Executive’s duties (other than any such failure resulting from bodily injury or disease or any other incapacity due to mental or physical illness) after a written demand for substantial performance is delivered to the Executive by the Chief Executive Officer of the Company, which specifically identifies the manner in which the Chief Executive Officer of the Company believes the Executive has not substantially performed the Executive’s duties and identifying the manner of performance expected; (ii) the willful refusal to comply with the lawful instructions of the Chief Executive Officer of the Company that are consistent with the Executive’s position, which failure, to the extent curable, is not cured within fifteen (15) days following receipt of written notice from the Company or such other later time as may be reasonably required for such compliance in the Company’s sole reasonable, good faith discretion.</w:t>
      </w:r>
    </w:p>
    <w:p>
      <w:pPr>
        <w:spacing w:after="0" w:line="8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Compensation; Severance; Survival of Rights and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Compensation</w:t>
      </w:r>
      <w:r>
        <w:rPr>
          <w:rFonts w:ascii="Times New Roman" w:cs="Times New Roman" w:eastAsia="Times New Roman" w:hAnsi="Times New Roman"/>
          <w:sz w:val="18"/>
          <w:szCs w:val="18"/>
          <w:color w:val="auto"/>
        </w:rPr>
        <w:t>. Within thirty (30) business days following the Separation Date (or such earlier time as may be required by applicable law), the Company shall pay the Executive (i) the Executive’s Base Salary for the final payroll period of the Executive’s employment through the Separation Date, (ii) any vacation time earned but not used as of the Separation Date, (iii) reimbursement for business expenses incurred by the Executive but not yet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paid to the Executive as of the Separation Date; provided that the Executive submits all expenses and supporting documentation required within sixty</w:t>
      </w:r>
    </w:p>
    <w:p>
      <w:pPr>
        <w:spacing w:after="0" w:line="27" w:lineRule="exact"/>
        <w:rPr>
          <w:sz w:val="20"/>
          <w:szCs w:val="20"/>
          <w:color w:val="auto"/>
        </w:rPr>
      </w:pPr>
    </w:p>
    <w:p>
      <w:pPr>
        <w:ind w:left="4" w:right="60" w:hanging="4"/>
        <w:spacing w:after="0" w:line="253" w:lineRule="auto"/>
        <w:tabs>
          <w:tab w:leader="none" w:pos="3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Separation Date, and provided further that such expenses are reimbursable under Company policies as then in effect; and (iv) any amounts or benefits due to the Executive under any benefit or equity plan, program or arrangement in accordance with the terms of such plan, program or arrangement. The Executive shall also receive his vested and accrued benefits pursuant to the terms of any applicable Company employee benefit plans, which vested and accrued benefits shall be paid or provided to the Executive in accordance with the terms of such applicable Company employee benefit plans.</w:t>
      </w:r>
    </w:p>
    <w:p>
      <w:pPr>
        <w:spacing w:after="0" w:line="7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Provided that the Second Release Effective Date (as defined below) occurs, and subject to the Executive’s compliance in all material respects with the terms and conditions of this Agreement, the Company agrees to pay to Executive an amount equal to the sum of (i) two (2) times the sum of (A) the Executive’s Base Salary (as defined in the Employment Agreement) and (B) Executive’s Annual Bonus (as defined in the Employment Agreement), determined by multiplying his Target Percentage (as defined in the Employment Agreement) of 70% by his Base Salary, and (ii) an amount equal to eighteen (18) multiplied by the amount of the monthly premium for continuation coverage under the Consolidated Omnibus Budget Reconciliation Act of 1985, as amended, for the Executive (and his covered dependents, if applicable) under the group health plan of the Company as of the Separation Date and (iii) the Executive’s Annual Bonus for calendar year 2023, with the amount determined based on actual performance of Executive’s duties in the sole good faith discretion of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and the Chief Executive Officer of the Company (such payments, less applicable federal, state, and local withholdings, taxes and any other deductions required by law, the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which shall be paid in a lump sum within sixty (60) days following the Separation Date.</w:t>
      </w:r>
    </w:p>
    <w:p>
      <w:pPr>
        <w:spacing w:after="0" w:line="86" w:lineRule="exact"/>
        <w:rPr>
          <w:rFonts w:ascii="Times New Roman" w:cs="Times New Roman" w:eastAsia="Times New Roman" w:hAnsi="Times New Roman"/>
          <w:sz w:val="18"/>
          <w:szCs w:val="18"/>
          <w:color w:val="auto"/>
        </w:rPr>
      </w:pPr>
    </w:p>
    <w:p>
      <w:pPr>
        <w:jc w:val="both"/>
        <w:ind w:left="4" w:right="220" w:firstLine="987"/>
        <w:spacing w:after="0" w:line="272" w:lineRule="auto"/>
        <w:tabs>
          <w:tab w:leader="none" w:pos="12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Outplacement Services</w:t>
      </w:r>
      <w:r>
        <w:rPr>
          <w:rFonts w:ascii="Times New Roman" w:cs="Times New Roman" w:eastAsia="Times New Roman" w:hAnsi="Times New Roman"/>
          <w:sz w:val="17"/>
          <w:szCs w:val="17"/>
          <w:color w:val="auto"/>
        </w:rPr>
        <w:t>. Provided that the Second Release Effective Date occurs, and subject to the Executive’s compliance with the terms and conditions of this Agreement, during the six (6)-month period following the Separation Date, the Company will provide the Executive with outplacement services the scope and provider of which shall be selected by the Executive in the Executive’s sole discretion, provided, however that</w:t>
      </w:r>
    </w:p>
    <w:p>
      <w:pPr>
        <w:spacing w:after="0" w:line="1" w:lineRule="exact"/>
        <w:rPr>
          <w:rFonts w:ascii="Times New Roman" w:cs="Times New Roman" w:eastAsia="Times New Roman" w:hAnsi="Times New Roman"/>
          <w:sz w:val="17"/>
          <w:szCs w:val="17"/>
          <w:color w:val="auto"/>
        </w:rPr>
      </w:pPr>
    </w:p>
    <w:p>
      <w:pPr>
        <w:ind w:left="4"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an expenses for such outplacement services shall be paid by the Company or reimbursed by the Company to the Executive as soon as practicable after such expense is incurred (but in no event later than thirty (30) days after such expense is incurred, provided, the Executive has provided reasonable documentation of such expense), and (ii) the total amount of the expenses paid or reimbursed by the Company pursuant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Outplacement Reimbursement</w:t>
      </w:r>
      <w:r>
        <w:rPr>
          <w:rFonts w:ascii="Times New Roman" w:cs="Times New Roman" w:eastAsia="Times New Roman" w:hAnsi="Times New Roman"/>
          <w:sz w:val="18"/>
          <w:szCs w:val="18"/>
          <w:color w:val="auto"/>
        </w:rPr>
        <w:t>”) shall not exceed $50,000.</w:t>
      </w:r>
    </w:p>
    <w:p>
      <w:pPr>
        <w:spacing w:after="0" w:line="80" w:lineRule="exact"/>
        <w:rPr>
          <w:rFonts w:ascii="Times New Roman" w:cs="Times New Roman" w:eastAsia="Times New Roman" w:hAnsi="Times New Roman"/>
          <w:sz w:val="17"/>
          <w:szCs w:val="17"/>
          <w:color w:val="auto"/>
        </w:rPr>
      </w:pPr>
    </w:p>
    <w:p>
      <w:pPr>
        <w:ind w:left="4" w:right="160" w:firstLine="987"/>
        <w:spacing w:after="0" w:line="256"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As of the date of this Agreement, the Executive holds (x) 106,260 restricted stock units (the “</w:t>
      </w:r>
      <w:r>
        <w:rPr>
          <w:rFonts w:ascii="Times New Roman" w:cs="Times New Roman" w:eastAsia="Times New Roman" w:hAnsi="Times New Roman"/>
          <w:sz w:val="18"/>
          <w:szCs w:val="18"/>
          <w:u w:val="single" w:color="auto"/>
          <w:color w:val="auto"/>
        </w:rPr>
        <w:t>2021 RSUs</w:t>
      </w:r>
      <w:r>
        <w:rPr>
          <w:rFonts w:ascii="Times New Roman" w:cs="Times New Roman" w:eastAsia="Times New Roman" w:hAnsi="Times New Roman"/>
          <w:sz w:val="18"/>
          <w:szCs w:val="18"/>
          <w:color w:val="auto"/>
        </w:rPr>
        <w:t>”) and 159,390 performance-based restricted stock units (the “</w:t>
      </w:r>
      <w:r>
        <w:rPr>
          <w:rFonts w:ascii="Times New Roman" w:cs="Times New Roman" w:eastAsia="Times New Roman" w:hAnsi="Times New Roman"/>
          <w:sz w:val="18"/>
          <w:szCs w:val="18"/>
          <w:u w:val="single" w:color="auto"/>
          <w:color w:val="auto"/>
        </w:rPr>
        <w:t>2021 PSUs</w:t>
      </w:r>
      <w:r>
        <w:rPr>
          <w:rFonts w:ascii="Times New Roman" w:cs="Times New Roman" w:eastAsia="Times New Roman" w:hAnsi="Times New Roman"/>
          <w:sz w:val="18"/>
          <w:szCs w:val="18"/>
          <w:color w:val="auto"/>
        </w:rPr>
        <w:t>”), in each case, granted pursuant to an award agreement by and between Parent and the Executive, dated February 19, 2021 (collectively, the “</w:t>
      </w:r>
      <w:r>
        <w:rPr>
          <w:rFonts w:ascii="Times New Roman" w:cs="Times New Roman" w:eastAsia="Times New Roman" w:hAnsi="Times New Roman"/>
          <w:sz w:val="18"/>
          <w:szCs w:val="18"/>
          <w:u w:val="single" w:color="auto"/>
          <w:color w:val="auto"/>
        </w:rPr>
        <w:t>2021 Award Agreements</w:t>
      </w:r>
      <w:r>
        <w:rPr>
          <w:rFonts w:ascii="Times New Roman" w:cs="Times New Roman" w:eastAsia="Times New Roman" w:hAnsi="Times New Roman"/>
          <w:sz w:val="18"/>
          <w:szCs w:val="18"/>
          <w:color w:val="auto"/>
        </w:rPr>
        <w:t>”) and the Noble Corporation plc 2022 Long-Term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(y) 20,078 restricted stock units (the “</w:t>
      </w:r>
      <w:r>
        <w:rPr>
          <w:rFonts w:ascii="Times New Roman" w:cs="Times New Roman" w:eastAsia="Times New Roman" w:hAnsi="Times New Roman"/>
          <w:sz w:val="18"/>
          <w:szCs w:val="18"/>
          <w:u w:val="single" w:color="auto"/>
          <w:color w:val="auto"/>
        </w:rPr>
        <w:t>2022 RSUs</w:t>
      </w:r>
      <w:r>
        <w:rPr>
          <w:rFonts w:ascii="Times New Roman" w:cs="Times New Roman" w:eastAsia="Times New Roman" w:hAnsi="Times New Roman"/>
          <w:sz w:val="18"/>
          <w:szCs w:val="18"/>
          <w:color w:val="auto"/>
        </w:rPr>
        <w:t>”) and 30,116 performance-based restricted stock units (the “</w:t>
      </w:r>
      <w:r>
        <w:rPr>
          <w:rFonts w:ascii="Times New Roman" w:cs="Times New Roman" w:eastAsia="Times New Roman" w:hAnsi="Times New Roman"/>
          <w:sz w:val="18"/>
          <w:szCs w:val="18"/>
          <w:u w:val="single" w:color="auto"/>
          <w:color w:val="auto"/>
        </w:rPr>
        <w:t>2022 PSUs</w:t>
      </w:r>
      <w:r>
        <w:rPr>
          <w:rFonts w:ascii="Times New Roman" w:cs="Times New Roman" w:eastAsia="Times New Roman" w:hAnsi="Times New Roman"/>
          <w:sz w:val="18"/>
          <w:szCs w:val="18"/>
          <w:color w:val="auto"/>
        </w:rPr>
        <w:t>”), in each case, granted pursuant to an award agreement by and between Parent and the Executive, dated February 3, 2022 (collectively, the “</w:t>
      </w:r>
      <w:r>
        <w:rPr>
          <w:rFonts w:ascii="Times New Roman" w:cs="Times New Roman" w:eastAsia="Times New Roman" w:hAnsi="Times New Roman"/>
          <w:sz w:val="18"/>
          <w:szCs w:val="18"/>
          <w:u w:val="single" w:color="auto"/>
          <w:color w:val="auto"/>
        </w:rPr>
        <w:t>2022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and, together with the 2021 Award Agreements, the “</w:t>
      </w:r>
      <w:r>
        <w:rPr>
          <w:rFonts w:ascii="Times New Roman" w:cs="Times New Roman" w:eastAsia="Times New Roman" w:hAnsi="Times New Roman"/>
          <w:sz w:val="18"/>
          <w:szCs w:val="18"/>
          <w:u w:val="single" w:color="auto"/>
          <w:color w:val="auto"/>
        </w:rPr>
        <w:t>Equity Agreements</w:t>
      </w:r>
      <w:r>
        <w:rPr>
          <w:rFonts w:ascii="Times New Roman" w:cs="Times New Roman" w:eastAsia="Times New Roman" w:hAnsi="Times New Roman"/>
          <w:sz w:val="18"/>
          <w:szCs w:val="18"/>
          <w:color w:val="auto"/>
        </w:rPr>
        <w:t>”) and the Plan. For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of the Equity Agreements and related awards, the parties agree to treat Executive’s equity thereunder as though a Change of Control has occurred for purposes of same. The 2021 PSUs will be eligible to vest in accordance with the terms of the applicable 2021 Award Agreement and the Plan, based on the Company’s actual performance, and subject to the terms of that certain Notice of Change to PSU Performance Metrics dated September 30, 2022 (the “</w:t>
      </w:r>
      <w:r>
        <w:rPr>
          <w:rFonts w:ascii="Times New Roman" w:cs="Times New Roman" w:eastAsia="Times New Roman" w:hAnsi="Times New Roman"/>
          <w:sz w:val="18"/>
          <w:szCs w:val="18"/>
          <w:u w:val="single" w:color="auto"/>
          <w:color w:val="auto"/>
        </w:rPr>
        <w:t>PSU Notice</w:t>
      </w:r>
      <w:r>
        <w:rPr>
          <w:rFonts w:ascii="Times New Roman" w:cs="Times New Roman" w:eastAsia="Times New Roman" w:hAnsi="Times New Roman"/>
          <w:sz w:val="18"/>
          <w:szCs w:val="18"/>
          <w:color w:val="auto"/>
        </w:rPr>
        <w:t>”). Provided that the Second Release Effective Date occurs, as of the Separation Date (i) except with respect to those performance metrics for which performance was fixed as provided by the Parent Board in the PSU Notice, the 2022 PSUs will be deemed vested based on achievement of the “target” level of performance in accordance with the applicable 2022 Award Agreement and (ii) in accordance with the terms of the applicable Equity Agreements, the 2021 RSUs and 2022 RSUs will, to the extent then unvested, accelerate and vest in full (collectively, the “</w:t>
      </w:r>
      <w:r>
        <w:rPr>
          <w:rFonts w:ascii="Times New Roman" w:cs="Times New Roman" w:eastAsia="Times New Roman" w:hAnsi="Times New Roman"/>
          <w:sz w:val="18"/>
          <w:szCs w:val="18"/>
          <w:u w:val="single" w:color="auto"/>
          <w:color w:val="auto"/>
        </w:rPr>
        <w:t>Equity Acceleration</w:t>
      </w:r>
      <w:r>
        <w:rPr>
          <w:rFonts w:ascii="Times New Roman" w:cs="Times New Roman" w:eastAsia="Times New Roman" w:hAnsi="Times New Roman"/>
          <w:sz w:val="18"/>
          <w:szCs w:val="18"/>
          <w:color w:val="auto"/>
        </w:rPr>
        <w:t>”). For the avoidance of doubt, other than the Equity Agreements, the Executive will not be eligible to receive any additional equity awards following the date of this Agreement. The Equity Acceleration, the Severance Payment, and the Outplacement Reimbursement, are collectively referred to herein as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100" w:firstLine="987"/>
        <w:spacing w:after="0" w:line="258" w:lineRule="auto"/>
        <w:tabs>
          <w:tab w:leader="none" w:pos="12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Compensation</w:t>
      </w:r>
      <w:r>
        <w:rPr>
          <w:rFonts w:ascii="Times New Roman" w:cs="Times New Roman" w:eastAsia="Times New Roman" w:hAnsi="Times New Roman"/>
          <w:sz w:val="18"/>
          <w:szCs w:val="18"/>
          <w:color w:val="auto"/>
        </w:rPr>
        <w:t>. The Executive acknowledges and agrees that the payments provided pursuant to this Agreement are in full discharge of any and all liabilities and obligations of the Company and its affiliates to the Executive, monetarily or with respect to employee benefits or otherwise, including, but not limited to, any and all obligations arising under the Employment Agreement, any alleged written or oral employment agreement, policy, plan or procedure of the Company and its affiliates and/or any alleged understanding or arrangement between the Executive and the Company.</w:t>
      </w:r>
    </w:p>
    <w:p>
      <w:pPr>
        <w:spacing w:after="0" w:line="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payments and benefits to be provided to the Executive pursuant to this Agreement, which are conditioned on the Executive’s execution of this Agreement, and to which the Executive would not otherwise be entitled at this time, and other good and valuable consideration, the receipt and sufficiency of which the Executive hereby acknowledges, on the Executive’s own behalf and on behalf of the Executive’s heirs, executors, administrators, beneficiaries, representatives, successors and assigns, and all others connected with or claiming through the Executive, the Executive hereby releases and forever discharges the Company and its affiliates, and all of their respective past, present and future officers, directors, shareholders, employees, employee benefits plans, administrators, trustees, agents, representatives, consultants, successors and assigns, and all those connected with any of them, in their official and individual capacities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causes of action, suits, rights and claims, demands, damages and compensation of any kind and nature whatsoever, whether at law or in equity, whether now known or unknown, suspected or unsuspected, contingent or otherwise, which the Executive now has or ever has had against the Released Parties, or any of them, in any way related to, connected with or arising out of the Executive’s employment and/or other relationship with the Company or any of its affiliates, or pursuant to Title VII of the Civil Rights Act, the Americans With Disabilities Act, the Family and Medical Leave Act, the Age Discrimination in Employment Act (as amended by the Older Workers Benefit Protection Act), the Employee Retirement Income Security Act, the wage and hour laws, wage payment and fair employment practices laws of the state or states in which the Executive has provided services to the Company (each as amended from time to time) and/or any other federal, state or local law, regulation, or other requirement (collectively,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through the date that the Executive signs this Agreement, and the Executive hereby waives all such Claims.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left="4" w:right="40" w:firstLine="987"/>
        <w:spacing w:after="0" w:line="267" w:lineRule="auto"/>
        <w:tabs>
          <w:tab w:leader="none" w:pos="12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Executive understands that nothing contained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shall be construed to prohibit the Executive from filing a charge with or participating in any investigation or proceeding conducted by the federal Equal Employment Opportunity Commission or a comparable state or local agency;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the Executive hereby agrees to waive the Executive’s right to recover monetary damages or other individual relief in any charge, complaint or lawsuit filed by the Executive or by anyone else on the Executive’s behalf. The Executive further understands that nothing contained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shall be construed to limit, restrict or in any other way affect the Executive’s communicating with any governmental agency or entity, or communicating with any official or staff person of a governmental agency or entity, concerning non-privileged matters relevant to the governmental agency or entity. For the avoidance of doubt, no provision of this Agreement shall be construed as prohibiting or restricting the Executive (or the Executive’s attorney) from responding to any inquiry about this Agreement or its underlying facts and circumstances by the Securities and Exchange Commission (SEC), the Financial Industry Regulatory Authority (FINRA), any other self-regulatory organization or any governmental entity.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81"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that the Executive will continue to be bound by the Executive’s obligations under the Employment Agreement that survive the termination of the Executive’s employment on the Separation Date by the terms thereof or by necessary implication, including without limitation the confidentiality, nonsolicitation and cooperation covenants set forth therein (all of the foregoing obligations, the “</w:t>
      </w:r>
      <w:r>
        <w:rPr>
          <w:rFonts w:ascii="Times New Roman" w:cs="Times New Roman" w:eastAsia="Times New Roman" w:hAnsi="Times New Roman"/>
          <w:sz w:val="18"/>
          <w:szCs w:val="18"/>
          <w:u w:val="single" w:color="auto"/>
          <w:color w:val="auto"/>
        </w:rPr>
        <w:t>Continuin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w:t>
      </w:r>
      <w:r>
        <w:rPr>
          <w:rFonts w:ascii="Times New Roman" w:cs="Times New Roman" w:eastAsia="Times New Roman" w:hAnsi="Times New Roman"/>
          <w:sz w:val="18"/>
          <w:szCs w:val="18"/>
          <w:color w:val="auto"/>
        </w:rPr>
        <w:t>”). The Executive further acknowledges that the obligation of the Company to pay or provide the Severance Benefits, and the Executive’s right to retain the same, are expressly conditioned upon the Executive’s continued performance of the Executive’s obligations hereunder and of the Continuing Obligations.</w:t>
      </w:r>
    </w:p>
    <w:p>
      <w:pPr>
        <w:spacing w:after="0" w:line="79"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understands that nothing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will adversely affect the Executive’s rights to enforce the terms of this Agreement or any compensation arrangement specifically referenced herein, or any vested or continuing rights pursuant to Company-sponsored health, welfare, incentive, and retirement plans, and shall not adversely affect the Executive’s right to any indemnification to which the Executive would otherwise be entitled to under, without limitation, any charter document of the Company, Parent or any affiliate, any insurance policy or Section 12 of the Employment Agreement, by reason of services the Executive rendered for the Company or any of its subsidiaries as an officer and/or an employee thereof.</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9" w:name="page10"/>
    <w:bookmarkEnd w:id="9"/>
    <w:p>
      <w:pPr>
        <w:ind w:firstLine="987"/>
        <w:spacing w:after="0" w:line="256" w:lineRule="auto"/>
        <w:tabs>
          <w:tab w:leader="none" w:pos="12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the Executive agrees that the Executive will not disparage or criticize the Company, its affiliates, their business, their directors, management or their products or services. The Company agrees that it will direct the officers of the Company as of the date of termination and the members of the Board not to, while employed by the Company or serving as a director of the Company, as the case may be, make negative comments about the Executive or otherwise disparage the Executive in any manner that is likely to be harmful to the Executive’s business reputation. Notwithstanding the foregoing, nothing contained in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shall preclude the Executive or the Company’s employees or directors from making truthful statements that are required by applicable law, regulation or governmental investigation or are pursuant to legal process.</w:t>
      </w:r>
    </w:p>
    <w:p>
      <w:pPr>
        <w:spacing w:after="0" w:line="79"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All correspondence, records, documents, software, promotional materials, and other Company property, including all copies, which came into the Executive’s possession by, through or in the course of Executive’s employment, regardless of the source and whether created by the Executive, are the sole and exclusive property of the Company, and immediately upon the Separation Date, or any time prior thereto at the Company’s request, the Executive shall return to the Company all such property of the Company. Notwithstanding the foregoing, the Executive may retain his contacts and calendar along with his Company-provided laptop, printer, iPad, and phone. The Company may have an IT specialist scrub such equipment for any proprietary or confidential information on or immediately prior to the Separation Date.</w:t>
      </w:r>
    </w:p>
    <w:p>
      <w:pPr>
        <w:spacing w:after="0" w:line="79" w:lineRule="exact"/>
        <w:rPr>
          <w:rFonts w:ascii="Times New Roman" w:cs="Times New Roman" w:eastAsia="Times New Roman" w:hAnsi="Times New Roman"/>
          <w:sz w:val="18"/>
          <w:szCs w:val="18"/>
          <w:color w:val="auto"/>
        </w:rPr>
      </w:pPr>
    </w:p>
    <w:p>
      <w:pPr>
        <w:ind w:right="80" w:firstLine="436"/>
        <w:spacing w:after="0" w:line="274"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Assignments; Binding Effect</w:t>
      </w:r>
      <w:r>
        <w:rPr>
          <w:rFonts w:ascii="Times New Roman" w:cs="Times New Roman" w:eastAsia="Times New Roman" w:hAnsi="Times New Roman"/>
          <w:sz w:val="17"/>
          <w:szCs w:val="17"/>
          <w:color w:val="auto"/>
        </w:rPr>
        <w:t xml:space="preserve">. Except as provided in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no party may assign or delegate any rights or obligations hereunder without first obtaining the written consent of the other party hereto. The Company shall assign this Agreement to any successor to all or substantially all the operations and/or assets of the Company. As used in this Agreement, the term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mean the Company and any successor to its operations and/or assets, which assumes and agrees to perform the duties and obligations of the Company under this Agreement by operation of law or otherwise. This Agreement is binding upon, and shall inure to the benefit of, the parties and their respective heirs, executors and administrators (including the Executive’s estate or designated beneficiary, in the event of the Executive’s death), and their respective permitted successors and assigns.</w:t>
      </w:r>
    </w:p>
    <w:p>
      <w:pPr>
        <w:spacing w:after="0" w:line="64" w:lineRule="exact"/>
        <w:rPr>
          <w:rFonts w:ascii="Times New Roman" w:cs="Times New Roman" w:eastAsia="Times New Roman" w:hAnsi="Times New Roman"/>
          <w:sz w:val="17"/>
          <w:szCs w:val="17"/>
          <w:color w:val="auto"/>
        </w:rPr>
      </w:pPr>
    </w:p>
    <w:p>
      <w:pPr>
        <w:ind w:right="160" w:firstLine="436"/>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Texas, without giving effect to the principles of conflicts of law thereof.</w:t>
      </w:r>
    </w:p>
    <w:p>
      <w:pPr>
        <w:spacing w:after="0" w:line="53"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The Executive and the Company agree to submit to the exclusive jurisdiction of the courts of the State of Texas in connection with any dispute arising out of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0" w:name="page11"/>
    <w:bookmarkEnd w:id="10"/>
    <w:p>
      <w:pPr>
        <w:ind w:left="-40" w:right="80" w:firstLine="436"/>
        <w:spacing w:after="0" w:line="258"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 Restrictive and Other Covenants</w:t>
      </w:r>
      <w:r>
        <w:rPr>
          <w:rFonts w:ascii="Times New Roman" w:cs="Times New Roman" w:eastAsia="Times New Roman" w:hAnsi="Times New Roman"/>
          <w:sz w:val="18"/>
          <w:szCs w:val="18"/>
          <w:color w:val="auto"/>
        </w:rPr>
        <w:t>. The Executive understands that this Agreement, the Equity Agreements, all relevant plans referred to herein and the sections of the Employment Agreement that survive termination, including but not limited to the Continuing Obligations, constitute the complete understanding between the Company and the Executive, and, except as specifically provided herein, supersedes any and all agreements, understandings, and discussions, whether written or oral, between the Executive and any of the Released Parties. No other promises or agreements shall be binding unless in writing and signed by both the Company and the Executive.</w:t>
      </w:r>
    </w:p>
    <w:p>
      <w:pPr>
        <w:spacing w:after="0" w:line="75" w:lineRule="exact"/>
        <w:rPr>
          <w:rFonts w:ascii="Times New Roman" w:cs="Times New Roman" w:eastAsia="Times New Roman" w:hAnsi="Times New Roman"/>
          <w:sz w:val="18"/>
          <w:szCs w:val="18"/>
          <w:color w:val="auto"/>
        </w:rPr>
      </w:pPr>
    </w:p>
    <w:p>
      <w:pPr>
        <w:ind w:left="-40" w:right="140" w:firstLine="436"/>
        <w:spacing w:after="0" w:line="282"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to be given or delivered under or by reason of the provisions of this Agreement shall be done in accordance with Section 15 of the Employment Agreement.</w:t>
      </w:r>
    </w:p>
    <w:p>
      <w:pPr>
        <w:spacing w:after="0" w:line="53" w:lineRule="exact"/>
        <w:rPr>
          <w:rFonts w:ascii="Times New Roman" w:cs="Times New Roman" w:eastAsia="Times New Roman" w:hAnsi="Times New Roman"/>
          <w:sz w:val="18"/>
          <w:szCs w:val="18"/>
          <w:color w:val="auto"/>
        </w:rPr>
      </w:pPr>
    </w:p>
    <w:p>
      <w:pPr>
        <w:ind w:left="-40" w:right="160" w:firstLine="436"/>
        <w:spacing w:after="0" w:line="254" w:lineRule="auto"/>
        <w:tabs>
          <w:tab w:leader="none" w:pos="6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is not intended, and shall not be construed, as an admission that any of the Released Parties has violated any federal, state or local law (statutory or decisional), ordinance or regulation, breached any contract or committed any wrong whatsoever against the Executive. Should any provision of this Agreement require interpretation or construction, it is agreed by the parties that the entity interpreting or constructing this Agreement shall not apply a presumption against one party by reason of the rule of construction that a document is to be construed more strictly against the party who prepared the document.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Neither party shall be deemed to have made any admission of wrongdoing as a result of executing this Agreement.</w:t>
      </w:r>
    </w:p>
    <w:p>
      <w:pPr>
        <w:spacing w:after="0" w:line="83"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Code 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 w:firstLine="987"/>
        <w:spacing w:after="0" w:line="282" w:lineRule="auto"/>
        <w:tabs>
          <w:tab w:leader="none" w:pos="11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may withhold from any and all amounts payable to the Executive under this Agreement such federal, state, or local taxes as may be required to be withheld pursuant to any applicable law or regulation and any authorized or required reductions.</w:t>
      </w:r>
    </w:p>
    <w:p>
      <w:pPr>
        <w:spacing w:after="0" w:line="53"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 The intent of the parties is that all payments, compensation and benefits contemplated hereunder that are subject to</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(as defined in the Employment Agreement) will be paid or provided in compliance with Section 409A, and the provisions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of this Agreement shall be construed and administered in accordance with and to implement such intent. The provisions of the</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Employment Agreement relating to Section 409A, including Section 17(c) of the Employment Agreement, are hereby incorporated into</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this Agreement with full force and effect and shall be deemed to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940" w:right="460" w:firstLine="910"/>
        <w:spacing w:after="0" w:line="281" w:lineRule="auto"/>
        <w:tabs>
          <w:tab w:leader="none" w:pos="210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termination of employment shall not be deemed to have occurred for purposes of any provision of this Agreement providing for the payment of any amounts or benefits that constitute “nonqualified deferred compensation” upon or following a termination of employment unless such termination is also a “separation from service” within the meaning of Section 409A, and for purposes of any such provision of this Agreement, references to a “termination,” “termination of employment,” or like terms shall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70" w:right="479" w:bottom="1440" w:gutter="0" w:footer="0" w:header="0"/>
        </w:sectPr>
      </w:pPr>
    </w:p>
    <w:bookmarkStart w:id="11" w:name="page12"/>
    <w:bookmarkEnd w:id="11"/>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mean “separation from service.” If the Executive is deemed on the date of Executive’s separation from service to be a “specified employee” within the meaning of that term under Section 409A(a)(2)(B), then with regard to any payment or the provision of any benefit that is considered deferred compensation under Section 409A payable on account of a “separation from service,” such payment or benefit shall be made or provided at the date that is the earlier of (A) the expiration of the six-month period measured from the date of such “separation from service” of the Executive, and (B) the date of the Executive’s death, to the extent required under Section 409A. Upon the expiration of the foregoing delay period, all payments and benefits delayed pursuant to this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pacing w:after="0" w:line="84" w:lineRule="exact"/>
        <w:rPr>
          <w:sz w:val="20"/>
          <w:szCs w:val="20"/>
          <w:color w:val="auto"/>
        </w:rPr>
      </w:pPr>
    </w:p>
    <w:p>
      <w:pPr>
        <w:ind w:right="20" w:firstLine="436"/>
        <w:spacing w:after="0" w:line="256" w:lineRule="auto"/>
        <w:tabs>
          <w:tab w:leader="none" w:pos="7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Acknowledgements</w:t>
      </w:r>
      <w:r>
        <w:rPr>
          <w:rFonts w:ascii="Times New Roman" w:cs="Times New Roman" w:eastAsia="Times New Roman" w:hAnsi="Times New Roman"/>
          <w:sz w:val="18"/>
          <w:szCs w:val="18"/>
          <w:color w:val="auto"/>
        </w:rPr>
        <w:t>. The Executive acknowledges that the Executive: (a) has carefully read this Agreement in its entirety; (b) has had an opportunity to consider this Agreement for twenty-one (21) days; (c) fully understands the significance of all of the terms and conditions of this Agreement; (d) has been advised to consult with an attorney before executing this Agreement and the Executive has done so or, after careful reading and consideration, has chosen not to do so of the Executive’s own volition; and (e) is entering into this Agreement, knowingly, freely and voluntarily in exchange for good and valuable consideration to which the Executive would not be entitled in the absence of executing and not revoking this Agreement.</w:t>
      </w:r>
    </w:p>
    <w:p>
      <w:pPr>
        <w:spacing w:after="0" w:line="79"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Consideration and Revocation Period; Effectiveness</w:t>
      </w:r>
      <w:r>
        <w:rPr>
          <w:rFonts w:ascii="Times New Roman" w:cs="Times New Roman" w:eastAsia="Times New Roman" w:hAnsi="Times New Roman"/>
          <w:sz w:val="18"/>
          <w:szCs w:val="18"/>
          <w:color w:val="auto"/>
        </w:rPr>
        <w:t>. The Executive understands that the Executive will have twenty-one (21) days from the date of receipt of this Agreement to consider the terms and conditions of this Agreement. The Executive understands that the Executive may execute this Agreement less than twenty-one (21) days from its receipt from the Company but agrees that such execution will represent the Executive’s knowing waiver of such consideration period. The Executive may accept this Agreement by signing it and returning it to the Company’s Chief Executive Officer, within such twenty-one (21) day period. After executing this Agreement, the Executive shall have seven (7) days (the “</w:t>
      </w: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 to revoke this Agreement by indicating the Executive’s desire to do so in writing delivered to the Company’s Chief Executive Officer by no later than the seventh (7th) day after the date that the Executive signs this Agreement. The effective date of this Agreement shall be the eighth (8th) day after the Executive signs this Agreement. In the event that the Executive does not accept this Agreement as set forth above, or in the event that the Executive revokes this Agreement during the Revocation Period, this Agreement shall be deemed automatically null and void.</w:t>
      </w:r>
    </w:p>
    <w:p>
      <w:pPr>
        <w:spacing w:after="0" w:line="80" w:lineRule="exact"/>
        <w:rPr>
          <w:rFonts w:ascii="Times New Roman" w:cs="Times New Roman" w:eastAsia="Times New Roman" w:hAnsi="Times New Roman"/>
          <w:sz w:val="18"/>
          <w:szCs w:val="18"/>
          <w:color w:val="auto"/>
        </w:rPr>
      </w:pPr>
    </w:p>
    <w:p>
      <w:pPr>
        <w:ind w:right="80" w:firstLine="436"/>
        <w:spacing w:after="0" w:line="256" w:lineRule="auto"/>
        <w:tabs>
          <w:tab w:leader="none" w:pos="7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Re-Execution of Agreement</w:t>
      </w:r>
      <w:r>
        <w:rPr>
          <w:rFonts w:ascii="Times New Roman" w:cs="Times New Roman" w:eastAsia="Times New Roman" w:hAnsi="Times New Roman"/>
          <w:sz w:val="18"/>
          <w:szCs w:val="18"/>
          <w:color w:val="auto"/>
        </w:rPr>
        <w:t xml:space="preserve">. The Company’s obligations under </w:t>
      </w:r>
      <w:r>
        <w:rPr>
          <w:rFonts w:ascii="Times New Roman" w:cs="Times New Roman" w:eastAsia="Times New Roman" w:hAnsi="Times New Roman"/>
          <w:sz w:val="18"/>
          <w:szCs w:val="18"/>
          <w:u w:val="single" w:color="auto"/>
          <w:color w:val="auto"/>
        </w:rPr>
        <w:t>Sections 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2(d)</w:t>
      </w:r>
      <w:r>
        <w:rPr>
          <w:rFonts w:ascii="Times New Roman" w:cs="Times New Roman" w:eastAsia="Times New Roman" w:hAnsi="Times New Roman"/>
          <w:sz w:val="18"/>
          <w:szCs w:val="18"/>
          <w:color w:val="auto"/>
        </w:rPr>
        <w:t xml:space="preserve"> of this Agreement are strictly contingent upon the Executive’s (or, as applicable, Executive’s estate or representative) re-execution and non-revocation of this Agreement within twenty-one (21) days following the Separation Date. The date of the Executive’s re-execution of this Agreement is referred to herein as the “</w:t>
      </w:r>
      <w:r>
        <w:rPr>
          <w:rFonts w:ascii="Times New Roman" w:cs="Times New Roman" w:eastAsia="Times New Roman" w:hAnsi="Times New Roman"/>
          <w:sz w:val="18"/>
          <w:szCs w:val="18"/>
          <w:u w:val="single" w:color="auto"/>
          <w:color w:val="auto"/>
        </w:rPr>
        <w:t>Re-Execution Date.</w:t>
      </w:r>
      <w:r>
        <w:rPr>
          <w:rFonts w:ascii="Times New Roman" w:cs="Times New Roman" w:eastAsia="Times New Roman" w:hAnsi="Times New Roman"/>
          <w:sz w:val="18"/>
          <w:szCs w:val="18"/>
          <w:color w:val="auto"/>
        </w:rPr>
        <w:t xml:space="preserve">” By re-executing this Agreement, the Executive advances to the Re-Execution Date Executive’s general waiver and release of all Claims against the Released Parties and the other covenants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The Executive (or, as applicable, Executive’s estate or representative) shall have seven (7) calendar days from the Re-Execution Date to revoke his re-execution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indicating the Executive’s desire to do so in writing delivered to the Company’s Chief Executive Officer by no later than the seventh (7th) day after the Re-Execution Date. In the event of no revocation by the Executive (or, as applicable, Executive’s estate or representative), the date of the releases and covenants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shall be advanced through the Re-Execution Date on the eighth (8th) day after the Re-Execution Date (the “</w:t>
      </w:r>
      <w:r>
        <w:rPr>
          <w:rFonts w:ascii="Times New Roman" w:cs="Times New Roman" w:eastAsia="Times New Roman" w:hAnsi="Times New Roman"/>
          <w:sz w:val="18"/>
          <w:szCs w:val="18"/>
          <w:u w:val="single" w:color="auto"/>
          <w:color w:val="auto"/>
        </w:rPr>
        <w:t>Second Release Effective Date</w:t>
      </w:r>
      <w:r>
        <w:rPr>
          <w:rFonts w:ascii="Times New Roman" w:cs="Times New Roman" w:eastAsia="Times New Roman" w:hAnsi="Times New Roman"/>
          <w:sz w:val="18"/>
          <w:szCs w:val="18"/>
          <w:color w:val="auto"/>
        </w:rPr>
        <w:t xml:space="preserve">”). In the event of such revocation by the Executive(or, as applicable, Executive’s estate or representative), the date of the releases and covenants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shall not be advanced, but shall remain effective up to and including the date upon which Executive originally signs this Agreement and the Company shall not be obligated to provide the consideration in </w:t>
      </w:r>
      <w:r>
        <w:rPr>
          <w:rFonts w:ascii="Times New Roman" w:cs="Times New Roman" w:eastAsia="Times New Roman" w:hAnsi="Times New Roman"/>
          <w:sz w:val="18"/>
          <w:szCs w:val="18"/>
          <w:u w:val="single" w:color="auto"/>
          <w:color w:val="auto"/>
        </w:rPr>
        <w:t>Sections 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2(d)</w:t>
      </w:r>
      <w:r>
        <w:rPr>
          <w:rFonts w:ascii="Times New Roman" w:cs="Times New Roman" w:eastAsia="Times New Roman" w:hAnsi="Times New Roman"/>
          <w:sz w:val="18"/>
          <w:szCs w:val="18"/>
          <w:color w:val="auto"/>
        </w:rPr>
        <w:t xml:space="preserve"> of this Agreement.</w:t>
      </w:r>
    </w:p>
    <w:p>
      <w:pPr>
        <w:spacing w:after="0" w:line="81" w:lineRule="exact"/>
        <w:rPr>
          <w:sz w:val="20"/>
          <w:szCs w:val="20"/>
          <w:color w:val="auto"/>
        </w:rPr>
      </w:pPr>
    </w:p>
    <w:p>
      <w:pPr>
        <w:ind w:firstLine="436"/>
        <w:spacing w:after="0" w:line="254"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The Released Parties are intended third-party beneficiaries of this Agreement, and this Agreement may be enforced by each of them in accordance with the terms hereof in respect of the rights granted to such Released Parties hereunder. Except and to the extent set forth in the preceding sentence and as otherwise set forth in this Agreement, this Agreement is not intended for the benefit of any person other than the parties hereto, and no such other person or entity shall be deemed to be a third party-beneficiary hereof. Without limiting the generality of the foregoing, it is not the intention of the Company to establish any policy, procedure, course of dealing, or plan of general application for the benefit of or otherwise in respect of any other employee, officer, director, or stockholder, irrespective of any similarity between any contract, agreement, commitment, or understanding between the Company and such other employee, officer, director, or stockholder, on the one hand, and any contract, agreement, commitment, or understanding between the Company and the Executive, on the other hand, and irrespective of any similarity in facts or circumstances involving such other employee, officer, director, or stockholder, on the one hand, and the Executive, on the other hand.</w:t>
      </w:r>
    </w:p>
    <w:p>
      <w:pPr>
        <w:spacing w:after="0" w:line="80" w:lineRule="exact"/>
        <w:rPr>
          <w:rFonts w:ascii="Times New Roman" w:cs="Times New Roman" w:eastAsia="Times New Roman" w:hAnsi="Times New Roman"/>
          <w:sz w:val="18"/>
          <w:szCs w:val="18"/>
          <w:color w:val="auto"/>
        </w:rPr>
      </w:pPr>
    </w:p>
    <w:p>
      <w:pPr>
        <w:ind w:right="560" w:firstLine="436"/>
        <w:spacing w:after="0" w:line="282"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 Agreements</w:t>
      </w:r>
      <w:r>
        <w:rPr>
          <w:rFonts w:ascii="Times New Roman" w:cs="Times New Roman" w:eastAsia="Times New Roman" w:hAnsi="Times New Roman"/>
          <w:sz w:val="18"/>
          <w:szCs w:val="18"/>
          <w:color w:val="auto"/>
        </w:rPr>
        <w:t>. This Agreement may be signed in counterparts, and by facsimile or e-mail transmission, all of which shall be considered as original documents and which together shall constitute one and the same agreement.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executed this Transition and Retirement Agreement as of the date set forth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NOBLE SERVICES COMPANY LLC</w:t>
            </w:r>
          </w:p>
        </w:tc>
        <w:tc>
          <w:tcPr>
            <w:tcW w:w="4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1"/>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Robert W. Eifler</w:t>
            </w:r>
          </w:p>
        </w:tc>
        <w:tc>
          <w:tcPr>
            <w:tcW w:w="55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w w:val="97"/>
              </w:rPr>
              <w:t>Dated: February 3, 2023</w:t>
            </w:r>
          </w:p>
        </w:tc>
      </w:tr>
      <w:tr>
        <w:trPr>
          <w:trHeight w:val="20"/>
        </w:trPr>
        <w:tc>
          <w:tcPr>
            <w:tcW w:w="30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18"/>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Robert W. Eifler</w:t>
            </w:r>
          </w:p>
        </w:tc>
        <w:tc>
          <w:tcPr>
            <w:tcW w:w="4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4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NOBLE CORPORATION PLC</w:t>
            </w: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Robert W. Eifler</w:t>
            </w:r>
          </w:p>
        </w:tc>
        <w:tc>
          <w:tcPr>
            <w:tcW w:w="55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w w:val="97"/>
              </w:rPr>
              <w:t>Dated: February 3, 2023</w:t>
            </w:r>
          </w:p>
        </w:tc>
      </w:tr>
      <w:tr>
        <w:trPr>
          <w:trHeight w:val="20"/>
        </w:trPr>
        <w:tc>
          <w:tcPr>
            <w:tcW w:w="30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18"/>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Robert W. Eifler</w:t>
            </w:r>
          </w:p>
        </w:tc>
        <w:tc>
          <w:tcPr>
            <w:tcW w:w="4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4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1"/>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55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w w:val="97"/>
              </w:rPr>
              <w:t>Dated: February 3, 2023</w:t>
            </w:r>
          </w:p>
        </w:tc>
      </w:tr>
      <w:tr>
        <w:trPr>
          <w:trHeight w:val="480"/>
        </w:trPr>
        <w:tc>
          <w:tcPr>
            <w:tcW w:w="3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William Turcotte</w:t>
            </w:r>
          </w:p>
        </w:tc>
        <w:tc>
          <w:tcPr>
            <w:tcW w:w="42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28"/>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 Name: William Turcotte</w:t>
            </w:r>
          </w:p>
        </w:tc>
        <w:tc>
          <w:tcPr>
            <w:tcW w:w="4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05"/>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RE-EXECUTED (ON OR FOLLOWING THE</w:t>
            </w:r>
          </w:p>
        </w:tc>
        <w:tc>
          <w:tcPr>
            <w:tcW w:w="55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Dated: ____________</w:t>
            </w:r>
          </w:p>
        </w:tc>
      </w:tr>
      <w:tr>
        <w:trPr>
          <w:trHeight w:val="238"/>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SEPARATION DATE)</w:t>
            </w:r>
          </w:p>
        </w:tc>
        <w:tc>
          <w:tcPr>
            <w:tcW w:w="4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 Name: William Turcotte</w:t>
            </w:r>
          </w:p>
        </w:tc>
        <w:tc>
          <w:tcPr>
            <w:tcW w:w="42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78"/>
        </w:trPr>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100"/>
      </w:cols>
      <w:pgMar w:left="440" w:top="266"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3"/>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1"/>
    </w:lvl>
    <w:lvl w:ilvl="1">
      <w:lvlJc w:val="left"/>
      <w:lvlText w:val="(%2)"/>
      <w:numFmt w:val="lowerLetter"/>
      <w:start w:val="2"/>
    </w:lvl>
  </w:abstractNum>
  <w:abstractNum w:abstractNumId="5">
    <w:nsid w:val="1190CDE7"/>
    <w:multiLevelType w:val="hybridMultilevel"/>
    <w:lvl w:ilvl="0">
      <w:lvlJc w:val="left"/>
      <w:lvlText w:val="%1."/>
      <w:numFmt w:val="decimal"/>
      <w:start w:val="2"/>
    </w:lvl>
    <w:lvl w:ilvl="1">
      <w:lvlJc w:val="left"/>
      <w:lvlText w:val="(%2)"/>
      <w:numFmt w:val="lowerLetter"/>
      <w:start w:val="1"/>
    </w:lvl>
  </w:abstractNum>
  <w:abstractNum w:abstractNumId="6">
    <w:nsid w:val="66EF438D"/>
    <w:multiLevelType w:val="hybridMultilevel"/>
    <w:lvl w:ilvl="0">
      <w:lvlJc w:val="left"/>
      <w:lvlText w:val="(%1)"/>
      <w:numFmt w:val="decimal"/>
      <w:start w:val="60"/>
    </w:lvl>
    <w:lvl w:ilvl="1">
      <w:lvlJc w:val="left"/>
      <w:lvlText w:val="(%2)"/>
      <w:numFmt w:val="lowerLetter"/>
      <w:start w:val="2"/>
    </w:lvl>
  </w:abstractNum>
  <w:abstractNum w:abstractNumId="7">
    <w:nsid w:val="140E0F76"/>
    <w:multiLevelType w:val="hybridMultilevel"/>
    <w:lvl w:ilvl="0">
      <w:lvlJc w:val="left"/>
      <w:lvlText w:val="%1"/>
      <w:numFmt w:val="decimal"/>
      <w:start w:val="1"/>
    </w:lvl>
    <w:lvl w:ilvl="1">
      <w:lvlJc w:val="left"/>
      <w:lvlText w:val="(%2)"/>
      <w:numFmt w:val="lowerLetter"/>
      <w:start w:val="5"/>
    </w:lvl>
  </w:abstractNum>
  <w:abstractNum w:abstractNumId="8">
    <w:nsid w:val="3352255A"/>
    <w:multiLevelType w:val="hybridMultilevel"/>
    <w:lvl w:ilvl="0">
      <w:lvlJc w:val="left"/>
      <w:lvlText w:val="%1."/>
      <w:numFmt w:val="decimal"/>
      <w:start w:val="3"/>
    </w:lvl>
    <w:lvl w:ilvl="1">
      <w:lvlJc w:val="left"/>
      <w:lvlText w:val="(%2)"/>
      <w:numFmt w:val="lowerLetter"/>
      <w:start w:val="1"/>
    </w:lvl>
  </w:abstractNum>
  <w:abstractNum w:abstractNumId="9">
    <w:nsid w:val="109CF92E"/>
    <w:multiLevelType w:val="hybridMultilevel"/>
    <w:lvl w:ilvl="0">
      <w:lvlJc w:val="left"/>
      <w:lvlText w:val="%1"/>
      <w:numFmt w:val="lowerLetter"/>
      <w:start w:val="1"/>
    </w:lvl>
    <w:lvl w:ilvl="1">
      <w:lvlJc w:val="left"/>
      <w:lvlText w:val="(%2)"/>
      <w:numFmt w:val="lowerLetter"/>
      <w:start w:val="2"/>
    </w:lvl>
  </w:abstractNum>
  <w:abstractNum w:abstractNumId="10">
    <w:nsid w:val="DED7263"/>
    <w:multiLevelType w:val="hybridMultilevel"/>
    <w:lvl w:ilvl="0">
      <w:lvlJc w:val="left"/>
      <w:lvlText w:val="(%1)"/>
      <w:numFmt w:val="lowerLetter"/>
      <w:start w:val="35"/>
    </w:lvl>
    <w:lvl w:ilvl="1">
      <w:lvlJc w:val="left"/>
      <w:lvlText w:val="(%2)"/>
      <w:numFmt w:val="lowerLetter"/>
      <w:start w:val="3"/>
    </w:lvl>
  </w:abstractNum>
  <w:abstractNum w:abstractNumId="11">
    <w:nsid w:val="7FDCC233"/>
    <w:multiLevelType w:val="hybridMultilevel"/>
    <w:lvl w:ilvl="0">
      <w:lvlJc w:val="left"/>
      <w:lvlText w:val="%1"/>
      <w:numFmt w:val="decimal"/>
      <w:start w:val="1"/>
    </w:lvl>
    <w:lvl w:ilvl="1">
      <w:lvlJc w:val="left"/>
      <w:lvlText w:val="(%2)"/>
      <w:numFmt w:val="lowerLetter"/>
      <w:start w:val="5"/>
    </w:lvl>
  </w:abstractNum>
  <w:abstractNum w:abstractNumId="12">
    <w:nsid w:val="1BEFD79F"/>
    <w:multiLevelType w:val="hybridMultilevel"/>
    <w:lvl w:ilvl="0">
      <w:lvlJc w:val="left"/>
      <w:lvlText w:val="%1."/>
      <w:numFmt w:val="decimal"/>
      <w:start w:val="4"/>
    </w:lvl>
    <w:lvl w:ilvl="1">
      <w:lvlJc w:val="left"/>
      <w:lvlText w:val="%2"/>
      <w:numFmt w:val="lowerLetter"/>
      <w:start w:val="1"/>
    </w:lvl>
  </w:abstractNum>
  <w:abstractNum w:abstractNumId="13">
    <w:nsid w:val="41A7C4C9"/>
    <w:multiLevelType w:val="hybridMultilevel"/>
    <w:lvl w:ilvl="0">
      <w:lvlJc w:val="left"/>
      <w:lvlText w:val="%1."/>
      <w:numFmt w:val="decimal"/>
      <w:start w:val="8"/>
    </w:lvl>
    <w:lvl w:ilvl="1">
      <w:lvlJc w:val="left"/>
      <w:lvlText w:val="(%2)"/>
      <w:numFmt w:val="lowerLetter"/>
      <w:start w:val="1"/>
    </w:lvl>
  </w:abstractNum>
  <w:abstractNum w:abstractNumId="14">
    <w:nsid w:val="6B68079A"/>
    <w:multiLevelType w:val="hybridMultilevel"/>
    <w:lvl w:ilvl="0">
      <w:lvlJc w:val="left"/>
      <w:lvlText w:val="(%1)"/>
      <w:numFmt w:val="lowerRoman"/>
      <w:start w:val="2"/>
    </w:lvl>
  </w:abstractNum>
  <w:abstractNum w:abstractNumId="15">
    <w:nsid w:val="4E6AFB66"/>
    <w:multiLevelType w:val="hybridMultilevel"/>
    <w:lvl w:ilvl="0">
      <w:lvlJc w:val="left"/>
      <w:lvlText w:val="%1."/>
      <w:numFmt w:val="decimal"/>
      <w:start w:val="12"/>
    </w:lvl>
  </w:abstractNum>
  <w:abstractNum w:abstractNumId="16">
    <w:nsid w:val="25E45D32"/>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2023-02-03T15:40:51Z</dcterms:created>
  <dcterms:modified xsi:type="dcterms:W3CDTF">2023-02-03T15:40:51Z</dcterms:modified>
</cp:coreProperties>
</file>